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A28BF" w:rsidRPr="001A28BF" w:rsidTr="00DB79BC">
        <w:tc>
          <w:tcPr>
            <w:tcW w:w="4843" w:type="dxa"/>
            <w:tcBorders>
              <w:bottom w:val="single" w:sz="4" w:space="0" w:color="auto"/>
            </w:tcBorders>
          </w:tcPr>
          <w:p w:rsidR="001A28BF" w:rsidRPr="001A28BF" w:rsidRDefault="001A28BF" w:rsidP="001A28BF">
            <w:pPr>
              <w:bidi/>
              <w:rPr>
                <w:rFonts w:ascii="Arabic Typesetting" w:hAnsi="Arabic Typesetting" w:cs="Arabic Typesetting"/>
                <w:sz w:val="36"/>
                <w:szCs w:val="36"/>
                <w:rtl/>
              </w:rPr>
            </w:pPr>
          </w:p>
        </w:tc>
        <w:tc>
          <w:tcPr>
            <w:tcW w:w="4223" w:type="dxa"/>
            <w:tcBorders>
              <w:bottom w:val="single" w:sz="4" w:space="0" w:color="auto"/>
            </w:tcBorders>
          </w:tcPr>
          <w:p w:rsidR="001A28BF" w:rsidRPr="001A28BF" w:rsidRDefault="001A28BF" w:rsidP="001A28BF">
            <w:pPr>
              <w:bidi/>
              <w:spacing w:after="20"/>
              <w:rPr>
                <w:rFonts w:ascii="Arabic Typesetting" w:hAnsi="Arabic Typesetting" w:cs="Arabic Typesetting"/>
                <w:sz w:val="36"/>
                <w:szCs w:val="36"/>
                <w:rtl/>
              </w:rPr>
            </w:pPr>
            <w:r w:rsidRPr="001A28BF">
              <w:rPr>
                <w:noProof/>
              </w:rPr>
              <w:drawing>
                <wp:inline distT="0" distB="0" distL="0" distR="0" wp14:anchorId="1B5FD870" wp14:editId="46FF0792">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A28BF" w:rsidRPr="001A28BF" w:rsidRDefault="001A28BF" w:rsidP="001A28BF">
            <w:pPr>
              <w:rPr>
                <w:b/>
                <w:bCs/>
                <w:sz w:val="40"/>
                <w:szCs w:val="40"/>
              </w:rPr>
            </w:pPr>
            <w:r w:rsidRPr="001A28BF">
              <w:rPr>
                <w:b/>
                <w:bCs/>
                <w:sz w:val="40"/>
                <w:szCs w:val="40"/>
              </w:rPr>
              <w:t>A</w:t>
            </w:r>
          </w:p>
        </w:tc>
      </w:tr>
      <w:tr w:rsidR="001A28BF" w:rsidRPr="001A28BF" w:rsidTr="00DB79BC">
        <w:trPr>
          <w:trHeight w:val="333"/>
        </w:trPr>
        <w:tc>
          <w:tcPr>
            <w:tcW w:w="9571" w:type="dxa"/>
            <w:gridSpan w:val="3"/>
            <w:tcBorders>
              <w:top w:val="single" w:sz="4" w:space="0" w:color="auto"/>
            </w:tcBorders>
            <w:vAlign w:val="bottom"/>
          </w:tcPr>
          <w:p w:rsidR="001A28BF" w:rsidRPr="001A28BF" w:rsidRDefault="001A28BF" w:rsidP="00B344B2">
            <w:pPr>
              <w:bidi/>
              <w:jc w:val="right"/>
              <w:rPr>
                <w:rFonts w:ascii="Arial Black" w:hAnsi="Arial Black" w:cs="Arabic Typesetting"/>
                <w:b/>
                <w:bCs/>
                <w:sz w:val="16"/>
                <w:szCs w:val="16"/>
                <w:rtl/>
              </w:rPr>
            </w:pPr>
            <w:r w:rsidRPr="001A28BF">
              <w:rPr>
                <w:rFonts w:ascii="Arial Black" w:hAnsi="Arial Black" w:cs="Arabic Typesetting"/>
                <w:b/>
                <w:bCs/>
                <w:sz w:val="16"/>
                <w:szCs w:val="16"/>
              </w:rPr>
              <w:t>WO/PBC/</w:t>
            </w:r>
            <w:r w:rsidR="002437FE">
              <w:rPr>
                <w:rFonts w:ascii="Arial Black" w:hAnsi="Arial Black" w:cs="Arabic Typesetting"/>
                <w:b/>
                <w:bCs/>
                <w:sz w:val="16"/>
                <w:szCs w:val="16"/>
              </w:rPr>
              <w:t>23</w:t>
            </w:r>
            <w:r w:rsidRPr="001A28BF">
              <w:rPr>
                <w:rFonts w:ascii="Arial Black" w:hAnsi="Arial Black" w:cs="Arabic Typesetting"/>
                <w:b/>
                <w:bCs/>
                <w:sz w:val="16"/>
                <w:szCs w:val="16"/>
              </w:rPr>
              <w:t>/</w:t>
            </w:r>
            <w:r w:rsidR="00B344B2">
              <w:rPr>
                <w:rFonts w:ascii="Arial Black" w:hAnsi="Arial Black" w:cs="Arabic Typesetting"/>
                <w:b/>
                <w:bCs/>
                <w:sz w:val="16"/>
                <w:szCs w:val="16"/>
              </w:rPr>
              <w:t>7</w:t>
            </w:r>
          </w:p>
        </w:tc>
      </w:tr>
      <w:tr w:rsidR="001A28BF" w:rsidRPr="001A28BF" w:rsidTr="00DB79BC">
        <w:tc>
          <w:tcPr>
            <w:tcW w:w="9571" w:type="dxa"/>
            <w:gridSpan w:val="3"/>
          </w:tcPr>
          <w:p w:rsidR="001A28BF" w:rsidRPr="001A28BF" w:rsidRDefault="001A28BF" w:rsidP="00B344B2">
            <w:pPr>
              <w:bidi/>
              <w:spacing w:line="240" w:lineRule="exact"/>
              <w:jc w:val="right"/>
              <w:rPr>
                <w:rFonts w:ascii="Arabic Typesetting" w:hAnsi="Arabic Typesetting" w:cs="Arabic Typesetting"/>
                <w:b/>
                <w:bCs/>
                <w:sz w:val="30"/>
                <w:szCs w:val="30"/>
                <w:rtl/>
              </w:rPr>
            </w:pPr>
            <w:r w:rsidRPr="001A28BF">
              <w:rPr>
                <w:rFonts w:ascii="Arabic Typesetting" w:hAnsi="Arabic Typesetting" w:cs="Arabic Typesetting" w:hint="cs"/>
                <w:b/>
                <w:bCs/>
                <w:sz w:val="30"/>
                <w:szCs w:val="30"/>
                <w:rtl/>
              </w:rPr>
              <w:t xml:space="preserve">الأصل: </w:t>
            </w:r>
            <w:r w:rsidR="00B344B2">
              <w:rPr>
                <w:rFonts w:ascii="Arabic Typesetting" w:hAnsi="Arabic Typesetting" w:cs="Arabic Typesetting" w:hint="cs"/>
                <w:b/>
                <w:bCs/>
                <w:sz w:val="30"/>
                <w:szCs w:val="30"/>
                <w:rtl/>
              </w:rPr>
              <w:t>بالإنكليزية</w:t>
            </w:r>
          </w:p>
        </w:tc>
      </w:tr>
      <w:tr w:rsidR="001A28BF" w:rsidRPr="001A28BF" w:rsidTr="00DB79BC">
        <w:tc>
          <w:tcPr>
            <w:tcW w:w="9571" w:type="dxa"/>
            <w:gridSpan w:val="3"/>
          </w:tcPr>
          <w:p w:rsidR="001A28BF" w:rsidRPr="001A28BF" w:rsidRDefault="001A28BF" w:rsidP="00B344B2">
            <w:pPr>
              <w:bidi/>
              <w:jc w:val="right"/>
              <w:rPr>
                <w:rFonts w:ascii="Arabic Typesetting" w:hAnsi="Arabic Typesetting" w:cs="Arabic Typesetting"/>
                <w:b/>
                <w:bCs/>
                <w:sz w:val="30"/>
                <w:szCs w:val="30"/>
                <w:rtl/>
              </w:rPr>
            </w:pPr>
            <w:r w:rsidRPr="001A28BF">
              <w:rPr>
                <w:rFonts w:ascii="Arabic Typesetting" w:hAnsi="Arabic Typesetting" w:cs="Arabic Typesetting" w:hint="cs"/>
                <w:b/>
                <w:bCs/>
                <w:sz w:val="30"/>
                <w:szCs w:val="30"/>
                <w:rtl/>
              </w:rPr>
              <w:t xml:space="preserve">التاريخ: </w:t>
            </w:r>
            <w:r w:rsidR="00B344B2">
              <w:rPr>
                <w:rFonts w:ascii="Arabic Typesetting" w:hAnsi="Arabic Typesetting" w:cs="Arabic Typesetting" w:hint="cs"/>
                <w:b/>
                <w:bCs/>
                <w:sz w:val="30"/>
                <w:szCs w:val="30"/>
                <w:rtl/>
              </w:rPr>
              <w:t>1</w:t>
            </w:r>
            <w:r w:rsidRPr="001A28BF">
              <w:rPr>
                <w:rFonts w:ascii="Arabic Typesetting" w:hAnsi="Arabic Typesetting" w:cs="Arabic Typesetting" w:hint="cs"/>
                <w:b/>
                <w:bCs/>
                <w:sz w:val="30"/>
                <w:szCs w:val="30"/>
                <w:rtl/>
              </w:rPr>
              <w:t xml:space="preserve"> </w:t>
            </w:r>
            <w:r w:rsidR="00B344B2">
              <w:rPr>
                <w:rFonts w:ascii="Arabic Typesetting" w:hAnsi="Arabic Typesetting" w:cs="Arabic Typesetting" w:hint="cs"/>
                <w:b/>
                <w:bCs/>
                <w:sz w:val="30"/>
                <w:szCs w:val="30"/>
                <w:rtl/>
              </w:rPr>
              <w:t xml:space="preserve">يونيو </w:t>
            </w:r>
            <w:r w:rsidR="002437FE">
              <w:rPr>
                <w:rFonts w:ascii="Arabic Typesetting" w:hAnsi="Arabic Typesetting" w:cs="Arabic Typesetting" w:hint="cs"/>
                <w:b/>
                <w:bCs/>
                <w:sz w:val="30"/>
                <w:szCs w:val="30"/>
                <w:rtl/>
              </w:rPr>
              <w:t>2015</w:t>
            </w:r>
          </w:p>
        </w:tc>
      </w:tr>
    </w:tbl>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2437FE">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sidR="002437FE">
        <w:rPr>
          <w:rFonts w:ascii="Cambria Math" w:hAnsi="Cambria Math" w:cs="PT Bold Heading" w:hint="cs"/>
          <w:sz w:val="30"/>
          <w:szCs w:val="30"/>
          <w:rtl/>
        </w:rPr>
        <w:t>الثالثة</w:t>
      </w:r>
      <w:r w:rsidRPr="001A28BF">
        <w:rPr>
          <w:rFonts w:ascii="Cambria Math" w:hAnsi="Cambria Math" w:cs="PT Bold Heading" w:hint="cs"/>
          <w:sz w:val="30"/>
          <w:szCs w:val="30"/>
          <w:rtl/>
        </w:rPr>
        <w:t xml:space="preserve"> والعشرون</w:t>
      </w:r>
    </w:p>
    <w:p w:rsidR="001A28BF" w:rsidRPr="001A28BF" w:rsidRDefault="001A28BF" w:rsidP="002437FE">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sidR="002437FE">
        <w:rPr>
          <w:rFonts w:ascii="Arabic Typesetting" w:hAnsi="Arabic Typesetting" w:cs="Arabic Typesetting" w:hint="cs"/>
          <w:b/>
          <w:bCs/>
          <w:sz w:val="36"/>
          <w:szCs w:val="36"/>
          <w:rtl/>
        </w:rPr>
        <w:t>13</w:t>
      </w:r>
      <w:r w:rsidRPr="001A28BF">
        <w:rPr>
          <w:rFonts w:ascii="Arabic Typesetting" w:hAnsi="Arabic Typesetting" w:cs="Arabic Typesetting" w:hint="cs"/>
          <w:b/>
          <w:bCs/>
          <w:sz w:val="36"/>
          <w:szCs w:val="36"/>
          <w:rtl/>
        </w:rPr>
        <w:t xml:space="preserve"> إلى </w:t>
      </w:r>
      <w:r w:rsidR="002437FE">
        <w:rPr>
          <w:rFonts w:ascii="Arabic Typesetting" w:hAnsi="Arabic Typesetting" w:cs="Arabic Typesetting" w:hint="cs"/>
          <w:b/>
          <w:bCs/>
          <w:sz w:val="36"/>
          <w:szCs w:val="36"/>
          <w:rtl/>
        </w:rPr>
        <w:t>17</w:t>
      </w:r>
      <w:r w:rsidRPr="001A28BF">
        <w:rPr>
          <w:rFonts w:ascii="Arabic Typesetting" w:hAnsi="Arabic Typesetting" w:cs="Arabic Typesetting" w:hint="cs"/>
          <w:b/>
          <w:bCs/>
          <w:sz w:val="36"/>
          <w:szCs w:val="36"/>
          <w:rtl/>
        </w:rPr>
        <w:t xml:space="preserve"> </w:t>
      </w:r>
      <w:r w:rsidR="002437FE">
        <w:rPr>
          <w:rFonts w:ascii="Arabic Typesetting" w:hAnsi="Arabic Typesetting" w:cs="Arabic Typesetting" w:hint="cs"/>
          <w:b/>
          <w:bCs/>
          <w:sz w:val="36"/>
          <w:szCs w:val="36"/>
          <w:rtl/>
        </w:rPr>
        <w:t>يوليو</w:t>
      </w:r>
      <w:r w:rsidRPr="001A28BF">
        <w:rPr>
          <w:rFonts w:ascii="Arabic Typesetting" w:hAnsi="Arabic Typesetting" w:cs="Arabic Typesetting" w:hint="cs"/>
          <w:b/>
          <w:bCs/>
          <w:sz w:val="36"/>
          <w:szCs w:val="36"/>
          <w:rtl/>
        </w:rPr>
        <w:t xml:space="preserve"> </w:t>
      </w:r>
      <w:r w:rsidR="002437FE">
        <w:rPr>
          <w:rFonts w:ascii="Arabic Typesetting" w:hAnsi="Arabic Typesetting" w:cs="Arabic Typesetting" w:hint="cs"/>
          <w:b/>
          <w:bCs/>
          <w:sz w:val="36"/>
          <w:szCs w:val="36"/>
          <w:rtl/>
        </w:rPr>
        <w:t>2015</w:t>
      </w: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B344B2" w:rsidP="00433E39">
      <w:pPr>
        <w:bidi/>
        <w:spacing w:line="360" w:lineRule="exact"/>
        <w:rPr>
          <w:rFonts w:ascii="Arial Black" w:hAnsi="Arial Black" w:cs="PT Bold Heading"/>
          <w:sz w:val="26"/>
          <w:szCs w:val="26"/>
          <w:rtl/>
        </w:rPr>
      </w:pPr>
      <w:r>
        <w:rPr>
          <w:rFonts w:ascii="Arial Black" w:hAnsi="Arial Black" w:cs="PT Bold Heading" w:hint="cs"/>
          <w:sz w:val="26"/>
          <w:szCs w:val="26"/>
          <w:rtl/>
        </w:rPr>
        <w:t xml:space="preserve">اقتراح تعديلات إضافية </w:t>
      </w:r>
      <w:r w:rsidR="00433E39">
        <w:rPr>
          <w:rFonts w:ascii="Arial Black" w:hAnsi="Arial Black" w:cs="PT Bold Heading" w:hint="cs"/>
          <w:sz w:val="26"/>
          <w:szCs w:val="26"/>
          <w:rtl/>
        </w:rPr>
        <w:t>ل</w:t>
      </w:r>
      <w:r>
        <w:rPr>
          <w:rFonts w:ascii="Arial Black" w:hAnsi="Arial Black" w:cs="PT Bold Heading" w:hint="cs"/>
          <w:sz w:val="26"/>
          <w:szCs w:val="26"/>
          <w:rtl/>
        </w:rPr>
        <w:t>سياسة الاستثمار</w:t>
      </w:r>
    </w:p>
    <w:p w:rsidR="001A28BF" w:rsidRPr="001A28BF" w:rsidRDefault="00B344B2" w:rsidP="001A28BF">
      <w:pPr>
        <w:bidi/>
        <w:spacing w:before="240" w:after="840" w:line="360" w:lineRule="exact"/>
        <w:rPr>
          <w:rFonts w:ascii="Arabic Typesetting" w:hAnsi="Arabic Typesetting" w:cs="Arabic Typesetting"/>
          <w:i/>
          <w:iCs/>
          <w:sz w:val="36"/>
          <w:szCs w:val="36"/>
          <w:rtl/>
        </w:rPr>
      </w:pPr>
      <w:r>
        <w:rPr>
          <w:rFonts w:ascii="Arabic Typesetting" w:hAnsi="Arabic Typesetting" w:cs="Arabic Typesetting" w:hint="cs"/>
          <w:i/>
          <w:iCs/>
          <w:sz w:val="36"/>
          <w:szCs w:val="36"/>
          <w:rtl/>
        </w:rPr>
        <w:t xml:space="preserve">وثيقة </w:t>
      </w:r>
      <w:r w:rsidR="001A28BF" w:rsidRPr="001A28BF">
        <w:rPr>
          <w:rFonts w:ascii="Arabic Typesetting" w:hAnsi="Arabic Typesetting" w:cs="Arabic Typesetting" w:hint="cs"/>
          <w:i/>
          <w:iCs/>
          <w:sz w:val="36"/>
          <w:szCs w:val="36"/>
          <w:rtl/>
        </w:rPr>
        <w:t>من إعداد</w:t>
      </w:r>
      <w:r>
        <w:rPr>
          <w:rFonts w:ascii="Arabic Typesetting" w:hAnsi="Arabic Typesetting" w:cs="Arabic Typesetting" w:hint="cs"/>
          <w:i/>
          <w:iCs/>
          <w:sz w:val="36"/>
          <w:szCs w:val="36"/>
          <w:rtl/>
        </w:rPr>
        <w:t xml:space="preserve"> الأمانة</w:t>
      </w:r>
    </w:p>
    <w:p w:rsidR="00932204" w:rsidRDefault="00433E39" w:rsidP="00433E39">
      <w:pPr>
        <w:pStyle w:val="Heading1AR"/>
        <w:rPr>
          <w:rtl/>
          <w:lang w:val="fr-CH"/>
        </w:rPr>
      </w:pPr>
      <w:r>
        <w:rPr>
          <w:rFonts w:hint="cs"/>
          <w:rtl/>
          <w:lang w:val="fr-CH"/>
        </w:rPr>
        <w:t>معلومات أساسية</w:t>
      </w:r>
    </w:p>
    <w:p w:rsidR="00433E39" w:rsidRDefault="00433E39" w:rsidP="00433E39">
      <w:pPr>
        <w:pStyle w:val="NumberedParaAR"/>
        <w:rPr>
          <w:lang w:val="fr-CH"/>
        </w:rPr>
      </w:pPr>
      <w:r>
        <w:rPr>
          <w:rFonts w:hint="cs"/>
          <w:rtl/>
          <w:lang w:val="fr-CH"/>
        </w:rPr>
        <w:t xml:space="preserve">على أعقاب الرسالة المستلمة من الإدارة الفدرالية السويسرية للشؤون المالية في أبريل 2014 </w:t>
      </w:r>
      <w:r w:rsidRPr="00433E39">
        <w:rPr>
          <w:rtl/>
          <w:lang w:val="fr-CH"/>
        </w:rPr>
        <w:t xml:space="preserve">أُخطر </w:t>
      </w:r>
      <w:r>
        <w:rPr>
          <w:rFonts w:hint="cs"/>
          <w:rtl/>
          <w:lang w:val="fr-CH"/>
        </w:rPr>
        <w:t xml:space="preserve">فيها </w:t>
      </w:r>
      <w:r w:rsidRPr="00433E39">
        <w:rPr>
          <w:rtl/>
          <w:lang w:val="fr-CH"/>
        </w:rPr>
        <w:t xml:space="preserve">المدير العام للمنظمة العالمية للملكية الفكرية (الويبو) بأنه لم يعد بإمكان الويبو امتلاك حسابات إيداع لدى إدارة المالية </w:t>
      </w:r>
      <w:r>
        <w:rPr>
          <w:rFonts w:hint="cs"/>
          <w:rtl/>
          <w:lang w:val="fr-CH"/>
        </w:rPr>
        <w:t xml:space="preserve">السويسرية، قدِّمت الوثيقة </w:t>
      </w:r>
      <w:r>
        <w:t>WO/PBC/22/19</w:t>
      </w:r>
      <w:r>
        <w:rPr>
          <w:rFonts w:hint="cs"/>
          <w:rtl/>
          <w:lang w:val="fr-CH"/>
        </w:rPr>
        <w:t xml:space="preserve"> إلى لجنة البرنامج والميزانية في سبتمبر 2014 تقترح إدخال تعديلات على سياسة المنظمة بشأن الاستثمار. وبعد مناقشة الوثيقة، فإن اللجنة:</w:t>
      </w:r>
    </w:p>
    <w:p w:rsidR="00433E39" w:rsidRPr="00CB74D4" w:rsidRDefault="00433E39" w:rsidP="00433E39">
      <w:pPr>
        <w:pStyle w:val="NumberedParaAR"/>
        <w:numPr>
          <w:ilvl w:val="0"/>
          <w:numId w:val="0"/>
        </w:numPr>
        <w:ind w:left="566"/>
        <w:rPr>
          <w:rtl/>
        </w:rPr>
      </w:pPr>
      <w:r w:rsidRPr="00CB74D4">
        <w:rPr>
          <w:rtl/>
        </w:rPr>
        <w:t>"1"</w:t>
      </w:r>
      <w:r w:rsidRPr="00CB74D4">
        <w:rPr>
          <w:rtl/>
        </w:rPr>
        <w:tab/>
        <w:t>أقرت بالحاجة إلى تعديل سياسة الاستثمار؛</w:t>
      </w:r>
    </w:p>
    <w:p w:rsidR="00433E39" w:rsidRPr="00CB74D4" w:rsidRDefault="00433E39" w:rsidP="00433E39">
      <w:pPr>
        <w:pStyle w:val="NumberedParaAR"/>
        <w:numPr>
          <w:ilvl w:val="0"/>
          <w:numId w:val="0"/>
        </w:numPr>
        <w:ind w:left="566"/>
        <w:rPr>
          <w:rtl/>
        </w:rPr>
      </w:pPr>
      <w:r w:rsidRPr="00CB74D4">
        <w:rPr>
          <w:rtl/>
        </w:rPr>
        <w:t>"2"</w:t>
      </w:r>
      <w:r w:rsidRPr="00CB74D4">
        <w:rPr>
          <w:rtl/>
        </w:rPr>
        <w:tab/>
        <w:t>وطلبت من الأمانة ما يلي:</w:t>
      </w:r>
    </w:p>
    <w:p w:rsidR="00433E39" w:rsidRPr="00CB74D4" w:rsidRDefault="00433E39" w:rsidP="00433E39">
      <w:pPr>
        <w:pStyle w:val="NumberedParaAR"/>
        <w:numPr>
          <w:ilvl w:val="0"/>
          <w:numId w:val="0"/>
        </w:numPr>
        <w:ind w:left="1133"/>
        <w:rPr>
          <w:rtl/>
        </w:rPr>
      </w:pPr>
      <w:r w:rsidRPr="00CB74D4">
        <w:rPr>
          <w:rtl/>
        </w:rPr>
        <w:t>(‌أ)</w:t>
      </w:r>
      <w:r w:rsidRPr="00CB74D4">
        <w:rPr>
          <w:rtl/>
        </w:rPr>
        <w:tab/>
        <w:t>تقديم اقتراح مفصل بشأن نسخة منقحة من السياسة في دورتها المقبلة بعد أن تستعرضها اللجنة الاستشارية المعنية بالاستثمار وتجيزها؛</w:t>
      </w:r>
    </w:p>
    <w:p w:rsidR="00433E39" w:rsidRPr="005A7EA2" w:rsidRDefault="00433E39" w:rsidP="00433E39">
      <w:pPr>
        <w:pStyle w:val="NumberedParaAR"/>
        <w:numPr>
          <w:ilvl w:val="0"/>
          <w:numId w:val="0"/>
        </w:numPr>
        <w:ind w:left="1133"/>
        <w:rPr>
          <w:rtl/>
        </w:rPr>
      </w:pPr>
      <w:r w:rsidRPr="00CB74D4">
        <w:rPr>
          <w:rtl/>
        </w:rPr>
        <w:t>(‌ب)</w:t>
      </w:r>
      <w:r w:rsidRPr="00CB74D4">
        <w:rPr>
          <w:rtl/>
        </w:rPr>
        <w:tab/>
      </w:r>
      <w:r>
        <w:rPr>
          <w:rFonts w:hint="cs"/>
          <w:rtl/>
        </w:rPr>
        <w:t>و</w:t>
      </w:r>
      <w:r w:rsidRPr="00CB74D4">
        <w:rPr>
          <w:rtl/>
        </w:rPr>
        <w:t xml:space="preserve">إجراء دراسة بشأن إدارة الأصول والخصوم وتقديم سياسة استثمار منفصلة </w:t>
      </w:r>
      <w:r w:rsidRPr="005A7EA2">
        <w:rPr>
          <w:rtl/>
        </w:rPr>
        <w:t>بشأن تمويل التأمين الصح</w:t>
      </w:r>
      <w:r w:rsidRPr="005A7EA2">
        <w:rPr>
          <w:rFonts w:hint="cs"/>
          <w:rtl/>
        </w:rPr>
        <w:t>ي</w:t>
      </w:r>
      <w:r w:rsidRPr="005A7EA2">
        <w:rPr>
          <w:rtl/>
        </w:rPr>
        <w:t xml:space="preserve"> بعد فترة الخدمة وتقديمها إليها بعد أن تستعرضها اللجنة الاستشارية المعنية بالاستثمار وتجيزها؛</w:t>
      </w:r>
    </w:p>
    <w:p w:rsidR="00433E39" w:rsidRPr="00CB74D4" w:rsidRDefault="00433E39" w:rsidP="00433E39">
      <w:pPr>
        <w:pStyle w:val="NumberedParaAR"/>
        <w:numPr>
          <w:ilvl w:val="0"/>
          <w:numId w:val="0"/>
        </w:numPr>
        <w:ind w:left="1133"/>
      </w:pPr>
      <w:r w:rsidRPr="005A7EA2">
        <w:rPr>
          <w:rtl/>
        </w:rPr>
        <w:t>(‌ج)</w:t>
      </w:r>
      <w:r w:rsidRPr="005A7EA2">
        <w:rPr>
          <w:rtl/>
        </w:rPr>
        <w:tab/>
        <w:t>وبشرط توافر مستويات كافية من السيولة، تمويل قاعة المؤتمرات من الأموال المتاحة للاستثمار</w:t>
      </w:r>
      <w:r w:rsidRPr="00CB74D4">
        <w:rPr>
          <w:rtl/>
        </w:rPr>
        <w:t xml:space="preserve"> بدلاً من سحب أقساط القرض الذي مُنح لهذا الغرض</w:t>
      </w:r>
      <w:r>
        <w:rPr>
          <w:rFonts w:hint="cs"/>
          <w:rtl/>
        </w:rPr>
        <w:t>.</w:t>
      </w:r>
    </w:p>
    <w:p w:rsidR="00433E39" w:rsidRDefault="00433E39" w:rsidP="00E14AAB">
      <w:pPr>
        <w:pStyle w:val="NumberedParaAR"/>
        <w:rPr>
          <w:lang w:val="fr-CH"/>
        </w:rPr>
      </w:pPr>
      <w:r w:rsidRPr="00433E39">
        <w:rPr>
          <w:rtl/>
          <w:lang w:val="fr-CH"/>
        </w:rPr>
        <w:lastRenderedPageBreak/>
        <w:t xml:space="preserve">ومنذ اجتماع لجنة البرنامج والميزانية في سبتمبر 2014، تغير المشهد </w:t>
      </w:r>
      <w:r w:rsidR="00C364DB">
        <w:rPr>
          <w:rFonts w:hint="cs"/>
          <w:rtl/>
          <w:lang w:val="fr-CH"/>
        </w:rPr>
        <w:t xml:space="preserve">البنكي </w:t>
      </w:r>
      <w:r w:rsidRPr="00433E39">
        <w:rPr>
          <w:rtl/>
          <w:lang w:val="fr-CH"/>
        </w:rPr>
        <w:t xml:space="preserve">بشكل ملحوظ في سويسرا، ولا سيما بسبب تطبيق </w:t>
      </w:r>
      <w:r w:rsidR="00C364DB">
        <w:rPr>
          <w:rFonts w:hint="cs"/>
          <w:rtl/>
          <w:lang w:val="fr-CH"/>
        </w:rPr>
        <w:t xml:space="preserve">البنك </w:t>
      </w:r>
      <w:r w:rsidRPr="00433E39">
        <w:rPr>
          <w:rtl/>
          <w:lang w:val="fr-CH"/>
        </w:rPr>
        <w:t>الوطني السويسري معدلات الفائدة السلبية بعد أن فك ربط الفرنك السويسري باليورو في يناير 2015.</w:t>
      </w:r>
      <w:r w:rsidR="00C364DB">
        <w:rPr>
          <w:rFonts w:hint="cs"/>
          <w:rtl/>
          <w:lang w:val="fr-CH"/>
        </w:rPr>
        <w:t xml:space="preserve"> (يبيّن </w:t>
      </w:r>
      <w:r w:rsidR="00327DF0">
        <w:rPr>
          <w:rFonts w:hint="cs"/>
          <w:rtl/>
          <w:lang w:val="fr-CH"/>
        </w:rPr>
        <w:t>المرفق</w:t>
      </w:r>
      <w:r w:rsidR="00E14AAB">
        <w:rPr>
          <w:rFonts w:hint="cs"/>
          <w:rtl/>
          <w:lang w:val="fr-CH"/>
        </w:rPr>
        <w:t xml:space="preserve"> الأول الف</w:t>
      </w:r>
      <w:r w:rsidR="00C364DB">
        <w:rPr>
          <w:rFonts w:hint="cs"/>
          <w:rtl/>
          <w:lang w:val="fr-CH"/>
        </w:rPr>
        <w:t>رق بين ال</w:t>
      </w:r>
      <w:r w:rsidR="00E14AAB">
        <w:rPr>
          <w:rFonts w:hint="cs"/>
          <w:rtl/>
          <w:lang w:val="fr-CH"/>
        </w:rPr>
        <w:t xml:space="preserve">معدلات السلبية في سويسرا وأسعار الفائدة </w:t>
      </w:r>
      <w:r w:rsidR="00C364DB">
        <w:rPr>
          <w:rFonts w:hint="cs"/>
          <w:rtl/>
          <w:lang w:val="fr-CH"/>
        </w:rPr>
        <w:t xml:space="preserve">في </w:t>
      </w:r>
      <w:r w:rsidR="00563E63">
        <w:rPr>
          <w:rFonts w:hint="cs"/>
          <w:rtl/>
          <w:lang w:val="fr-CH"/>
        </w:rPr>
        <w:t xml:space="preserve">بلدان أخرى). </w:t>
      </w:r>
      <w:r w:rsidR="009B038C">
        <w:rPr>
          <w:rFonts w:hint="cs"/>
          <w:rtl/>
          <w:lang w:val="fr-CH"/>
        </w:rPr>
        <w:t xml:space="preserve">وهذه المسألة التي نوقشت أيضا في الوثيقة </w:t>
      </w:r>
      <w:r w:rsidR="009B038C">
        <w:t>WO/PBC/23/6</w:t>
      </w:r>
      <w:r w:rsidR="009B038C">
        <w:rPr>
          <w:rFonts w:hint="cs"/>
          <w:rtl/>
          <w:lang w:val="fr-CH"/>
        </w:rPr>
        <w:t xml:space="preserve"> تطرح عددا من القضايا. وخلال الأشهر الماضية، التقت الأمانة (بمن فيها أعضاء اللجنة الاستشارية </w:t>
      </w:r>
      <w:r w:rsidR="00E14AAB">
        <w:rPr>
          <w:rFonts w:hint="cs"/>
          <w:rtl/>
          <w:lang w:val="fr-CH"/>
        </w:rPr>
        <w:t>المعنية با</w:t>
      </w:r>
      <w:r w:rsidR="009B038C">
        <w:rPr>
          <w:rFonts w:hint="cs"/>
          <w:rtl/>
          <w:lang w:val="fr-CH"/>
        </w:rPr>
        <w:t xml:space="preserve">لاستثمار) مع مختلف المؤسسات المالية والزملاء </w:t>
      </w:r>
      <w:r w:rsidR="00E14AAB">
        <w:rPr>
          <w:rFonts w:hint="cs"/>
          <w:rtl/>
          <w:lang w:val="fr-CH"/>
        </w:rPr>
        <w:t>العاملين</w:t>
      </w:r>
      <w:r w:rsidR="009B038C">
        <w:rPr>
          <w:rFonts w:hint="cs"/>
          <w:rtl/>
          <w:lang w:val="fr-CH"/>
        </w:rPr>
        <w:t xml:space="preserve"> في وظائف الخزينة لدى م</w:t>
      </w:r>
      <w:r w:rsidR="00E14AAB">
        <w:rPr>
          <w:rFonts w:hint="cs"/>
          <w:rtl/>
          <w:lang w:val="fr-CH"/>
        </w:rPr>
        <w:t xml:space="preserve">نظمات أخرى ومكتب خارجي مستقل للاستشارات </w:t>
      </w:r>
      <w:r w:rsidR="009B038C">
        <w:rPr>
          <w:rFonts w:hint="cs"/>
          <w:rtl/>
          <w:lang w:val="fr-CH"/>
        </w:rPr>
        <w:t xml:space="preserve">في شؤون الخزينة، </w:t>
      </w:r>
      <w:r w:rsidR="00E14AAB">
        <w:rPr>
          <w:rFonts w:hint="cs"/>
          <w:rtl/>
          <w:lang w:val="fr-CH"/>
        </w:rPr>
        <w:t xml:space="preserve">وهو </w:t>
      </w:r>
      <w:r w:rsidR="009B038C">
        <w:rPr>
          <w:rFonts w:hint="cs"/>
          <w:rtl/>
          <w:lang w:val="fr-CH"/>
        </w:rPr>
        <w:t xml:space="preserve">مكتب </w:t>
      </w:r>
      <w:proofErr w:type="spellStart"/>
      <w:r w:rsidR="009B038C">
        <w:rPr>
          <w:rFonts w:hint="cs"/>
          <w:rtl/>
          <w:lang w:val="fr-CH"/>
        </w:rPr>
        <w:t>زاندرس</w:t>
      </w:r>
      <w:proofErr w:type="spellEnd"/>
      <w:r w:rsidR="009B038C">
        <w:rPr>
          <w:rFonts w:hint="cs"/>
          <w:rtl/>
          <w:lang w:val="fr-CH"/>
        </w:rPr>
        <w:t>، بغية بحث السبل المتاحة للتصدي لهذه القضايا وتحديد مضمون سياستي الاستثمار المطلوبتين. وأبرزت الاجتماعات محورين رئيسيين اثنين هما: أولا الحاجة إلى بيان طبيعة السيولة المتاحة للاستثمار، وثانيا الحاجة إلى استعراض قابلية المنظمة لتحمل المخاطر</w:t>
      </w:r>
      <w:r w:rsidR="00E14AAB">
        <w:rPr>
          <w:rFonts w:hint="cs"/>
          <w:rtl/>
          <w:lang w:val="fr-CH"/>
        </w:rPr>
        <w:t xml:space="preserve"> المرتبطة بالاستثمار</w:t>
      </w:r>
      <w:r w:rsidR="009B038C">
        <w:rPr>
          <w:rFonts w:hint="cs"/>
          <w:rtl/>
          <w:lang w:val="fr-CH"/>
        </w:rPr>
        <w:t>. ويرد فيما يلي بحث هذين المحورين.</w:t>
      </w:r>
    </w:p>
    <w:p w:rsidR="009B038C" w:rsidRDefault="002F1069" w:rsidP="002F1069">
      <w:pPr>
        <w:pStyle w:val="Heading1AR"/>
        <w:rPr>
          <w:lang w:val="fr-CH"/>
        </w:rPr>
      </w:pPr>
      <w:r>
        <w:rPr>
          <w:rFonts w:hint="cs"/>
          <w:rtl/>
          <w:lang w:val="fr-CH"/>
        </w:rPr>
        <w:t>السيولة المتاحة للاستثمار</w:t>
      </w:r>
    </w:p>
    <w:p w:rsidR="009B038C" w:rsidRDefault="002F1069" w:rsidP="00DF7EAC">
      <w:pPr>
        <w:pStyle w:val="NumberedParaAR"/>
        <w:rPr>
          <w:lang w:val="fr-CH"/>
        </w:rPr>
      </w:pPr>
      <w:r>
        <w:rPr>
          <w:rFonts w:hint="cs"/>
          <w:rtl/>
          <w:lang w:val="fr-CH"/>
        </w:rPr>
        <w:t>يبيّن الجدول</w:t>
      </w:r>
      <w:r w:rsidR="00E14AAB">
        <w:rPr>
          <w:rFonts w:hint="eastAsia"/>
          <w:rtl/>
          <w:lang w:val="fr-CH"/>
        </w:rPr>
        <w:t> </w:t>
      </w:r>
      <w:r>
        <w:rPr>
          <w:rFonts w:hint="cs"/>
          <w:rtl/>
          <w:lang w:val="fr-CH"/>
        </w:rPr>
        <w:t>1 رصيد المنظمة من السيولة وما يعادلها في نهاية مارس</w:t>
      </w:r>
      <w:r w:rsidR="00B11075">
        <w:rPr>
          <w:rFonts w:hint="eastAsia"/>
          <w:rtl/>
          <w:lang w:val="fr-CH"/>
        </w:rPr>
        <w:t> </w:t>
      </w:r>
      <w:r>
        <w:rPr>
          <w:rFonts w:hint="cs"/>
          <w:rtl/>
          <w:lang w:val="fr-CH"/>
        </w:rPr>
        <w:t xml:space="preserve">2015. وبعد استعراض التدفق النقدي للمنظمة، تبيّن أن المنظمة، شأنها في ذلك شأن العديد من الهيئات في القطاعين العام والخاص على السواء، يمكن أن تقسّم سيولتها إلى ثلاثة فئات: </w:t>
      </w:r>
      <w:r w:rsidR="002D29F7">
        <w:rPr>
          <w:rFonts w:hint="cs"/>
          <w:rtl/>
          <w:lang w:val="fr-CH"/>
        </w:rPr>
        <w:t xml:space="preserve">سيولة </w:t>
      </w:r>
      <w:r>
        <w:rPr>
          <w:rFonts w:hint="cs"/>
          <w:rtl/>
          <w:lang w:val="fr-CH"/>
        </w:rPr>
        <w:t>التشغيل و</w:t>
      </w:r>
      <w:r w:rsidR="002D29F7">
        <w:rPr>
          <w:rFonts w:hint="cs"/>
          <w:rtl/>
          <w:lang w:val="fr-CH"/>
        </w:rPr>
        <w:t xml:space="preserve">السيولة </w:t>
      </w:r>
      <w:r>
        <w:rPr>
          <w:rFonts w:hint="cs"/>
          <w:rtl/>
          <w:lang w:val="fr-CH"/>
        </w:rPr>
        <w:t xml:space="preserve">الأساسية والسيولة الاستراتيجية. </w:t>
      </w:r>
      <w:r w:rsidR="00DF7EAC">
        <w:rPr>
          <w:rFonts w:hint="cs"/>
          <w:rtl/>
          <w:lang w:val="fr-CH"/>
        </w:rPr>
        <w:t xml:space="preserve">وتتسم </w:t>
      </w:r>
      <w:r w:rsidR="00ED2681">
        <w:rPr>
          <w:rFonts w:hint="cs"/>
          <w:rtl/>
          <w:lang w:val="fr-CH"/>
        </w:rPr>
        <w:t xml:space="preserve">كل فئة </w:t>
      </w:r>
      <w:r w:rsidR="00DF7EAC">
        <w:rPr>
          <w:rFonts w:hint="cs"/>
          <w:rtl/>
          <w:lang w:val="fr-CH"/>
        </w:rPr>
        <w:t>ب</w:t>
      </w:r>
      <w:r w:rsidR="00ED2681">
        <w:rPr>
          <w:rFonts w:hint="cs"/>
          <w:rtl/>
          <w:lang w:val="fr-CH"/>
        </w:rPr>
        <w:t>هدف استثماري م</w:t>
      </w:r>
      <w:r w:rsidR="00B53DA2">
        <w:rPr>
          <w:rFonts w:hint="cs"/>
          <w:rtl/>
          <w:lang w:val="fr-CH"/>
        </w:rPr>
        <w:t xml:space="preserve">ختلف وأفق استثماري مختلف وسمات </w:t>
      </w:r>
      <w:r w:rsidR="00DF7EAC">
        <w:rPr>
          <w:rFonts w:hint="cs"/>
          <w:rtl/>
          <w:lang w:val="fr-CH"/>
        </w:rPr>
        <w:t xml:space="preserve">مخاطر </w:t>
      </w:r>
      <w:r w:rsidR="00ED2681">
        <w:rPr>
          <w:rFonts w:hint="cs"/>
          <w:rtl/>
          <w:lang w:val="fr-CH"/>
        </w:rPr>
        <w:t>مختلفة ولكن ينبغي الأخذ بكل هذه العناصر ضمن سياسة الاستثمار العامة. ويبين الجدول</w:t>
      </w:r>
      <w:r w:rsidR="00B11075">
        <w:rPr>
          <w:rFonts w:hint="eastAsia"/>
          <w:rtl/>
          <w:lang w:val="fr-CH"/>
        </w:rPr>
        <w:t> </w:t>
      </w:r>
      <w:r w:rsidR="00ED2681">
        <w:rPr>
          <w:rFonts w:hint="cs"/>
          <w:rtl/>
          <w:lang w:val="fr-CH"/>
        </w:rPr>
        <w:t xml:space="preserve">2 </w:t>
      </w:r>
      <w:r w:rsidR="00615844">
        <w:rPr>
          <w:rFonts w:hint="cs"/>
          <w:rtl/>
          <w:lang w:val="fr-CH"/>
        </w:rPr>
        <w:t xml:space="preserve">التقسيم </w:t>
      </w:r>
      <w:r w:rsidR="00ED2681">
        <w:rPr>
          <w:rFonts w:hint="cs"/>
          <w:rtl/>
          <w:lang w:val="fr-CH"/>
        </w:rPr>
        <w:t xml:space="preserve">المقترح </w:t>
      </w:r>
      <w:r w:rsidR="00615844">
        <w:rPr>
          <w:rFonts w:hint="cs"/>
          <w:rtl/>
          <w:lang w:val="fr-CH"/>
        </w:rPr>
        <w:t>لسيولة الويبو حسب الفئات الثلاث.</w:t>
      </w:r>
    </w:p>
    <w:p w:rsidR="00615844" w:rsidRDefault="002D29F7" w:rsidP="00AB3656">
      <w:pPr>
        <w:pStyle w:val="NumberedParaAR"/>
        <w:keepNext/>
        <w:numPr>
          <w:ilvl w:val="0"/>
          <w:numId w:val="0"/>
        </w:numPr>
        <w:spacing w:after="0"/>
        <w:jc w:val="center"/>
        <w:rPr>
          <w:b/>
          <w:bCs/>
          <w:rtl/>
          <w:lang w:val="fr-CH"/>
        </w:rPr>
      </w:pPr>
      <w:r w:rsidRPr="002D29F7">
        <w:rPr>
          <w:rFonts w:hint="cs"/>
          <w:b/>
          <w:bCs/>
          <w:rtl/>
          <w:lang w:val="fr-CH"/>
        </w:rPr>
        <w:t>الجدول 1</w:t>
      </w:r>
    </w:p>
    <w:p w:rsidR="002D29F7" w:rsidRDefault="00AB3656" w:rsidP="002D29F7">
      <w:pPr>
        <w:pStyle w:val="NumberedParaAR"/>
        <w:numPr>
          <w:ilvl w:val="0"/>
          <w:numId w:val="0"/>
        </w:numPr>
        <w:spacing w:line="240" w:lineRule="auto"/>
        <w:jc w:val="center"/>
        <w:rPr>
          <w:rtl/>
          <w:lang w:val="fr-CH"/>
        </w:rPr>
      </w:pPr>
      <w:r w:rsidRPr="00AB3656">
        <w:rPr>
          <w:rtl/>
        </w:rPr>
        <w:drawing>
          <wp:inline distT="0" distB="0" distL="0" distR="0">
            <wp:extent cx="5734050" cy="4165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4165600"/>
                    </a:xfrm>
                    <a:prstGeom prst="rect">
                      <a:avLst/>
                    </a:prstGeom>
                    <a:noFill/>
                    <a:ln>
                      <a:noFill/>
                    </a:ln>
                  </pic:spPr>
                </pic:pic>
              </a:graphicData>
            </a:graphic>
          </wp:inline>
        </w:drawing>
      </w:r>
    </w:p>
    <w:p w:rsidR="002D29F7" w:rsidRDefault="002D29F7" w:rsidP="002D29F7">
      <w:pPr>
        <w:pStyle w:val="NumberedParaAR"/>
        <w:keepNext/>
        <w:numPr>
          <w:ilvl w:val="0"/>
          <w:numId w:val="0"/>
        </w:numPr>
        <w:jc w:val="center"/>
        <w:rPr>
          <w:b/>
          <w:bCs/>
          <w:rtl/>
          <w:lang w:val="fr-CH"/>
        </w:rPr>
      </w:pPr>
      <w:r w:rsidRPr="002D29F7">
        <w:rPr>
          <w:rFonts w:hint="cs"/>
          <w:b/>
          <w:bCs/>
          <w:rtl/>
          <w:lang w:val="fr-CH"/>
        </w:rPr>
        <w:lastRenderedPageBreak/>
        <w:t xml:space="preserve">الجدول </w:t>
      </w:r>
      <w:r>
        <w:rPr>
          <w:rFonts w:hint="cs"/>
          <w:b/>
          <w:bCs/>
          <w:rtl/>
          <w:lang w:val="fr-CH"/>
        </w:rPr>
        <w:t>2</w:t>
      </w:r>
    </w:p>
    <w:p w:rsidR="002D29F7" w:rsidRDefault="001E64BF" w:rsidP="001E64BF">
      <w:pPr>
        <w:pStyle w:val="NumberedParaAR"/>
        <w:numPr>
          <w:ilvl w:val="0"/>
          <w:numId w:val="0"/>
        </w:numPr>
        <w:spacing w:line="240" w:lineRule="auto"/>
        <w:jc w:val="center"/>
        <w:rPr>
          <w:rFonts w:hint="cs"/>
          <w:rtl/>
          <w:lang w:val="fr-CH"/>
        </w:rPr>
      </w:pPr>
      <w:r w:rsidRPr="001E64BF">
        <w:drawing>
          <wp:inline distT="0" distB="0" distL="0" distR="0" wp14:anchorId="177E62D4" wp14:editId="66A22CF0">
            <wp:extent cx="5181600" cy="1898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1898650"/>
                    </a:xfrm>
                    <a:prstGeom prst="rect">
                      <a:avLst/>
                    </a:prstGeom>
                    <a:noFill/>
                    <a:ln>
                      <a:noFill/>
                    </a:ln>
                  </pic:spPr>
                </pic:pic>
              </a:graphicData>
            </a:graphic>
          </wp:inline>
        </w:drawing>
      </w:r>
    </w:p>
    <w:p w:rsidR="009B038C" w:rsidRDefault="00EC09D9" w:rsidP="002D29F7">
      <w:pPr>
        <w:pStyle w:val="Heading2AR"/>
        <w:rPr>
          <w:lang w:val="fr-CH"/>
        </w:rPr>
      </w:pPr>
      <w:r>
        <w:rPr>
          <w:rFonts w:hint="cs"/>
          <w:rtl/>
          <w:lang w:val="fr-CH"/>
        </w:rPr>
        <w:t>سيولة</w:t>
      </w:r>
      <w:r w:rsidR="002D29F7">
        <w:rPr>
          <w:rFonts w:hint="cs"/>
          <w:rtl/>
          <w:lang w:val="fr-CH"/>
        </w:rPr>
        <w:t xml:space="preserve"> التشغيل</w:t>
      </w:r>
    </w:p>
    <w:p w:rsidR="009B038C" w:rsidRDefault="00961EEB" w:rsidP="00B53DA2">
      <w:pPr>
        <w:pStyle w:val="NumberedParaAR"/>
        <w:rPr>
          <w:lang w:val="fr-CH"/>
        </w:rPr>
      </w:pPr>
      <w:r>
        <w:rPr>
          <w:rFonts w:hint="cs"/>
          <w:rtl/>
          <w:lang w:val="fr-CH"/>
        </w:rPr>
        <w:t xml:space="preserve">تمثّل هذه السيولة المبلغ اللازم للوفاء بالمدفوعات التشغيلية الجارية مثل دفع المرتبات وتسوية فواتير المورّدين وإجراء توزيعات نظامي مدريد ولاهاي. وعليه فإن الهدف الاستثماري </w:t>
      </w:r>
      <w:r w:rsidR="00DF7EAC">
        <w:rPr>
          <w:rFonts w:hint="cs"/>
          <w:rtl/>
          <w:lang w:val="fr-CH"/>
        </w:rPr>
        <w:t>سيكون</w:t>
      </w:r>
      <w:r>
        <w:rPr>
          <w:rFonts w:hint="cs"/>
          <w:rtl/>
          <w:lang w:val="fr-CH"/>
        </w:rPr>
        <w:t xml:space="preserve"> ضمان السيولة، و</w:t>
      </w:r>
      <w:r w:rsidR="00DF7EAC">
        <w:rPr>
          <w:rFonts w:hint="cs"/>
          <w:rtl/>
          <w:lang w:val="fr-CH"/>
        </w:rPr>
        <w:t xml:space="preserve">سيكون </w:t>
      </w:r>
      <w:r>
        <w:rPr>
          <w:rFonts w:hint="cs"/>
          <w:rtl/>
          <w:lang w:val="fr-CH"/>
        </w:rPr>
        <w:t xml:space="preserve">الأفق الاستثماري </w:t>
      </w:r>
      <w:r w:rsidR="00DF7EAC">
        <w:rPr>
          <w:rFonts w:hint="cs"/>
          <w:rtl/>
          <w:lang w:val="fr-CH"/>
        </w:rPr>
        <w:t xml:space="preserve">فوريا لأن السيولة مطلوبة يوميا، وينبغي أن تسعى </w:t>
      </w:r>
      <w:r w:rsidR="00B53DA2">
        <w:rPr>
          <w:rFonts w:hint="cs"/>
          <w:rtl/>
          <w:lang w:val="fr-CH"/>
        </w:rPr>
        <w:t>سمات</w:t>
      </w:r>
      <w:r w:rsidR="00DF7EAC">
        <w:rPr>
          <w:rFonts w:hint="cs"/>
          <w:rtl/>
          <w:lang w:val="fr-CH"/>
        </w:rPr>
        <w:t xml:space="preserve"> المخاطر المعتمدة إلى</w:t>
      </w:r>
      <w:r w:rsidR="009843CD">
        <w:rPr>
          <w:rFonts w:hint="cs"/>
          <w:rtl/>
          <w:lang w:val="fr-CH"/>
        </w:rPr>
        <w:t xml:space="preserve"> ضمان أن تمكّن أية استثمارات لسيولة التشغيل</w:t>
      </w:r>
      <w:r w:rsidR="00DF7EAC">
        <w:rPr>
          <w:rFonts w:hint="cs"/>
          <w:rtl/>
          <w:lang w:val="fr-CH"/>
        </w:rPr>
        <w:t xml:space="preserve"> من الاحتفاظ برأس المال ومن تحويلها بسرعة إلى سيولة. وفي </w:t>
      </w:r>
      <w:proofErr w:type="spellStart"/>
      <w:r w:rsidR="00DF7EAC">
        <w:rPr>
          <w:rFonts w:hint="cs"/>
          <w:rtl/>
          <w:lang w:val="fr-CH"/>
        </w:rPr>
        <w:t>الوييو</w:t>
      </w:r>
      <w:proofErr w:type="spellEnd"/>
      <w:r w:rsidR="009843CD">
        <w:rPr>
          <w:rFonts w:hint="cs"/>
          <w:rtl/>
          <w:lang w:val="fr-CH"/>
        </w:rPr>
        <w:t>، يتغيّر مبلغ سيولة التشغيل</w:t>
      </w:r>
      <w:r w:rsidR="00DF7EAC">
        <w:rPr>
          <w:rFonts w:hint="cs"/>
          <w:rtl/>
          <w:lang w:val="fr-CH"/>
        </w:rPr>
        <w:t xml:space="preserve"> اللازم من شهر إلى آخر ولكنه </w:t>
      </w:r>
      <w:r w:rsidR="001D3722">
        <w:rPr>
          <w:rFonts w:hint="cs"/>
          <w:rtl/>
          <w:lang w:val="fr-CH"/>
        </w:rPr>
        <w:t>لم يتجاوز، على مدى الشهرين السابقين اللذين روقبت خلالها تدفقات الويبو النقدية عن كثب، 50 مليون فرنك سويسري.</w:t>
      </w:r>
    </w:p>
    <w:p w:rsidR="001D3722" w:rsidRPr="006313C7" w:rsidRDefault="001D3722" w:rsidP="00825F54">
      <w:pPr>
        <w:pStyle w:val="NumberedParaAR"/>
        <w:rPr>
          <w:lang w:val="fr-CH"/>
        </w:rPr>
      </w:pPr>
      <w:r>
        <w:rPr>
          <w:rFonts w:hint="cs"/>
          <w:rtl/>
          <w:lang w:val="fr-CH"/>
        </w:rPr>
        <w:t xml:space="preserve">وبالإضافة إلى ضمان </w:t>
      </w:r>
      <w:r w:rsidR="00825F54">
        <w:rPr>
          <w:rFonts w:hint="cs"/>
          <w:rtl/>
          <w:lang w:val="fr-CH"/>
        </w:rPr>
        <w:t>أن يتوافر ل</w:t>
      </w:r>
      <w:r w:rsidR="001C55F9">
        <w:rPr>
          <w:rFonts w:hint="cs"/>
          <w:rtl/>
          <w:lang w:val="fr-CH"/>
        </w:rPr>
        <w:t>ل</w:t>
      </w:r>
      <w:r>
        <w:rPr>
          <w:rFonts w:hint="cs"/>
          <w:rtl/>
          <w:lang w:val="fr-CH"/>
        </w:rPr>
        <w:t xml:space="preserve">منظمة ما يكفي من السيولة لتلبية متطلباتها التشغيلية، ينبغي كذلك مراعاة سيولة </w:t>
      </w:r>
      <w:r w:rsidR="00185287">
        <w:rPr>
          <w:rFonts w:hint="cs"/>
          <w:rtl/>
          <w:lang w:val="fr-CH"/>
        </w:rPr>
        <w:t xml:space="preserve">مستوى </w:t>
      </w:r>
      <w:r>
        <w:rPr>
          <w:rFonts w:hint="cs"/>
          <w:rtl/>
          <w:lang w:val="fr-CH"/>
        </w:rPr>
        <w:t>الاحتياطي المستهدف (تناقش الوثيقة</w:t>
      </w:r>
      <w:r>
        <w:rPr>
          <w:rFonts w:hint="eastAsia"/>
          <w:rtl/>
          <w:lang w:val="fr-CH"/>
        </w:rPr>
        <w:t> </w:t>
      </w:r>
      <w:r w:rsidRPr="001D3722">
        <w:t>WO/PBC/23/8</w:t>
      </w:r>
      <w:r>
        <w:rPr>
          <w:rFonts w:hint="cs"/>
          <w:rtl/>
        </w:rPr>
        <w:t xml:space="preserve"> بالتفصيل </w:t>
      </w:r>
      <w:r w:rsidR="00185287">
        <w:rPr>
          <w:rFonts w:hint="cs"/>
          <w:rtl/>
        </w:rPr>
        <w:t xml:space="preserve">الاحتياطي المستهدف). فقد حُدّد ذلك الاحتياطي، وفقا للهدف الحالي، في مستوى 125 مليون فرنك سويسري فيما يخص عام 2015 والغرض منه هو ضمان توافر أموال احتياطية كافية لتمكين استمرار العمليات في حال تراجع الإيرادات. وبالتالي يمكن الدفع بضرورة الحفاظ على مبلغ في شكل سيولة </w:t>
      </w:r>
      <w:r w:rsidR="002D62B4">
        <w:rPr>
          <w:rFonts w:hint="cs"/>
          <w:rtl/>
        </w:rPr>
        <w:t>م</w:t>
      </w:r>
      <w:r w:rsidR="00185287">
        <w:rPr>
          <w:rFonts w:hint="cs"/>
          <w:rtl/>
        </w:rPr>
        <w:t xml:space="preserve">عادل </w:t>
      </w:r>
      <w:r w:rsidR="002D62B4">
        <w:rPr>
          <w:rFonts w:hint="cs"/>
          <w:rtl/>
        </w:rPr>
        <w:t xml:space="preserve">للمستوى المستهدف. وستشكّل الخمسون مليون فرنك سويسري المطلوبة للوفاء بالمدفوعات الجارية جزءا من السيولة اللازمة لتغطية ذلك المبلغ المستهدف، والنتيجة المتوخاة هي أن تحتفظ المنظمة بأرصدة سيولة في مستوى 125 مليون فرنك سويسري خلال عام 2015. وينبغي </w:t>
      </w:r>
      <w:r w:rsidR="009843CD">
        <w:rPr>
          <w:rFonts w:hint="cs"/>
          <w:rtl/>
        </w:rPr>
        <w:t>أن لا تُستثمر سيولة التشغيل</w:t>
      </w:r>
      <w:r w:rsidR="002D62B4">
        <w:rPr>
          <w:rFonts w:hint="cs"/>
          <w:rtl/>
        </w:rPr>
        <w:t xml:space="preserve"> سوى في الفئات الأصول التي </w:t>
      </w:r>
      <w:r w:rsidR="006313C7">
        <w:rPr>
          <w:rFonts w:hint="cs"/>
          <w:rtl/>
        </w:rPr>
        <w:t>يسهل</w:t>
      </w:r>
      <w:r w:rsidR="002D62B4">
        <w:rPr>
          <w:rFonts w:hint="cs"/>
          <w:rtl/>
        </w:rPr>
        <w:t xml:space="preserve"> </w:t>
      </w:r>
      <w:r w:rsidR="006313C7">
        <w:rPr>
          <w:rFonts w:hint="cs"/>
          <w:rtl/>
        </w:rPr>
        <w:t>تحويلها إلى سيولة بقليل من التكاليف أو بدون أية تكاليف. وترد تلك الأنواع من الاستثمار، من جملة أمور أخرى، في القائمة المبيّنة في الفقرة 10. والاستثمارات التي يسهل تحويلها إلى سيولة، من قبيل الودائع، تتيح الآن عائدا سلبيا ولكن المنظمة ستواصل البحث عن فرص استثمارية تتيح عائدا إيجابيا على المبالغ النقدية المودعة لأجل قصير، بما في ذلك فرص للحصول على عائد إجمالي إيجابي على الاستثمارات القصيرة الأجل المُوظّفة بعملات أخرى غير الفرنك السويسري.</w:t>
      </w:r>
    </w:p>
    <w:p w:rsidR="006313C7" w:rsidRDefault="00D95AB0" w:rsidP="00057E16">
      <w:pPr>
        <w:pStyle w:val="NumberedParaAR"/>
        <w:rPr>
          <w:lang w:val="fr-CH"/>
        </w:rPr>
      </w:pPr>
      <w:r>
        <w:rPr>
          <w:rFonts w:hint="cs"/>
          <w:rtl/>
          <w:lang w:val="fr-CH"/>
        </w:rPr>
        <w:t xml:space="preserve">وتمكّنت الويبو، حتى الآن، من تلافي أثر أسعار الفائدة السلبية على سيولتها. وأتاح </w:t>
      </w:r>
      <w:r w:rsidR="00057E16">
        <w:rPr>
          <w:rFonts w:hint="cs"/>
          <w:rtl/>
          <w:lang w:val="fr-CH"/>
        </w:rPr>
        <w:t>شركاء المنظمة المصرفيون</w:t>
      </w:r>
      <w:r>
        <w:rPr>
          <w:rFonts w:hint="cs"/>
          <w:rtl/>
          <w:lang w:val="fr-CH"/>
        </w:rPr>
        <w:t xml:space="preserve"> </w:t>
      </w:r>
      <w:r w:rsidR="00057E16">
        <w:rPr>
          <w:rFonts w:hint="cs"/>
          <w:rtl/>
          <w:lang w:val="fr-CH"/>
        </w:rPr>
        <w:t>الرئيسيون</w:t>
      </w:r>
      <w:r>
        <w:rPr>
          <w:rFonts w:hint="cs"/>
          <w:rtl/>
          <w:lang w:val="fr-CH"/>
        </w:rPr>
        <w:t xml:space="preserve"> للمنظمة مزيجا </w:t>
      </w:r>
      <w:r w:rsidR="00BF0FD7">
        <w:rPr>
          <w:rFonts w:hint="cs"/>
          <w:rtl/>
          <w:lang w:val="fr-CH"/>
        </w:rPr>
        <w:t xml:space="preserve">يشمل سعر فائدة بقيمة صفر على </w:t>
      </w:r>
      <w:r>
        <w:rPr>
          <w:rFonts w:hint="cs"/>
          <w:rtl/>
          <w:lang w:val="fr-CH"/>
        </w:rPr>
        <w:t xml:space="preserve">ودائع يمكن سحبها بإشعار قصير (لا يتجاوز 35 يوما) وعتبات </w:t>
      </w:r>
      <w:r w:rsidR="00BF0FD7">
        <w:rPr>
          <w:rFonts w:hint="cs"/>
          <w:rtl/>
          <w:lang w:val="fr-CH"/>
        </w:rPr>
        <w:t xml:space="preserve">"إعفاء" للأرصدة النقدية لا تُفرض حاليا تحتها أسعار الفائدة السلبية. وحتى بداية مايو 2015، وصل المبلغ المشمول بذلك </w:t>
      </w:r>
      <w:r w:rsidR="00893264">
        <w:rPr>
          <w:rFonts w:hint="cs"/>
          <w:rtl/>
          <w:lang w:val="fr-CH"/>
        </w:rPr>
        <w:t>بالتسهيلين المذكورين</w:t>
      </w:r>
      <w:r w:rsidR="00BF0FD7">
        <w:rPr>
          <w:rFonts w:hint="cs"/>
          <w:rtl/>
          <w:lang w:val="fr-CH"/>
        </w:rPr>
        <w:t xml:space="preserve"> 125 مليون فرنك سويسري. ولا تزال بقية سيولة الويبو مودعة لدى الإدارة الفدرالية السويسرية للشؤون المالية في شكل استثمارات لا تجلب أية فائدة. وأتيح </w:t>
      </w:r>
      <w:r w:rsidR="00893264">
        <w:rPr>
          <w:rFonts w:hint="cs"/>
          <w:rtl/>
          <w:lang w:val="fr-CH"/>
        </w:rPr>
        <w:t>تسهيلا</w:t>
      </w:r>
      <w:r w:rsidR="00BF0FD7">
        <w:rPr>
          <w:rFonts w:hint="cs"/>
          <w:rtl/>
          <w:lang w:val="fr-CH"/>
        </w:rPr>
        <w:t xml:space="preserve"> عتبات الإعفاء وسعر الفائدة بقيمة صفر </w:t>
      </w:r>
      <w:r w:rsidR="00893264">
        <w:rPr>
          <w:rFonts w:hint="cs"/>
          <w:rtl/>
          <w:lang w:val="fr-CH"/>
        </w:rPr>
        <w:t>كذلك لوكالات الأمم المتحدة الأخرى التي لديها ودائع بالفرنك السويسري، وهما يمثّلان وسيلة جد مفيدة لتجنّب أسعار الفائدة السلبية، لا</w:t>
      </w:r>
      <w:r w:rsidR="00893264">
        <w:rPr>
          <w:rFonts w:hint="eastAsia"/>
          <w:rtl/>
          <w:lang w:val="fr-CH"/>
        </w:rPr>
        <w:t> </w:t>
      </w:r>
      <w:r w:rsidR="00893264">
        <w:rPr>
          <w:rFonts w:hint="cs"/>
          <w:rtl/>
          <w:lang w:val="fr-CH"/>
        </w:rPr>
        <w:t xml:space="preserve">سيما ما يخص السيولة التي ينبغي توافرها بسرعة. غير أن التسهيلين المذكورين قد يُقلّصان أو يُسحبان في أي وقت، حسب أي إجراء آخر يتخذه البنك </w:t>
      </w:r>
      <w:r w:rsidR="00893264" w:rsidRPr="00433E39">
        <w:rPr>
          <w:rtl/>
          <w:lang w:val="fr-CH"/>
        </w:rPr>
        <w:t>الوطني السويسري</w:t>
      </w:r>
      <w:r w:rsidR="00893264">
        <w:rPr>
          <w:rFonts w:hint="cs"/>
          <w:rtl/>
          <w:lang w:val="fr-CH"/>
        </w:rPr>
        <w:t>. وإذا اتُخذ قرار بالحفاظ على مستوى الاحتياطي المستهدف في شكل سيولة متوافرة بسهولة، فإن أي زيادة في المستوى الم</w:t>
      </w:r>
      <w:r w:rsidR="000C00BB">
        <w:rPr>
          <w:rFonts w:hint="cs"/>
          <w:rtl/>
          <w:lang w:val="fr-CH"/>
        </w:rPr>
        <w:t>ستهدف أو أي تغييرات في المبالغ المستفيدة من الإعفاء قد يعني فرض أسعار فائدة سلبية على الأرصدة التي تتجاوز عتبات الإعفاء.</w:t>
      </w:r>
    </w:p>
    <w:p w:rsidR="000C00BB" w:rsidRDefault="000C00BB" w:rsidP="003F6975">
      <w:pPr>
        <w:pStyle w:val="NumberedParaAR"/>
        <w:rPr>
          <w:lang w:val="fr-CH"/>
        </w:rPr>
      </w:pPr>
      <w:r>
        <w:rPr>
          <w:rFonts w:hint="cs"/>
          <w:rtl/>
          <w:lang w:val="fr-CH"/>
        </w:rPr>
        <w:t xml:space="preserve">وعلاوة على ذلك، </w:t>
      </w:r>
      <w:r w:rsidR="002E3F87">
        <w:rPr>
          <w:rFonts w:hint="cs"/>
          <w:rtl/>
          <w:lang w:val="fr-CH"/>
        </w:rPr>
        <w:t>وبعد سحب السيولة المودعة لدى الإدارة الفدرالية السويسرية في ديسمبر 2015، وإذا أودع</w:t>
      </w:r>
      <w:r w:rsidR="00656A8B">
        <w:rPr>
          <w:rFonts w:hint="cs"/>
          <w:rtl/>
          <w:lang w:val="fr-CH"/>
        </w:rPr>
        <w:t xml:space="preserve">ت كل تلك السيولة لدى الهيئات المصرفية الشريكة </w:t>
      </w:r>
      <w:proofErr w:type="spellStart"/>
      <w:r w:rsidR="00656A8B">
        <w:rPr>
          <w:rFonts w:hint="cs"/>
          <w:rtl/>
          <w:lang w:val="fr-CH"/>
        </w:rPr>
        <w:t>للويبو</w:t>
      </w:r>
      <w:proofErr w:type="spellEnd"/>
      <w:r w:rsidR="00656A8B">
        <w:rPr>
          <w:rFonts w:hint="cs"/>
          <w:rtl/>
          <w:lang w:val="fr-CH"/>
        </w:rPr>
        <w:t xml:space="preserve">، فإن المستويات التي حُدّدت للاستفادة من عتبات الإعفاء والودائع التي يُطبّق عليها سعر فائدة بقيمة صفر ستُتجاوز بالتأكيد وستُطبّق أسعار فائدة سلبية على الرصيد الزائد. وتتوقّع الأمانة أن هذا الوضع سيستمر لعدة أشهر في عام 2016 لأنه يجب إتاحة بعض الوقت، شرط موافقة الدول الأعضاء، لاختيار الشركاء والمؤسسات التي يمكن أن تودع أو تُستثمر لديها سيولة الويبو. وذلك هو السبب وراء </w:t>
      </w:r>
      <w:r w:rsidR="00793464">
        <w:rPr>
          <w:rFonts w:hint="cs"/>
          <w:rtl/>
          <w:lang w:val="fr-CH"/>
        </w:rPr>
        <w:t>رصد</w:t>
      </w:r>
      <w:r w:rsidR="00656A8B">
        <w:rPr>
          <w:rFonts w:hint="cs"/>
          <w:rtl/>
          <w:lang w:val="fr-CH"/>
        </w:rPr>
        <w:t xml:space="preserve"> برنامج وميزانية الثنائية</w:t>
      </w:r>
      <w:r w:rsidR="003F6975">
        <w:rPr>
          <w:rFonts w:hint="eastAsia"/>
          <w:rtl/>
          <w:lang w:val="fr-CH"/>
        </w:rPr>
        <w:t> </w:t>
      </w:r>
      <w:r w:rsidR="00656A8B">
        <w:rPr>
          <w:rFonts w:hint="cs"/>
          <w:rtl/>
          <w:lang w:val="fr-CH"/>
        </w:rPr>
        <w:t xml:space="preserve">2016/17 اعتمادا لأغراض </w:t>
      </w:r>
      <w:r w:rsidR="00793464">
        <w:rPr>
          <w:rFonts w:hint="cs"/>
          <w:rtl/>
          <w:lang w:val="fr-CH"/>
        </w:rPr>
        <w:t>سعر الفائدة السلبي.</w:t>
      </w:r>
    </w:p>
    <w:p w:rsidR="00F324BD" w:rsidRPr="00F324BD" w:rsidRDefault="00F324BD" w:rsidP="00F324BD">
      <w:pPr>
        <w:pStyle w:val="NumberedParaAR"/>
        <w:numPr>
          <w:ilvl w:val="0"/>
          <w:numId w:val="0"/>
        </w:numPr>
        <w:rPr>
          <w:u w:val="single"/>
          <w:lang w:val="fr-CH"/>
        </w:rPr>
      </w:pPr>
      <w:r w:rsidRPr="00F324BD">
        <w:rPr>
          <w:rFonts w:hint="cs"/>
          <w:u w:val="single"/>
          <w:rtl/>
          <w:lang w:val="fr-CH"/>
        </w:rPr>
        <w:t>الآثار بالنسبة للسياسة الاستثمار</w:t>
      </w:r>
    </w:p>
    <w:p w:rsidR="009B038C" w:rsidRDefault="00F324BD" w:rsidP="00F324BD">
      <w:pPr>
        <w:pStyle w:val="NumberedParaAR"/>
        <w:rPr>
          <w:lang w:val="fr-CH"/>
        </w:rPr>
      </w:pPr>
      <w:r>
        <w:rPr>
          <w:rFonts w:hint="cs"/>
          <w:rtl/>
          <w:lang w:val="fr-CH"/>
        </w:rPr>
        <w:t>تبرز الحاجة إلى الاحتفاظ بأرصدة نقدية ثلاثة قضايا فيما يخص سياسة الاستثمار الراهنة:</w:t>
      </w:r>
    </w:p>
    <w:p w:rsidR="00F324BD" w:rsidRDefault="00F324BD" w:rsidP="00057E16">
      <w:pPr>
        <w:pStyle w:val="NumberedParaAR"/>
        <w:numPr>
          <w:ilvl w:val="0"/>
          <w:numId w:val="0"/>
        </w:numPr>
        <w:ind w:left="566"/>
        <w:rPr>
          <w:rtl/>
        </w:rPr>
      </w:pPr>
      <w:r>
        <w:rPr>
          <w:rFonts w:hint="cs"/>
          <w:rtl/>
          <w:lang w:val="fr-CH"/>
        </w:rPr>
        <w:t>"1"</w:t>
      </w:r>
      <w:r>
        <w:rPr>
          <w:rtl/>
          <w:lang w:val="fr-CH"/>
        </w:rPr>
        <w:tab/>
      </w:r>
      <w:r>
        <w:rPr>
          <w:rFonts w:hint="cs"/>
          <w:rtl/>
          <w:lang w:val="fr-CH"/>
        </w:rPr>
        <w:t xml:space="preserve">لن تُستثمر سيولة التشغيل، إن استُثمرت، سوى على مدة قصيرة. والسياسة الراهنة لا تشير إلى الاستثمارات القصيرة الأجل، ولا تنص على الحد الأدنى </w:t>
      </w:r>
      <w:r w:rsidR="0066031F">
        <w:rPr>
          <w:rFonts w:hint="cs"/>
          <w:rtl/>
          <w:lang w:val="fr-CH"/>
        </w:rPr>
        <w:t>المقبول للتصنيفات</w:t>
      </w:r>
      <w:r>
        <w:rPr>
          <w:rFonts w:hint="cs"/>
          <w:rtl/>
          <w:lang w:val="fr-CH"/>
        </w:rPr>
        <w:t xml:space="preserve"> </w:t>
      </w:r>
      <w:r w:rsidR="0066031F">
        <w:rPr>
          <w:rFonts w:hint="cs"/>
          <w:rtl/>
          <w:lang w:val="fr-CH"/>
        </w:rPr>
        <w:t>الائتمانية</w:t>
      </w:r>
      <w:r>
        <w:rPr>
          <w:rFonts w:hint="cs"/>
          <w:rtl/>
          <w:lang w:val="fr-CH"/>
        </w:rPr>
        <w:t xml:space="preserve"> فيما يخص تلك الاستثمارات. والاقتراح هو </w:t>
      </w:r>
      <w:r w:rsidR="0066031F">
        <w:rPr>
          <w:rFonts w:hint="cs"/>
          <w:rtl/>
          <w:lang w:val="fr-CH"/>
        </w:rPr>
        <w:t>تضمين السياسة الجديدة تعريفا للأجل القصير باعتباره فترات لا تتجاوز سنة واحد وتحديد التصنيفات الائتمانية القصيرة الأجل المقبولة. وستكون تلك التصنيفات المعادلة للتصنيفات الطويلة الأجل المقبولة المبيّنة في "2" أدناه، أي</w:t>
      </w:r>
      <w:r w:rsidR="00057E16">
        <w:rPr>
          <w:rFonts w:hint="cs"/>
          <w:rtl/>
          <w:lang w:val="fr-CH"/>
        </w:rPr>
        <w:t xml:space="preserve"> التصنيف</w:t>
      </w:r>
      <w:r w:rsidR="00057E16" w:rsidRPr="0066031F">
        <w:t>A-2/P-2</w:t>
      </w:r>
      <w:r w:rsidR="00057E16">
        <w:rPr>
          <w:rFonts w:hint="cs"/>
          <w:rtl/>
          <w:lang w:val="fr-CH"/>
        </w:rPr>
        <w:t xml:space="preserve"> </w:t>
      </w:r>
      <w:r w:rsidR="00057E16">
        <w:rPr>
          <w:rStyle w:val="FootnoteReference"/>
        </w:rPr>
        <w:footnoteReference w:id="1"/>
      </w:r>
      <w:r w:rsidR="00057E16">
        <w:rPr>
          <w:rFonts w:hint="cs"/>
          <w:rtl/>
        </w:rPr>
        <w:t xml:space="preserve"> فيما يخص البنوك والحكومات، و التصنيف</w:t>
      </w:r>
      <w:r w:rsidR="00057E16">
        <w:rPr>
          <w:rFonts w:hint="eastAsia"/>
          <w:rtl/>
        </w:rPr>
        <w:t> </w:t>
      </w:r>
      <w:r w:rsidR="00057E16" w:rsidRPr="00057E16">
        <w:t>3/P-3</w:t>
      </w:r>
      <w:r w:rsidR="00057E16">
        <w:rPr>
          <w:rFonts w:hint="cs"/>
          <w:rtl/>
        </w:rPr>
        <w:t xml:space="preserve"> فيما يخص سندات الشركات.</w:t>
      </w:r>
    </w:p>
    <w:p w:rsidR="00057E16" w:rsidRDefault="00057E16" w:rsidP="00396F46">
      <w:pPr>
        <w:pStyle w:val="NumberedParaAR"/>
        <w:numPr>
          <w:ilvl w:val="0"/>
          <w:numId w:val="0"/>
        </w:numPr>
        <w:ind w:left="566"/>
        <w:rPr>
          <w:rtl/>
        </w:rPr>
      </w:pPr>
      <w:r>
        <w:rPr>
          <w:rFonts w:hint="cs"/>
          <w:rtl/>
        </w:rPr>
        <w:t>"2"</w:t>
      </w:r>
      <w:r>
        <w:rPr>
          <w:rtl/>
        </w:rPr>
        <w:tab/>
      </w:r>
      <w:r>
        <w:rPr>
          <w:rFonts w:hint="cs"/>
          <w:rtl/>
        </w:rPr>
        <w:t xml:space="preserve">ويمثّل الاحتفاظ بودائع، ولو بسعر فائدة بقيمة صفر، نشاطا استثماريا. ولا يستوفي </w:t>
      </w:r>
      <w:r>
        <w:rPr>
          <w:rFonts w:hint="cs"/>
          <w:rtl/>
          <w:lang w:val="fr-CH"/>
        </w:rPr>
        <w:t xml:space="preserve">شركاء الويبو المصرفيون الرئيسيون الحد الأدنى للتصنيفات الائتمانية المنصوص عليها في سياسة الاستثمار الراهنة، وبالتالي إذا أقدمت المنظمة على الانتفاع كليا بالتسهيلين المتاحين حاليا </w:t>
      </w:r>
      <w:r w:rsidR="001B6351">
        <w:rPr>
          <w:rFonts w:hint="cs"/>
          <w:rtl/>
          <w:lang w:val="fr-CH"/>
        </w:rPr>
        <w:t xml:space="preserve">ومن ثمّ نجنّب أسعار الفائدة السلبية، فإنه سيتعيّن خفض الحد الأدنى للتصنيفات. ويتمثّل الاقتراح في خفض مستوى التصنيفات المقبولة على النحو التالي: سيلزم للبنوك والسندات الحكومية الاتسام بتصنيف ائتماني طويل الأجل من </w:t>
      </w:r>
      <w:r w:rsidR="00396F46">
        <w:rPr>
          <w:rFonts w:hint="cs"/>
          <w:rtl/>
          <w:lang w:val="fr-CH"/>
        </w:rPr>
        <w:t>درجة</w:t>
      </w:r>
      <w:r w:rsidR="001B6351">
        <w:rPr>
          <w:rFonts w:hint="eastAsia"/>
          <w:rtl/>
          <w:lang w:val="fr-CH"/>
        </w:rPr>
        <w:t> </w:t>
      </w:r>
      <w:r w:rsidR="001B6351" w:rsidRPr="001B6351">
        <w:t>A-/A3</w:t>
      </w:r>
      <w:r w:rsidR="001B6351">
        <w:rPr>
          <w:rFonts w:hint="cs"/>
          <w:rtl/>
        </w:rPr>
        <w:t xml:space="preserve"> أو أعلى من ذلك؛ وسيجب على سندات الشركات الاتسام بتصنيف ائتماني من </w:t>
      </w:r>
      <w:r w:rsidR="00396F46">
        <w:rPr>
          <w:rFonts w:hint="cs"/>
          <w:rtl/>
        </w:rPr>
        <w:t>درجة</w:t>
      </w:r>
      <w:r w:rsidR="001B6351">
        <w:rPr>
          <w:rFonts w:hint="eastAsia"/>
          <w:rtl/>
        </w:rPr>
        <w:t> </w:t>
      </w:r>
      <w:r w:rsidR="001B6351" w:rsidRPr="001B6351">
        <w:t>BBB-/Baa3</w:t>
      </w:r>
      <w:r w:rsidR="001B6351">
        <w:rPr>
          <w:rFonts w:hint="cs"/>
          <w:rtl/>
        </w:rPr>
        <w:t xml:space="preserve"> أو أعلى من ذلك.</w:t>
      </w:r>
    </w:p>
    <w:p w:rsidR="001B6351" w:rsidRDefault="001B6351" w:rsidP="00601FEC">
      <w:pPr>
        <w:pStyle w:val="NumberedParaAR"/>
        <w:numPr>
          <w:ilvl w:val="0"/>
          <w:numId w:val="0"/>
        </w:numPr>
        <w:ind w:left="566"/>
        <w:rPr>
          <w:rtl/>
        </w:rPr>
      </w:pPr>
      <w:r>
        <w:rPr>
          <w:rFonts w:hint="cs"/>
          <w:rtl/>
        </w:rPr>
        <w:t>"3"</w:t>
      </w:r>
      <w:r>
        <w:rPr>
          <w:rtl/>
        </w:rPr>
        <w:tab/>
      </w:r>
      <w:r w:rsidR="00031860">
        <w:rPr>
          <w:rFonts w:hint="cs"/>
          <w:rtl/>
        </w:rPr>
        <w:t xml:space="preserve">وتدعو السياسة الراهنة إلى </w:t>
      </w:r>
      <w:r w:rsidR="00396F46">
        <w:rPr>
          <w:rFonts w:hint="cs"/>
          <w:rtl/>
        </w:rPr>
        <w:t xml:space="preserve">أن </w:t>
      </w:r>
      <w:r w:rsidR="00031860">
        <w:rPr>
          <w:rFonts w:hint="cs"/>
          <w:rtl/>
        </w:rPr>
        <w:t>"</w:t>
      </w:r>
      <w:r w:rsidR="00396F46" w:rsidRPr="00396F46">
        <w:rPr>
          <w:rtl/>
        </w:rPr>
        <w:t>لا يكون أكثر من عشرة بالمائة من الاستثمار</w:t>
      </w:r>
      <w:r w:rsidR="00396F46">
        <w:rPr>
          <w:rFonts w:hint="cs"/>
          <w:rtl/>
        </w:rPr>
        <w:t>"</w:t>
      </w:r>
      <w:r w:rsidR="00396F46" w:rsidRPr="00396F46">
        <w:rPr>
          <w:rtl/>
        </w:rPr>
        <w:t xml:space="preserve"> </w:t>
      </w:r>
      <w:r w:rsidR="00396F46">
        <w:rPr>
          <w:rFonts w:hint="cs"/>
          <w:rtl/>
        </w:rPr>
        <w:t>موظّفا</w:t>
      </w:r>
      <w:r w:rsidR="00396F46" w:rsidRPr="00396F46">
        <w:rPr>
          <w:rtl/>
        </w:rPr>
        <w:t xml:space="preserve"> </w:t>
      </w:r>
      <w:r w:rsidR="00396F46">
        <w:rPr>
          <w:rFonts w:hint="cs"/>
          <w:rtl/>
        </w:rPr>
        <w:t xml:space="preserve">لدى </w:t>
      </w:r>
      <w:r w:rsidR="00396F46">
        <w:rPr>
          <w:rtl/>
        </w:rPr>
        <w:t>مؤسسة واحدة</w:t>
      </w:r>
      <w:r w:rsidR="00396F46" w:rsidRPr="00396F46">
        <w:rPr>
          <w:rtl/>
        </w:rPr>
        <w:t>، باستثناء المؤسس</w:t>
      </w:r>
      <w:r w:rsidR="00396F46">
        <w:rPr>
          <w:rtl/>
        </w:rPr>
        <w:t>ات ذات المخاطر السيادية و</w:t>
      </w:r>
      <w:r w:rsidR="00396F46">
        <w:rPr>
          <w:rFonts w:hint="cs"/>
          <w:rtl/>
        </w:rPr>
        <w:t>تصنيف ائتماني من درجة</w:t>
      </w:r>
      <w:r w:rsidR="00396F46">
        <w:rPr>
          <w:rFonts w:hint="eastAsia"/>
          <w:rtl/>
        </w:rPr>
        <w:t> </w:t>
      </w:r>
      <w:r w:rsidR="00396F46" w:rsidRPr="00396F46">
        <w:t>AAA/</w:t>
      </w:r>
      <w:proofErr w:type="spellStart"/>
      <w:r w:rsidR="00396F46" w:rsidRPr="00396F46">
        <w:t>Aaa</w:t>
      </w:r>
      <w:proofErr w:type="spellEnd"/>
      <w:r w:rsidR="00396F46">
        <w:rPr>
          <w:rFonts w:hint="cs"/>
          <w:rtl/>
        </w:rPr>
        <w:t>. وفي السوق الحالية، ليس من الصعب للغاية فحسب تحديد البنوك التي تتسم بتصنيف ائتماني من درجة</w:t>
      </w:r>
      <w:r w:rsidR="00396F46">
        <w:rPr>
          <w:rFonts w:hint="eastAsia"/>
          <w:rtl/>
        </w:rPr>
        <w:t> </w:t>
      </w:r>
      <w:r w:rsidR="00396F46" w:rsidRPr="00396F46">
        <w:t>AAA/</w:t>
      </w:r>
      <w:proofErr w:type="spellStart"/>
      <w:r w:rsidR="00396F46" w:rsidRPr="00396F46">
        <w:t>Aaa</w:t>
      </w:r>
      <w:proofErr w:type="spellEnd"/>
      <w:r w:rsidR="00396F46">
        <w:rPr>
          <w:rFonts w:hint="cs"/>
          <w:rtl/>
        </w:rPr>
        <w:t>، بل يكاد يتعذّر إقامة علاقات مصر</w:t>
      </w:r>
      <w:r w:rsidR="00601FEC">
        <w:rPr>
          <w:rFonts w:hint="cs"/>
          <w:rtl/>
        </w:rPr>
        <w:t xml:space="preserve">فية جديدة بشأن الفرنك السويسري لأن الأموال الجديدة المستلمة تؤدي إلى تحمّل البنوك المعنية رسوما إضافية يفرضها البنك الوطني السويسري بخصوص سعر الفائدة السلبي. وينطبق ذلك على البنوك السويسرية والبنوك الموجودة في الخارج على حد سواء. والمنظمة محظوظة لأن لها فعلا علاقات قائمة مع خمسة مؤسسات مالية سويسرية. وليس كل تلك العلاقات علاقات استثمارية وستستكشف الويبو إمكانية الاستناد إلى العلاقة التي تقيمها مع شركائها المصرفيين في مجال غير استثماري </w:t>
      </w:r>
      <w:r w:rsidR="00DC4312">
        <w:rPr>
          <w:rFonts w:hint="cs"/>
          <w:rtl/>
        </w:rPr>
        <w:t>للتثبّت مما إذا كان يمكن حماية مبالغ إضافية من سيولتها من أسعار الفائدة السلبية. وبالرغم من الجهود التي ستُبذل، من المستبعد جدا أن تنجح المنظمة في إقامة علاقات مصرفية جديدة تماما بشأن الفرنك السويسري وبالتالي يجب تغيير سياسة الاستثمار لتجسّد واقع البيئة المصرفية الراهنة. وتُقترح الصياغة التالية لأغراض السياسة:</w:t>
      </w:r>
    </w:p>
    <w:p w:rsidR="00DC4312" w:rsidRPr="009843CD" w:rsidRDefault="00DC4312" w:rsidP="009843CD">
      <w:pPr>
        <w:pStyle w:val="NumberedParaAR"/>
        <w:numPr>
          <w:ilvl w:val="0"/>
          <w:numId w:val="0"/>
        </w:numPr>
        <w:ind w:left="566"/>
        <w:rPr>
          <w:i/>
          <w:iCs/>
          <w:rtl/>
        </w:rPr>
      </w:pPr>
      <w:r w:rsidRPr="009843CD">
        <w:rPr>
          <w:i/>
          <w:iCs/>
          <w:rtl/>
          <w:lang w:val="fr-CH" w:bidi="ar-LB"/>
        </w:rPr>
        <w:t xml:space="preserve">توَّزع استثمارات المنظمة </w:t>
      </w:r>
      <w:r w:rsidR="009843CD">
        <w:rPr>
          <w:rFonts w:hint="cs"/>
          <w:i/>
          <w:iCs/>
          <w:rtl/>
          <w:lang w:val="fr-CH" w:bidi="ar-LB"/>
        </w:rPr>
        <w:t>من سيولة التشغيل</w:t>
      </w:r>
      <w:r w:rsidRPr="009843CD">
        <w:rPr>
          <w:rFonts w:hint="cs"/>
          <w:i/>
          <w:iCs/>
          <w:rtl/>
          <w:lang w:val="fr-CH" w:bidi="ar-LB"/>
        </w:rPr>
        <w:t xml:space="preserve"> والسيولة الأساسية </w:t>
      </w:r>
      <w:r w:rsidRPr="009843CD">
        <w:rPr>
          <w:i/>
          <w:iCs/>
          <w:rtl/>
          <w:lang w:val="fr-CH" w:bidi="ar-LB"/>
        </w:rPr>
        <w:t xml:space="preserve">على مؤسسات عدة، </w:t>
      </w:r>
      <w:r w:rsidRPr="009843CD">
        <w:rPr>
          <w:rFonts w:hint="cs"/>
          <w:i/>
          <w:iCs/>
          <w:rtl/>
          <w:lang w:val="fr-CH" w:bidi="ar-LB"/>
        </w:rPr>
        <w:t xml:space="preserve">بهدف تقسيم الأموال المستثمرة على أربع مؤسسات كحد أدنى، إن أمكن ذلك. ويمكن إيداع كل استثمارات المنظمة من </w:t>
      </w:r>
      <w:r w:rsidR="009843CD">
        <w:rPr>
          <w:rFonts w:hint="cs"/>
          <w:i/>
          <w:iCs/>
          <w:rtl/>
          <w:lang w:val="fr-CH" w:bidi="ar-LB"/>
        </w:rPr>
        <w:t>سيولة التشغيل</w:t>
      </w:r>
      <w:r w:rsidRPr="009843CD">
        <w:rPr>
          <w:rFonts w:hint="cs"/>
          <w:i/>
          <w:iCs/>
          <w:rtl/>
          <w:lang w:val="fr-CH" w:bidi="ar-LB"/>
        </w:rPr>
        <w:t xml:space="preserve"> والسيولة الأساسية لدى </w:t>
      </w:r>
      <w:r w:rsidRPr="009843CD">
        <w:rPr>
          <w:i/>
          <w:iCs/>
          <w:rtl/>
          <w:lang w:val="fr-CH" w:bidi="ar-LB"/>
        </w:rPr>
        <w:t xml:space="preserve">مؤسسة واحدة </w:t>
      </w:r>
      <w:r w:rsidR="009843CD" w:rsidRPr="009843CD">
        <w:rPr>
          <w:rFonts w:hint="cs"/>
          <w:i/>
          <w:iCs/>
          <w:rtl/>
          <w:lang w:val="fr-CH" w:bidi="ar-LB"/>
        </w:rPr>
        <w:t>تتسم ب</w:t>
      </w:r>
      <w:r w:rsidR="009843CD" w:rsidRPr="009843CD">
        <w:rPr>
          <w:i/>
          <w:iCs/>
          <w:rtl/>
          <w:lang w:val="fr-CH" w:bidi="ar-LB"/>
        </w:rPr>
        <w:t xml:space="preserve">مخاطر </w:t>
      </w:r>
      <w:r w:rsidRPr="009843CD">
        <w:rPr>
          <w:i/>
          <w:iCs/>
          <w:rtl/>
          <w:lang w:val="fr-CH" w:bidi="ar-LB"/>
        </w:rPr>
        <w:t xml:space="preserve">سيادية </w:t>
      </w:r>
      <w:r w:rsidR="009843CD" w:rsidRPr="009843CD">
        <w:rPr>
          <w:i/>
          <w:iCs/>
          <w:rtl/>
        </w:rPr>
        <w:t>و</w:t>
      </w:r>
      <w:r w:rsidR="009843CD" w:rsidRPr="009843CD">
        <w:rPr>
          <w:rFonts w:hint="cs"/>
          <w:i/>
          <w:iCs/>
          <w:rtl/>
        </w:rPr>
        <w:t>تصنيف ائتماني من درجة</w:t>
      </w:r>
      <w:r w:rsidR="009843CD" w:rsidRPr="009843CD">
        <w:rPr>
          <w:rFonts w:hint="eastAsia"/>
          <w:i/>
          <w:iCs/>
          <w:rtl/>
        </w:rPr>
        <w:t> </w:t>
      </w:r>
      <w:r w:rsidR="009843CD" w:rsidRPr="009843CD">
        <w:rPr>
          <w:i/>
          <w:iCs/>
        </w:rPr>
        <w:t>AAA/</w:t>
      </w:r>
      <w:proofErr w:type="spellStart"/>
      <w:r w:rsidR="009843CD" w:rsidRPr="009843CD">
        <w:rPr>
          <w:i/>
          <w:iCs/>
        </w:rPr>
        <w:t>Aaa</w:t>
      </w:r>
      <w:proofErr w:type="spellEnd"/>
      <w:r w:rsidR="009843CD" w:rsidRPr="009843CD">
        <w:rPr>
          <w:rFonts w:hint="cs"/>
          <w:i/>
          <w:iCs/>
          <w:rtl/>
        </w:rPr>
        <w:t>.</w:t>
      </w:r>
    </w:p>
    <w:p w:rsidR="009843CD" w:rsidRDefault="009843CD" w:rsidP="006D2FA3">
      <w:pPr>
        <w:pStyle w:val="Heading2AR"/>
        <w:rPr>
          <w:rtl/>
          <w:lang w:val="fr-CH"/>
        </w:rPr>
      </w:pPr>
      <w:r>
        <w:rPr>
          <w:rFonts w:hint="cs"/>
          <w:rtl/>
          <w:lang w:val="fr-CH"/>
        </w:rPr>
        <w:t>السيولة الأساسية</w:t>
      </w:r>
    </w:p>
    <w:p w:rsidR="005C4002" w:rsidRDefault="0053556D" w:rsidP="00B53DA2">
      <w:pPr>
        <w:pStyle w:val="NumberedParaAR"/>
        <w:rPr>
          <w:lang w:val="fr-CH"/>
        </w:rPr>
      </w:pPr>
      <w:r>
        <w:rPr>
          <w:rFonts w:hint="cs"/>
          <w:rtl/>
          <w:lang w:val="fr-CH"/>
        </w:rPr>
        <w:t xml:space="preserve">تمثّل هذه السيولة رصيد الويبو </w:t>
      </w:r>
      <w:r w:rsidR="00A35448">
        <w:rPr>
          <w:rFonts w:hint="cs"/>
          <w:rtl/>
          <w:lang w:val="fr-CH"/>
        </w:rPr>
        <w:t>السائل</w:t>
      </w:r>
      <w:r>
        <w:rPr>
          <w:rFonts w:hint="cs"/>
          <w:rtl/>
          <w:lang w:val="fr-CH"/>
        </w:rPr>
        <w:t xml:space="preserve"> المتبقي بعد خصم سيولة التشغيل والسيولة الاستراتيجية (يرد شرح السيولة الاستراتيجية في الفقرة 12). وهي تشكّل الجزء الأكبر من الأرصدة </w:t>
      </w:r>
      <w:r w:rsidR="00A35448">
        <w:rPr>
          <w:rFonts w:hint="cs"/>
          <w:rtl/>
          <w:lang w:val="fr-CH"/>
        </w:rPr>
        <w:t>السائلة</w:t>
      </w:r>
      <w:r w:rsidR="007C165C">
        <w:rPr>
          <w:rFonts w:hint="cs"/>
          <w:rtl/>
          <w:lang w:val="fr-CH"/>
        </w:rPr>
        <w:t xml:space="preserve"> ويدخل قسط كبير منها ضمن السيولة "المقيّدة" التي ليست في الواقع ملكا للمنظمة (يرجى الرجوع إلى الجدول 1). ولوحظ، على مدى السنوات الأخيرة، أن السيولة الأساسية حافظت على مستواها أو زادت وذلك يشير، ولو أن الكثير من تلك السيولة </w:t>
      </w:r>
      <w:r w:rsidR="00A35448">
        <w:rPr>
          <w:rFonts w:hint="cs"/>
          <w:rtl/>
          <w:lang w:val="fr-CH"/>
        </w:rPr>
        <w:t xml:space="preserve">يُسدّد بانتظام نيابة عن الأطراف الثالثة المحتفظ به لصالحها، إلى أن السيولة ترد بوتيرة منتظمة مماثلة </w:t>
      </w:r>
      <w:r w:rsidR="005C4002">
        <w:rPr>
          <w:rFonts w:hint="cs"/>
          <w:rtl/>
          <w:lang w:val="fr-CH"/>
        </w:rPr>
        <w:t xml:space="preserve">لتمويل الأرصدة. وبناء عليه فإن الهدف الاستثماري سيكون تحقيق توازن بين السيولة والعائد، وسيكون الأفق الاستثماري الأجل المتوسط (أي 12 شهرا أو أكثر) وينبغي أن تكون </w:t>
      </w:r>
      <w:r w:rsidR="00B53DA2">
        <w:rPr>
          <w:rFonts w:hint="cs"/>
          <w:rtl/>
          <w:lang w:val="fr-CH"/>
        </w:rPr>
        <w:t>سمات</w:t>
      </w:r>
      <w:r w:rsidR="005C4002">
        <w:rPr>
          <w:rFonts w:hint="cs"/>
          <w:rtl/>
          <w:lang w:val="fr-CH"/>
        </w:rPr>
        <w:t xml:space="preserve"> المخاطر الحفاظ على رأس المال والسعي، في الوقت ذاته، على إبقاء تقلبات قيم الاستثمارات الأساسية في مستويات منخفضة. </w:t>
      </w:r>
      <w:r w:rsidR="0076392A">
        <w:rPr>
          <w:rFonts w:hint="cs"/>
          <w:rtl/>
          <w:lang w:val="fr-CH"/>
        </w:rPr>
        <w:t>ويشير البحث الذي أجرته الأمانة، بمشاركة تامة من قبل اللجنة الاستشارية المعنية بالاستثمار، إلى إمكانية استثمار تلك الأموال على المدى المتوسط، لنقُل على مدى فترة لا تتجاوز أربعة أعوام، والحصول على عائد إيجابي. وستُستثمر السيولة، على الأنسب، بطريقة تتيح إمكانية النفاذ العرضي إلى جزء منها، بما يمكّن، مثلا، من إجراء المدفوعات الكبيرة المقرّرة في المستقبل، من قبيل تسديد القروض عندما تصبح مستحقة الدفع.</w:t>
      </w:r>
      <w:r w:rsidR="000234B5">
        <w:rPr>
          <w:rFonts w:hint="cs"/>
          <w:rtl/>
          <w:lang w:val="fr-CH"/>
        </w:rPr>
        <w:t xml:space="preserve"> وبالإضافة إلى ذلك وبدلا من استثمار رصيد السيولة الأساسية بالكامل، يمكن الاحتفاظ بما يكفي من الأموال لتسديد قسطين من القرض الخاص بالمبنى الجديد سيحلّ موعدا سدادهما في المستقبل القريب (24 مليون فرنك سويسري في نوفمبر 2015 و16</w:t>
      </w:r>
      <w:r w:rsidR="000234B5">
        <w:rPr>
          <w:rFonts w:hint="eastAsia"/>
          <w:rtl/>
          <w:lang w:val="fr-CH"/>
        </w:rPr>
        <w:t> </w:t>
      </w:r>
      <w:r w:rsidR="000234B5">
        <w:rPr>
          <w:rFonts w:hint="cs"/>
          <w:rtl/>
          <w:lang w:val="fr-CH"/>
        </w:rPr>
        <w:t>مليون فرنك سويسري في يناير 2016.).</w:t>
      </w:r>
    </w:p>
    <w:p w:rsidR="000234B5" w:rsidRPr="000234B5" w:rsidRDefault="000234B5" w:rsidP="000234B5">
      <w:pPr>
        <w:pStyle w:val="NumberedParaAR"/>
        <w:numPr>
          <w:ilvl w:val="0"/>
          <w:numId w:val="0"/>
        </w:numPr>
        <w:rPr>
          <w:u w:val="single"/>
          <w:lang w:val="fr-CH"/>
        </w:rPr>
      </w:pPr>
      <w:r w:rsidRPr="000234B5">
        <w:rPr>
          <w:rFonts w:hint="cs"/>
          <w:u w:val="single"/>
          <w:rtl/>
          <w:lang w:val="fr-CH"/>
        </w:rPr>
        <w:t>الآثار بالنسبة للسياسة الاستثمار</w:t>
      </w:r>
    </w:p>
    <w:p w:rsidR="000234B5" w:rsidRDefault="000234B5" w:rsidP="00911AF7">
      <w:pPr>
        <w:pStyle w:val="NumberedParaAR"/>
        <w:rPr>
          <w:lang w:val="fr-CH"/>
        </w:rPr>
      </w:pPr>
      <w:r>
        <w:rPr>
          <w:rFonts w:hint="cs"/>
          <w:rtl/>
          <w:lang w:val="fr-CH"/>
        </w:rPr>
        <w:t xml:space="preserve">من الواضح، في البيئة الراهنة، أن الودائع المصرفية والاستثمارات في السندات الحكومية السويسرية المتوسطة الأجل لن يحقّق عائدا إيجابيا فيما يخص السيولة الأساسية. وعليه يجب </w:t>
      </w:r>
      <w:r w:rsidR="000D2BC4">
        <w:rPr>
          <w:rFonts w:hint="cs"/>
          <w:rtl/>
          <w:lang w:val="fr-CH"/>
        </w:rPr>
        <w:t xml:space="preserve">أن تُستثمر تلك السيولة في فئات أصول مختلفة لا تسمح سياسة الاستثمار حاليا بالبعض منها. وترد أدناه فئات الأصول المقترحة فيما يتعلق بالسيولة الأساسية. وينطوي بعض من تلك الفئات على مخاطر أعلى من مخاطر المرتبطة بالودائع المصرفية والسندات الحكومية وسندات الشركات التي تُعد، حتى الآن، فئات الأصول الوحيدة المسموح بها. وترد </w:t>
      </w:r>
      <w:r w:rsidR="00911AF7">
        <w:rPr>
          <w:rFonts w:hint="cs"/>
          <w:rtl/>
          <w:lang w:val="fr-CH"/>
        </w:rPr>
        <w:t>مناقشة أخرى للمخاطر في الفقرات من 17 إلى 20.</w:t>
      </w:r>
    </w:p>
    <w:p w:rsidR="00911AF7" w:rsidRPr="00911AF7" w:rsidRDefault="00911AF7" w:rsidP="00911AF7">
      <w:pPr>
        <w:pStyle w:val="NumberedParaAR"/>
        <w:numPr>
          <w:ilvl w:val="0"/>
          <w:numId w:val="0"/>
        </w:numPr>
        <w:jc w:val="center"/>
        <w:rPr>
          <w:b/>
          <w:bCs/>
          <w:rtl/>
          <w:lang w:val="fr-CH"/>
        </w:rPr>
      </w:pPr>
      <w:r w:rsidRPr="00911AF7">
        <w:rPr>
          <w:rFonts w:hint="cs"/>
          <w:b/>
          <w:bCs/>
          <w:rtl/>
          <w:lang w:val="fr-CH"/>
        </w:rPr>
        <w:t>فئات الأصول</w:t>
      </w:r>
    </w:p>
    <w:p w:rsidR="00911AF7" w:rsidRDefault="00911AF7" w:rsidP="00911AF7">
      <w:pPr>
        <w:pStyle w:val="NumberedParaAR"/>
        <w:numPr>
          <w:ilvl w:val="0"/>
          <w:numId w:val="0"/>
        </w:numPr>
        <w:ind w:left="566"/>
        <w:rPr>
          <w:rtl/>
          <w:lang w:val="fr-CH"/>
        </w:rPr>
      </w:pPr>
      <w:r>
        <w:rPr>
          <w:rFonts w:hint="cs"/>
          <w:rtl/>
          <w:lang w:val="fr-CH"/>
        </w:rPr>
        <w:t>أولا.</w:t>
      </w:r>
      <w:r>
        <w:rPr>
          <w:rtl/>
          <w:lang w:val="fr-CH"/>
        </w:rPr>
        <w:tab/>
      </w:r>
      <w:r>
        <w:rPr>
          <w:rFonts w:hint="cs"/>
          <w:rtl/>
          <w:lang w:val="fr-CH"/>
        </w:rPr>
        <w:t>السيولة أو ما يعادلها:</w:t>
      </w:r>
    </w:p>
    <w:p w:rsidR="00911AF7" w:rsidRDefault="00911AF7" w:rsidP="002656BE">
      <w:pPr>
        <w:pStyle w:val="NumberedParaAR"/>
        <w:numPr>
          <w:ilvl w:val="0"/>
          <w:numId w:val="0"/>
        </w:numPr>
        <w:ind w:left="1133"/>
        <w:rPr>
          <w:rtl/>
          <w:lang w:val="fr-CH"/>
        </w:rPr>
      </w:pPr>
      <w:r>
        <w:rPr>
          <w:rFonts w:hint="cs"/>
          <w:rtl/>
          <w:lang w:val="fr-CH"/>
        </w:rPr>
        <w:t>(أ)</w:t>
      </w:r>
      <w:r>
        <w:rPr>
          <w:rtl/>
          <w:lang w:val="fr-CH"/>
        </w:rPr>
        <w:tab/>
      </w:r>
      <w:r w:rsidR="00E46A5F">
        <w:rPr>
          <w:rFonts w:hint="cs"/>
          <w:rtl/>
          <w:lang w:val="fr-CH"/>
        </w:rPr>
        <w:t>ال</w:t>
      </w:r>
      <w:r w:rsidR="002656BE">
        <w:rPr>
          <w:rFonts w:hint="cs"/>
          <w:rtl/>
          <w:lang w:val="fr-CH"/>
        </w:rPr>
        <w:t xml:space="preserve">حساب تحت الطلب أو حساب </w:t>
      </w:r>
      <w:r w:rsidR="00E46A5F">
        <w:rPr>
          <w:rFonts w:hint="cs"/>
          <w:rtl/>
          <w:lang w:val="fr-CH"/>
        </w:rPr>
        <w:t>ال</w:t>
      </w:r>
      <w:r w:rsidR="002656BE">
        <w:rPr>
          <w:rFonts w:hint="cs"/>
          <w:rtl/>
          <w:lang w:val="fr-CH"/>
        </w:rPr>
        <w:t xml:space="preserve">توفير </w:t>
      </w:r>
      <w:r w:rsidR="003E6AAB">
        <w:rPr>
          <w:rFonts w:hint="cs"/>
          <w:rtl/>
          <w:lang w:val="fr-CH"/>
        </w:rPr>
        <w:t xml:space="preserve">أو </w:t>
      </w:r>
      <w:r w:rsidR="002656BE">
        <w:rPr>
          <w:rFonts w:hint="cs"/>
          <w:rtl/>
          <w:lang w:val="fr-CH"/>
        </w:rPr>
        <w:t xml:space="preserve">حساب </w:t>
      </w:r>
      <w:r w:rsidR="00E46A5F">
        <w:rPr>
          <w:rFonts w:hint="cs"/>
          <w:rtl/>
          <w:lang w:val="fr-CH"/>
        </w:rPr>
        <w:t>ال</w:t>
      </w:r>
      <w:r w:rsidR="002656BE">
        <w:rPr>
          <w:rFonts w:hint="cs"/>
          <w:rtl/>
          <w:lang w:val="fr-CH"/>
        </w:rPr>
        <w:t>إيداع</w:t>
      </w:r>
    </w:p>
    <w:p w:rsidR="002656BE" w:rsidRDefault="002656BE" w:rsidP="002656BE">
      <w:pPr>
        <w:pStyle w:val="NumberedParaAR"/>
        <w:numPr>
          <w:ilvl w:val="0"/>
          <w:numId w:val="0"/>
        </w:numPr>
        <w:ind w:left="1133"/>
        <w:rPr>
          <w:rtl/>
          <w:lang w:val="fr-CH"/>
        </w:rPr>
      </w:pPr>
      <w:r>
        <w:rPr>
          <w:rFonts w:hint="cs"/>
          <w:rtl/>
          <w:lang w:val="fr-CH"/>
        </w:rPr>
        <w:t>(ب)</w:t>
      </w:r>
      <w:r>
        <w:rPr>
          <w:rtl/>
          <w:lang w:val="fr-CH"/>
        </w:rPr>
        <w:tab/>
      </w:r>
      <w:r>
        <w:rPr>
          <w:rFonts w:hint="cs"/>
          <w:rtl/>
          <w:lang w:val="fr-CH"/>
        </w:rPr>
        <w:t>شهادات الإيداع/ودائع لأجل</w:t>
      </w:r>
    </w:p>
    <w:p w:rsidR="002656BE" w:rsidRDefault="002656BE" w:rsidP="008E7472">
      <w:pPr>
        <w:pStyle w:val="NumberedParaAR"/>
        <w:numPr>
          <w:ilvl w:val="0"/>
          <w:numId w:val="0"/>
        </w:numPr>
        <w:ind w:left="1133"/>
        <w:rPr>
          <w:rtl/>
          <w:lang w:val="fr-CH"/>
        </w:rPr>
      </w:pPr>
      <w:r>
        <w:rPr>
          <w:rFonts w:hint="cs"/>
          <w:rtl/>
          <w:lang w:val="fr-CH"/>
        </w:rPr>
        <w:t>(ج)</w:t>
      </w:r>
      <w:r>
        <w:rPr>
          <w:rtl/>
          <w:lang w:val="fr-CH"/>
        </w:rPr>
        <w:tab/>
      </w:r>
      <w:r w:rsidR="00E46A5F">
        <w:rPr>
          <w:rFonts w:hint="cs"/>
          <w:rtl/>
          <w:lang w:val="fr-CH"/>
        </w:rPr>
        <w:t>ال</w:t>
      </w:r>
      <w:r>
        <w:rPr>
          <w:rFonts w:hint="cs"/>
          <w:rtl/>
          <w:lang w:val="fr-CH"/>
        </w:rPr>
        <w:t xml:space="preserve">ودائع </w:t>
      </w:r>
      <w:proofErr w:type="spellStart"/>
      <w:r w:rsidR="00E46A5F">
        <w:rPr>
          <w:rFonts w:hint="cs"/>
          <w:rtl/>
          <w:lang w:val="fr-CH"/>
        </w:rPr>
        <w:t>ال</w:t>
      </w:r>
      <w:r w:rsidR="008E7472">
        <w:rPr>
          <w:rFonts w:hint="cs"/>
          <w:rtl/>
          <w:lang w:val="fr-CH"/>
        </w:rPr>
        <w:t>مهيكلة</w:t>
      </w:r>
      <w:proofErr w:type="spellEnd"/>
    </w:p>
    <w:p w:rsidR="002656BE" w:rsidRDefault="002656BE" w:rsidP="002656BE">
      <w:pPr>
        <w:pStyle w:val="NumberedParaAR"/>
        <w:numPr>
          <w:ilvl w:val="0"/>
          <w:numId w:val="0"/>
        </w:numPr>
        <w:ind w:left="1133"/>
        <w:rPr>
          <w:rtl/>
          <w:lang w:val="fr-CH"/>
        </w:rPr>
      </w:pPr>
      <w:r>
        <w:rPr>
          <w:rFonts w:hint="cs"/>
          <w:rtl/>
          <w:lang w:val="fr-CH"/>
        </w:rPr>
        <w:t>(د)</w:t>
      </w:r>
      <w:r>
        <w:rPr>
          <w:rtl/>
          <w:lang w:val="fr-CH"/>
        </w:rPr>
        <w:tab/>
      </w:r>
      <w:r w:rsidR="00E46A5F">
        <w:rPr>
          <w:rFonts w:hint="cs"/>
          <w:rtl/>
          <w:lang w:val="fr-CH"/>
        </w:rPr>
        <w:t>ال</w:t>
      </w:r>
      <w:r w:rsidR="008E7472">
        <w:rPr>
          <w:rFonts w:hint="cs"/>
          <w:rtl/>
          <w:lang w:val="fr-CH"/>
        </w:rPr>
        <w:t xml:space="preserve">ودائع </w:t>
      </w:r>
      <w:r w:rsidR="00E46A5F">
        <w:rPr>
          <w:rFonts w:hint="cs"/>
          <w:rtl/>
          <w:lang w:val="fr-CH"/>
        </w:rPr>
        <w:t>ال</w:t>
      </w:r>
      <w:r w:rsidR="008E7472">
        <w:rPr>
          <w:rFonts w:hint="cs"/>
          <w:rtl/>
          <w:lang w:val="fr-CH"/>
        </w:rPr>
        <w:t>متقاطعة العملات</w:t>
      </w:r>
    </w:p>
    <w:p w:rsidR="008E7472" w:rsidRDefault="008E7472" w:rsidP="008E7472">
      <w:pPr>
        <w:pStyle w:val="NumberedParaAR"/>
        <w:keepNext/>
        <w:numPr>
          <w:ilvl w:val="0"/>
          <w:numId w:val="0"/>
        </w:numPr>
        <w:ind w:left="566"/>
        <w:rPr>
          <w:rtl/>
          <w:lang w:val="fr-CH"/>
        </w:rPr>
      </w:pPr>
      <w:r>
        <w:rPr>
          <w:rFonts w:hint="cs"/>
          <w:rtl/>
          <w:lang w:val="fr-CH"/>
        </w:rPr>
        <w:t>ثانيا.</w:t>
      </w:r>
      <w:r>
        <w:rPr>
          <w:rtl/>
          <w:lang w:val="fr-CH"/>
        </w:rPr>
        <w:tab/>
      </w:r>
      <w:r>
        <w:rPr>
          <w:rFonts w:hint="cs"/>
          <w:rtl/>
          <w:lang w:val="fr-CH"/>
        </w:rPr>
        <w:t>استثمارات السوق المالية:</w:t>
      </w:r>
    </w:p>
    <w:p w:rsidR="008E7472" w:rsidRDefault="008E7472" w:rsidP="008E7472">
      <w:pPr>
        <w:pStyle w:val="NumberedParaAR"/>
        <w:numPr>
          <w:ilvl w:val="0"/>
          <w:numId w:val="0"/>
        </w:numPr>
        <w:ind w:left="1133"/>
        <w:rPr>
          <w:rtl/>
          <w:lang w:val="fr-CH"/>
        </w:rPr>
      </w:pPr>
      <w:r>
        <w:rPr>
          <w:rFonts w:hint="cs"/>
          <w:rtl/>
          <w:lang w:val="fr-CH"/>
        </w:rPr>
        <w:t>(أ)</w:t>
      </w:r>
      <w:r>
        <w:rPr>
          <w:rtl/>
          <w:lang w:val="fr-CH"/>
        </w:rPr>
        <w:tab/>
      </w:r>
      <w:r w:rsidR="00E46A5F">
        <w:rPr>
          <w:rFonts w:hint="cs"/>
          <w:rtl/>
          <w:lang w:val="fr-CH"/>
        </w:rPr>
        <w:t>ال</w:t>
      </w:r>
      <w:r w:rsidR="00E111A7">
        <w:rPr>
          <w:rFonts w:hint="cs"/>
          <w:rtl/>
          <w:lang w:val="fr-CH"/>
        </w:rPr>
        <w:t xml:space="preserve">ورقة </w:t>
      </w:r>
      <w:r w:rsidR="00E46A5F">
        <w:rPr>
          <w:rFonts w:hint="cs"/>
          <w:rtl/>
          <w:lang w:val="fr-CH"/>
        </w:rPr>
        <w:t>ال</w:t>
      </w:r>
      <w:r w:rsidR="00E111A7">
        <w:rPr>
          <w:rFonts w:hint="cs"/>
          <w:rtl/>
          <w:lang w:val="fr-CH"/>
        </w:rPr>
        <w:t>تجارية</w:t>
      </w:r>
    </w:p>
    <w:p w:rsidR="00E111A7" w:rsidRDefault="00E111A7" w:rsidP="001B1801">
      <w:pPr>
        <w:pStyle w:val="NumberedParaAR"/>
        <w:numPr>
          <w:ilvl w:val="0"/>
          <w:numId w:val="0"/>
        </w:numPr>
        <w:ind w:left="1133"/>
        <w:rPr>
          <w:rtl/>
          <w:lang w:val="fr-CH"/>
        </w:rPr>
      </w:pPr>
      <w:r>
        <w:rPr>
          <w:rFonts w:hint="cs"/>
          <w:rtl/>
          <w:lang w:val="fr-CH"/>
        </w:rPr>
        <w:t>(ب)</w:t>
      </w:r>
      <w:r>
        <w:rPr>
          <w:rtl/>
          <w:lang w:val="fr-CH"/>
        </w:rPr>
        <w:tab/>
      </w:r>
      <w:r>
        <w:rPr>
          <w:rFonts w:hint="cs"/>
          <w:rtl/>
          <w:lang w:val="fr-CH"/>
        </w:rPr>
        <w:t xml:space="preserve">اتفاق إعادة الشراء/اتفاق </w:t>
      </w:r>
      <w:r w:rsidR="001B1801">
        <w:rPr>
          <w:rFonts w:hint="cs"/>
          <w:rtl/>
          <w:lang w:val="fr-CH"/>
        </w:rPr>
        <w:t>إعادة الشراء المعاكس</w:t>
      </w:r>
    </w:p>
    <w:p w:rsidR="001B1801" w:rsidRDefault="001B1801" w:rsidP="001B1801">
      <w:pPr>
        <w:pStyle w:val="NumberedParaAR"/>
        <w:numPr>
          <w:ilvl w:val="0"/>
          <w:numId w:val="0"/>
        </w:numPr>
        <w:ind w:left="1133"/>
        <w:rPr>
          <w:rtl/>
          <w:lang w:val="fr-CH"/>
        </w:rPr>
      </w:pPr>
      <w:r>
        <w:rPr>
          <w:rFonts w:hint="cs"/>
          <w:rtl/>
          <w:lang w:val="fr-CH"/>
        </w:rPr>
        <w:t>(ج)</w:t>
      </w:r>
      <w:r>
        <w:rPr>
          <w:rtl/>
          <w:lang w:val="fr-CH"/>
        </w:rPr>
        <w:tab/>
      </w:r>
      <w:r w:rsidR="00E46A5F">
        <w:rPr>
          <w:rFonts w:hint="cs"/>
          <w:rtl/>
          <w:lang w:val="fr-CH"/>
        </w:rPr>
        <w:t>ال</w:t>
      </w:r>
      <w:r>
        <w:rPr>
          <w:rFonts w:hint="cs"/>
          <w:rtl/>
          <w:lang w:val="fr-CH"/>
        </w:rPr>
        <w:t xml:space="preserve">قبول </w:t>
      </w:r>
      <w:r w:rsidR="00E46A5F">
        <w:rPr>
          <w:rFonts w:hint="cs"/>
          <w:rtl/>
          <w:lang w:val="fr-CH"/>
        </w:rPr>
        <w:t>ال</w:t>
      </w:r>
      <w:r>
        <w:rPr>
          <w:rFonts w:hint="cs"/>
          <w:rtl/>
          <w:lang w:val="fr-CH"/>
        </w:rPr>
        <w:t>مصرفي</w:t>
      </w:r>
    </w:p>
    <w:p w:rsidR="001B1801" w:rsidRDefault="001B1801" w:rsidP="001B1801">
      <w:pPr>
        <w:pStyle w:val="NumberedParaAR"/>
        <w:numPr>
          <w:ilvl w:val="0"/>
          <w:numId w:val="0"/>
        </w:numPr>
        <w:ind w:left="566"/>
        <w:rPr>
          <w:rtl/>
          <w:lang w:val="fr-CH"/>
        </w:rPr>
      </w:pPr>
      <w:r>
        <w:rPr>
          <w:rFonts w:hint="cs"/>
          <w:rtl/>
          <w:lang w:val="fr-CH"/>
        </w:rPr>
        <w:t>ثالثا.</w:t>
      </w:r>
      <w:r>
        <w:rPr>
          <w:rtl/>
          <w:lang w:val="fr-CH"/>
        </w:rPr>
        <w:tab/>
      </w:r>
      <w:r>
        <w:rPr>
          <w:rFonts w:hint="cs"/>
          <w:rtl/>
          <w:lang w:val="fr-CH"/>
        </w:rPr>
        <w:t xml:space="preserve">السندات أو السندات </w:t>
      </w:r>
      <w:proofErr w:type="spellStart"/>
      <w:r>
        <w:rPr>
          <w:rFonts w:hint="cs"/>
          <w:rtl/>
          <w:lang w:val="fr-CH"/>
        </w:rPr>
        <w:t>الإذنية</w:t>
      </w:r>
      <w:proofErr w:type="spellEnd"/>
      <w:r>
        <w:rPr>
          <w:rFonts w:hint="cs"/>
          <w:rtl/>
          <w:lang w:val="fr-CH"/>
        </w:rPr>
        <w:t xml:space="preserve"> أو الالتزامات الأخرى (القصيرة الأجل أو المتوسطة الأجل أو الطويلة الأجل) وغيرها من </w:t>
      </w:r>
      <w:r w:rsidR="000760D5">
        <w:rPr>
          <w:rFonts w:hint="cs"/>
          <w:rtl/>
          <w:lang w:val="fr-CH"/>
        </w:rPr>
        <w:t>المنتجات الثابتة العائد:</w:t>
      </w:r>
    </w:p>
    <w:p w:rsidR="00E46A5F" w:rsidRDefault="00E46A5F" w:rsidP="00E46A5F">
      <w:pPr>
        <w:pStyle w:val="NumberedParaAR"/>
        <w:numPr>
          <w:ilvl w:val="0"/>
          <w:numId w:val="0"/>
        </w:numPr>
        <w:ind w:left="1133"/>
        <w:rPr>
          <w:rtl/>
          <w:lang w:val="fr-CH"/>
        </w:rPr>
      </w:pPr>
      <w:r>
        <w:rPr>
          <w:rFonts w:hint="cs"/>
          <w:rtl/>
          <w:lang w:val="fr-CH"/>
        </w:rPr>
        <w:t>(أ)</w:t>
      </w:r>
      <w:r>
        <w:rPr>
          <w:rtl/>
          <w:lang w:val="fr-CH"/>
        </w:rPr>
        <w:tab/>
      </w:r>
      <w:r>
        <w:rPr>
          <w:rFonts w:hint="cs"/>
          <w:rtl/>
          <w:lang w:val="fr-CH"/>
        </w:rPr>
        <w:t>السندات الحكومية</w:t>
      </w:r>
    </w:p>
    <w:p w:rsidR="00E46A5F" w:rsidRDefault="00E46A5F" w:rsidP="00E46A5F">
      <w:pPr>
        <w:pStyle w:val="NumberedParaAR"/>
        <w:numPr>
          <w:ilvl w:val="0"/>
          <w:numId w:val="0"/>
        </w:numPr>
        <w:ind w:left="1133"/>
        <w:rPr>
          <w:rtl/>
          <w:lang w:val="fr-CH"/>
        </w:rPr>
      </w:pPr>
      <w:r>
        <w:rPr>
          <w:rFonts w:hint="cs"/>
          <w:rtl/>
          <w:lang w:val="fr-CH"/>
        </w:rPr>
        <w:t>(ب)</w:t>
      </w:r>
      <w:r>
        <w:rPr>
          <w:rtl/>
          <w:lang w:val="fr-CH"/>
        </w:rPr>
        <w:tab/>
      </w:r>
      <w:r>
        <w:rPr>
          <w:rFonts w:hint="cs"/>
          <w:rtl/>
          <w:lang w:val="fr-CH"/>
        </w:rPr>
        <w:t xml:space="preserve">السندات شبه السيادية </w:t>
      </w:r>
      <w:r>
        <w:rPr>
          <w:rtl/>
          <w:lang w:val="fr-CH"/>
        </w:rPr>
        <w:t>–</w:t>
      </w:r>
      <w:r>
        <w:rPr>
          <w:rFonts w:hint="cs"/>
          <w:rtl/>
          <w:lang w:val="fr-CH"/>
        </w:rPr>
        <w:t xml:space="preserve"> سندات المقاطعات أو السندات المحل</w:t>
      </w:r>
      <w:r w:rsidR="000760D5">
        <w:rPr>
          <w:rFonts w:hint="cs"/>
          <w:rtl/>
          <w:lang w:val="fr-CH"/>
        </w:rPr>
        <w:t>ية أو الإقليمية على سبيل المثال</w:t>
      </w:r>
    </w:p>
    <w:p w:rsidR="00E46A5F" w:rsidRDefault="00E46A5F" w:rsidP="00E46A5F">
      <w:pPr>
        <w:pStyle w:val="NumberedParaAR"/>
        <w:numPr>
          <w:ilvl w:val="0"/>
          <w:numId w:val="0"/>
        </w:numPr>
        <w:ind w:left="1133"/>
        <w:rPr>
          <w:rtl/>
          <w:lang w:val="fr-CH"/>
        </w:rPr>
      </w:pPr>
      <w:r>
        <w:rPr>
          <w:rFonts w:hint="cs"/>
          <w:rtl/>
          <w:lang w:val="fr-CH"/>
        </w:rPr>
        <w:t>(ج)</w:t>
      </w:r>
      <w:r>
        <w:rPr>
          <w:rtl/>
          <w:lang w:val="fr-CH"/>
        </w:rPr>
        <w:tab/>
      </w:r>
      <w:r>
        <w:rPr>
          <w:rFonts w:hint="cs"/>
          <w:rtl/>
          <w:lang w:val="fr-CH"/>
        </w:rPr>
        <w:t>السندات المتجاوزة للسلطة الوطنية</w:t>
      </w:r>
    </w:p>
    <w:p w:rsidR="00931CB6" w:rsidRDefault="00931CB6" w:rsidP="00E46A5F">
      <w:pPr>
        <w:pStyle w:val="NumberedParaAR"/>
        <w:numPr>
          <w:ilvl w:val="0"/>
          <w:numId w:val="0"/>
        </w:numPr>
        <w:ind w:left="1133"/>
        <w:rPr>
          <w:rtl/>
          <w:lang w:val="fr-CH"/>
        </w:rPr>
      </w:pPr>
      <w:r>
        <w:rPr>
          <w:rFonts w:hint="cs"/>
          <w:rtl/>
          <w:lang w:val="fr-CH"/>
        </w:rPr>
        <w:t>(د)</w:t>
      </w:r>
      <w:r>
        <w:rPr>
          <w:rtl/>
          <w:lang w:val="fr-CH"/>
        </w:rPr>
        <w:tab/>
      </w:r>
      <w:r>
        <w:rPr>
          <w:rFonts w:hint="cs"/>
          <w:rtl/>
          <w:lang w:val="fr-CH"/>
        </w:rPr>
        <w:t>سندات الشركات</w:t>
      </w:r>
    </w:p>
    <w:p w:rsidR="00931CB6" w:rsidRDefault="00931CB6" w:rsidP="00931CB6">
      <w:pPr>
        <w:pStyle w:val="NumberedParaAR"/>
        <w:numPr>
          <w:ilvl w:val="0"/>
          <w:numId w:val="0"/>
        </w:numPr>
        <w:ind w:left="1133"/>
        <w:rPr>
          <w:rtl/>
          <w:lang w:val="fr-CH"/>
        </w:rPr>
      </w:pPr>
      <w:r>
        <w:rPr>
          <w:rFonts w:hint="cs"/>
          <w:rtl/>
          <w:lang w:val="fr-CH"/>
        </w:rPr>
        <w:t>(ه)</w:t>
      </w:r>
      <w:r>
        <w:rPr>
          <w:rtl/>
          <w:lang w:val="fr-CH"/>
        </w:rPr>
        <w:tab/>
      </w:r>
      <w:r>
        <w:rPr>
          <w:rFonts w:hint="cs"/>
          <w:rtl/>
          <w:lang w:val="fr-CH"/>
        </w:rPr>
        <w:t>الطرح الخاص</w:t>
      </w:r>
    </w:p>
    <w:p w:rsidR="00931CB6" w:rsidRDefault="00931CB6" w:rsidP="00931CB6">
      <w:pPr>
        <w:pStyle w:val="NumberedParaAR"/>
        <w:numPr>
          <w:ilvl w:val="0"/>
          <w:numId w:val="0"/>
        </w:numPr>
        <w:ind w:left="566"/>
        <w:rPr>
          <w:rtl/>
          <w:lang w:val="fr-CH"/>
        </w:rPr>
      </w:pPr>
      <w:r>
        <w:rPr>
          <w:rFonts w:hint="cs"/>
          <w:rtl/>
          <w:lang w:val="fr-CH"/>
        </w:rPr>
        <w:t>رابعا.</w:t>
      </w:r>
      <w:r>
        <w:rPr>
          <w:rtl/>
          <w:lang w:val="fr-CH"/>
        </w:rPr>
        <w:tab/>
      </w:r>
      <w:r>
        <w:rPr>
          <w:rFonts w:hint="cs"/>
          <w:rtl/>
          <w:lang w:val="fr-CH"/>
        </w:rPr>
        <w:t>صناديق الاستثمار العقاري</w:t>
      </w:r>
    </w:p>
    <w:p w:rsidR="00931CB6" w:rsidRPr="00670900" w:rsidRDefault="00931CB6" w:rsidP="00670900">
      <w:pPr>
        <w:pStyle w:val="NumberedParaAR"/>
        <w:numPr>
          <w:ilvl w:val="0"/>
          <w:numId w:val="0"/>
        </w:numPr>
        <w:ind w:left="566"/>
        <w:rPr>
          <w:i/>
          <w:iCs/>
          <w:rtl/>
          <w:lang w:val="fr-CH"/>
        </w:rPr>
      </w:pPr>
      <w:r w:rsidRPr="00670900">
        <w:rPr>
          <w:rFonts w:hint="cs"/>
          <w:i/>
          <w:iCs/>
          <w:rtl/>
          <w:lang w:val="fr-CH"/>
        </w:rPr>
        <w:t xml:space="preserve">ملاحظة: يمكن أن يكون أي من فئات الأصول المذكورة بعملات غير </w:t>
      </w:r>
      <w:r w:rsidR="00670900" w:rsidRPr="00670900">
        <w:rPr>
          <w:rFonts w:hint="cs"/>
          <w:i/>
          <w:iCs/>
          <w:rtl/>
          <w:lang w:val="fr-CH"/>
        </w:rPr>
        <w:t>الفرنك السويسري وأن يُتحوّط من تقلبات أسعار صرفها إلى الفرنك السويسري. ومن المهم، قبل توظيف استثمارات بعملات غير الفرنك السويسري، تقييم ما إذا كانت تلك الاستثمارات ستحقّق عائدا إجماليا إيجابيا للمنظمة.</w:t>
      </w:r>
    </w:p>
    <w:p w:rsidR="00670900" w:rsidRDefault="00670900" w:rsidP="006D2FA3">
      <w:pPr>
        <w:pStyle w:val="NumberedParaAR"/>
        <w:rPr>
          <w:lang w:val="fr-CH"/>
        </w:rPr>
      </w:pPr>
      <w:r>
        <w:rPr>
          <w:rFonts w:hint="cs"/>
          <w:rtl/>
          <w:lang w:val="fr-CH"/>
        </w:rPr>
        <w:t xml:space="preserve">وسيتطلب الاستثمار في طائفة من الأصول بمراعاة آجال الاستحقاق اللازمة للوفاء بمتطلبات السيولة الأساسية خبرة لا تملكها الويبو في الداخل. </w:t>
      </w:r>
      <w:r w:rsidR="007B6921">
        <w:rPr>
          <w:rFonts w:hint="cs"/>
          <w:rtl/>
          <w:lang w:val="fr-CH"/>
        </w:rPr>
        <w:t>وبالتالي فإن الاقتراح هو الاستعانة بمديري صناديق خارجيين لإدارة محفظة السيولة الأساسية. ويرد مزيد من التفاصيل عن مديري الصناديق الخارجيين في الفقرة 21. وقد اعتُمدت هذه الاستراتيجية مؤخرا من قبل منظمة العمل الدولية التي طلبت اقتراحات من مديري صناديق بخصوص إنشاء محفظة استثمارية. وقد حدّدت</w:t>
      </w:r>
      <w:r w:rsidR="00507690">
        <w:rPr>
          <w:rFonts w:hint="cs"/>
          <w:rtl/>
          <w:lang w:val="fr-CH"/>
        </w:rPr>
        <w:t xml:space="preserve"> تلك المنظمة العائد المستهدف في مستوى</w:t>
      </w:r>
      <w:r w:rsidR="007B6921">
        <w:rPr>
          <w:rFonts w:hint="cs"/>
          <w:rtl/>
          <w:lang w:val="fr-CH"/>
        </w:rPr>
        <w:t xml:space="preserve"> 1</w:t>
      </w:r>
      <w:r w:rsidR="007B6921">
        <w:rPr>
          <w:rFonts w:hint="eastAsia"/>
          <w:rtl/>
          <w:lang w:val="fr-CH"/>
        </w:rPr>
        <w:t> </w:t>
      </w:r>
      <w:r w:rsidR="007B6921">
        <w:rPr>
          <w:rFonts w:hint="cs"/>
          <w:rtl/>
          <w:lang w:val="fr-CH"/>
        </w:rPr>
        <w:t xml:space="preserve">في المائة </w:t>
      </w:r>
      <w:r w:rsidR="00507690">
        <w:rPr>
          <w:rFonts w:hint="cs"/>
          <w:rtl/>
          <w:lang w:val="fr-CH"/>
        </w:rPr>
        <w:t xml:space="preserve">(نسبة صافية دون رسوم الإدارة) ومعايير مختلفة أخرى بما في ذلك مستوى التقلبات المقبول (2 بالمائة)، ونسبة التراجع (الخسارة) القصوى التي يمكن قبولها (3 بالمائة) وفئات الأصول التي لا يمكن اعتمادها (أي الأسهم وصناديق التحوّط). وضمن فئات الأصول المحدّدة في الاقتراح الرسمي، يُسمح للمدير المختار بأن يبتّ في طريقة تقسيم السيولة على فئات الأصول. ويمكن أن تكون الاستثمارات بعملات </w:t>
      </w:r>
      <w:r w:rsidR="00E46152">
        <w:rPr>
          <w:rFonts w:hint="cs"/>
          <w:rtl/>
          <w:lang w:val="fr-CH"/>
        </w:rPr>
        <w:t>أخرى ولكن يجبّ التحوّط بنسبة 100</w:t>
      </w:r>
      <w:r w:rsidR="00E46152">
        <w:rPr>
          <w:rFonts w:hint="eastAsia"/>
          <w:rtl/>
          <w:lang w:val="fr-CH"/>
        </w:rPr>
        <w:t> </w:t>
      </w:r>
      <w:r w:rsidR="00E46152">
        <w:rPr>
          <w:rFonts w:hint="cs"/>
          <w:rtl/>
          <w:lang w:val="fr-CH"/>
        </w:rPr>
        <w:t xml:space="preserve">بالمائة من تقلبات أسعار صرفها إلى الفرنك السويسري. وستكون قيمة تلك المحفظة 50 مليون فرنك سويسري ومنظمة العمل الدولية تنظر أيضا في إمكانية إنشاء محفظة مماثلة بالدولار الأمريكي. وتأمل تلك المنظمة، بفضل المحفظتين المذكورتين وما </w:t>
      </w:r>
      <w:proofErr w:type="spellStart"/>
      <w:r w:rsidR="00E46152">
        <w:rPr>
          <w:rFonts w:hint="cs"/>
          <w:rtl/>
          <w:lang w:val="fr-CH"/>
        </w:rPr>
        <w:t>يتيحه</w:t>
      </w:r>
      <w:proofErr w:type="spellEnd"/>
      <w:r w:rsidR="00E46152">
        <w:rPr>
          <w:rFonts w:hint="cs"/>
          <w:rtl/>
          <w:lang w:val="fr-CH"/>
        </w:rPr>
        <w:t xml:space="preserve"> شركاؤها المصرفيون من عتبات الإعفاء والودائع بسعر فائدة بقيمة صفر، تقليص أثر أسعار الفائدة السلبية على سيولتها إلى أدنى مستوى ممكن. وبالمثل، يمكن </w:t>
      </w:r>
      <w:proofErr w:type="spellStart"/>
      <w:r w:rsidR="00E46152">
        <w:rPr>
          <w:rFonts w:hint="cs"/>
          <w:rtl/>
          <w:lang w:val="fr-CH"/>
        </w:rPr>
        <w:t>للويبو</w:t>
      </w:r>
      <w:proofErr w:type="spellEnd"/>
      <w:r w:rsidR="00E46152">
        <w:rPr>
          <w:rFonts w:hint="cs"/>
          <w:rtl/>
          <w:lang w:val="fr-CH"/>
        </w:rPr>
        <w:t xml:space="preserve"> </w:t>
      </w:r>
      <w:r w:rsidR="006D2FA3">
        <w:rPr>
          <w:rFonts w:hint="cs"/>
          <w:rtl/>
          <w:lang w:val="fr-CH"/>
        </w:rPr>
        <w:t>تكليف مديري صناديق</w:t>
      </w:r>
      <w:r w:rsidR="00E46152">
        <w:rPr>
          <w:rFonts w:hint="cs"/>
          <w:rtl/>
          <w:lang w:val="fr-CH"/>
        </w:rPr>
        <w:t xml:space="preserve"> </w:t>
      </w:r>
      <w:r w:rsidR="006D2FA3">
        <w:rPr>
          <w:rFonts w:hint="cs"/>
          <w:rtl/>
          <w:lang w:val="fr-CH"/>
        </w:rPr>
        <w:t>بإدارة محفظات معيّنة وتحديد المبادئ التوجيهية الاستثمارية التي يجب اتباعها. والجدير بالذكر أنه، في سياق الويبو، ستتأثر إمكانية توظيف استثمارات أولية بعملات غير الفرنك السويسري بالقرار الذي اتخذته مؤخرا الدول الأعضاء في الفريق العامل لمعاهدة التعاون بشأن البراءات، والذي ينبغي أن تعتمده الجمعيات، بشأن التحوّط بخصوص الإيرادات المتأتية من رسوم معاهدة التعاون بشأن البراءات.</w:t>
      </w:r>
    </w:p>
    <w:p w:rsidR="006D2FA3" w:rsidRDefault="006D2FA3" w:rsidP="006D2FA3">
      <w:pPr>
        <w:pStyle w:val="Heading2AR"/>
        <w:rPr>
          <w:rtl/>
          <w:lang w:val="fr-CH"/>
        </w:rPr>
      </w:pPr>
      <w:r>
        <w:rPr>
          <w:rFonts w:hint="cs"/>
          <w:rtl/>
          <w:lang w:val="fr-CH"/>
        </w:rPr>
        <w:t>السيولة الاستراتيجية (الطويلة الأجل)</w:t>
      </w:r>
    </w:p>
    <w:p w:rsidR="006D2FA3" w:rsidRDefault="005235A9" w:rsidP="00F81BCF">
      <w:pPr>
        <w:pStyle w:val="NumberedParaAR"/>
        <w:rPr>
          <w:lang w:val="fr-CH"/>
        </w:rPr>
      </w:pPr>
      <w:r>
        <w:rPr>
          <w:rFonts w:hint="cs"/>
          <w:rtl/>
          <w:lang w:val="fr-CH"/>
        </w:rPr>
        <w:t xml:space="preserve">هذا النوع من السيولة مخالف تماما لسيولة التشغيل. والهدف الاستثماري هو الحصول على عائد إيجابي، والأفق الاستثماري هو الأجل الطويل ويمكن بالتالي أن يمتد على عدة سنوات، أما </w:t>
      </w:r>
      <w:r w:rsidR="00B53DA2">
        <w:rPr>
          <w:rFonts w:hint="cs"/>
          <w:rtl/>
          <w:lang w:val="fr-CH"/>
        </w:rPr>
        <w:t>سمات</w:t>
      </w:r>
      <w:r>
        <w:rPr>
          <w:rFonts w:hint="cs"/>
          <w:rtl/>
          <w:lang w:val="fr-CH"/>
        </w:rPr>
        <w:t xml:space="preserve"> المخاطر فهي تلك التي </w:t>
      </w:r>
      <w:r w:rsidR="005C4E35">
        <w:rPr>
          <w:rFonts w:hint="cs"/>
          <w:rtl/>
          <w:lang w:val="fr-CH"/>
        </w:rPr>
        <w:t>تتقبّل</w:t>
      </w:r>
      <w:r>
        <w:rPr>
          <w:rFonts w:hint="cs"/>
          <w:rtl/>
          <w:lang w:val="fr-CH"/>
        </w:rPr>
        <w:t xml:space="preserve"> الاستثمارات التي تبدي </w:t>
      </w:r>
      <w:r w:rsidR="005C4E35">
        <w:rPr>
          <w:rFonts w:hint="cs"/>
          <w:rtl/>
          <w:lang w:val="fr-CH"/>
        </w:rPr>
        <w:t xml:space="preserve">تقلبا. وتتمثّل سيولة الويبو الاستراتيجية في السيولة الي </w:t>
      </w:r>
      <w:r w:rsidR="00F81BCF">
        <w:rPr>
          <w:rFonts w:hint="cs"/>
          <w:rtl/>
          <w:lang w:val="fr-CH"/>
        </w:rPr>
        <w:t>وُضعت</w:t>
      </w:r>
      <w:r w:rsidR="005C4E35">
        <w:rPr>
          <w:rFonts w:hint="cs"/>
          <w:rtl/>
          <w:lang w:val="fr-CH"/>
        </w:rPr>
        <w:t xml:space="preserve"> جانبا لتمويل التزامات التأمين الصحي بعد </w:t>
      </w:r>
      <w:r w:rsidR="00B53DA2">
        <w:rPr>
          <w:rFonts w:hint="cs"/>
          <w:rtl/>
          <w:lang w:val="fr-CH"/>
        </w:rPr>
        <w:t>نهاية</w:t>
      </w:r>
      <w:r w:rsidR="005C4E35">
        <w:rPr>
          <w:rFonts w:hint="cs"/>
          <w:rtl/>
          <w:lang w:val="fr-CH"/>
        </w:rPr>
        <w:t xml:space="preserve"> الخدمة والتي تبلغ قيمتها حاليا 88.9 مليون فرنك سويسري (85.2 مليون فرنك سويسري في 31 ديسمبر 2014).</w:t>
      </w:r>
    </w:p>
    <w:p w:rsidR="005C4E35" w:rsidRPr="00F81BCF" w:rsidRDefault="005C4E35" w:rsidP="00F81BCF">
      <w:pPr>
        <w:pStyle w:val="NumberedParaAR"/>
        <w:rPr>
          <w:lang w:val="fr-CH"/>
        </w:rPr>
      </w:pPr>
      <w:r>
        <w:rPr>
          <w:rFonts w:hint="cs"/>
          <w:rtl/>
          <w:lang w:val="fr-CH"/>
        </w:rPr>
        <w:t>وكما شُرح في الوثيقة</w:t>
      </w:r>
      <w:r>
        <w:rPr>
          <w:rFonts w:hint="eastAsia"/>
          <w:rtl/>
          <w:lang w:val="fr-CH"/>
        </w:rPr>
        <w:t> </w:t>
      </w:r>
      <w:r w:rsidRPr="005C4E35">
        <w:t>WO/PBC/22/19</w:t>
      </w:r>
      <w:r>
        <w:rPr>
          <w:rFonts w:hint="cs"/>
          <w:rtl/>
        </w:rPr>
        <w:t xml:space="preserve">، كشفت دراسة أجراها </w:t>
      </w:r>
      <w:r>
        <w:rPr>
          <w:rFonts w:eastAsia="SimSun" w:hint="cs"/>
          <w:rtl/>
          <w:lang w:eastAsia="zh-CN"/>
        </w:rPr>
        <w:t>المكتب الاستشاري</w:t>
      </w:r>
      <w:r w:rsidR="00B53DA2">
        <w:rPr>
          <w:rFonts w:eastAsia="SimSun" w:hint="eastAsia"/>
          <w:rtl/>
          <w:lang w:eastAsia="zh-CN"/>
        </w:rPr>
        <w:t> </w:t>
      </w:r>
      <w:r>
        <w:rPr>
          <w:rFonts w:eastAsia="SimSun"/>
          <w:lang w:eastAsia="zh-CN"/>
        </w:rPr>
        <w:t>FTI Treasury</w:t>
      </w:r>
      <w:r>
        <w:rPr>
          <w:rFonts w:hint="cs"/>
          <w:rtl/>
        </w:rPr>
        <w:t xml:space="preserve"> </w:t>
      </w:r>
      <w:r w:rsidR="00B53DA2">
        <w:rPr>
          <w:rFonts w:hint="cs"/>
          <w:rtl/>
        </w:rPr>
        <w:t>ب</w:t>
      </w:r>
      <w:r>
        <w:rPr>
          <w:rFonts w:hint="cs"/>
          <w:rtl/>
        </w:rPr>
        <w:t xml:space="preserve">شأن الممارسات المتبعة </w:t>
      </w:r>
      <w:r w:rsidR="00B53DA2">
        <w:rPr>
          <w:rFonts w:hint="cs"/>
          <w:rtl/>
        </w:rPr>
        <w:t xml:space="preserve">في إدارة الخزانة أن </w:t>
      </w:r>
      <w:r w:rsidR="00F81BCF">
        <w:rPr>
          <w:rFonts w:hint="cs"/>
          <w:rtl/>
        </w:rPr>
        <w:t>صندوق التأمين الصحي</w:t>
      </w:r>
      <w:r w:rsidR="00B53DA2">
        <w:rPr>
          <w:rFonts w:hint="cs"/>
          <w:rtl/>
        </w:rPr>
        <w:t xml:space="preserve"> بعد نهاية الخدمة له "سمات صناديق المعاشات التقاعدية". والأموال التي وُضعت جانبا في الأصل لأغراض </w:t>
      </w:r>
      <w:r w:rsidR="00F81BCF">
        <w:rPr>
          <w:rFonts w:hint="cs"/>
          <w:rtl/>
        </w:rPr>
        <w:t>ذلك</w:t>
      </w:r>
      <w:r w:rsidR="00B53DA2">
        <w:rPr>
          <w:rFonts w:hint="cs"/>
          <w:rtl/>
        </w:rPr>
        <w:t xml:space="preserve"> الصندوق بلغت 50 بالمائة من مجمل الالتزام الخاص بمستحقات الموظفين الطويلة الأجل في 31 ديسمبر 2013 ويجب، حسب المكتب الاستشاري، أن </w:t>
      </w:r>
      <w:r w:rsidR="00F81BCF">
        <w:rPr>
          <w:rFonts w:hint="cs"/>
          <w:rtl/>
        </w:rPr>
        <w:t>تحقّق</w:t>
      </w:r>
      <w:r w:rsidR="00B53DA2">
        <w:rPr>
          <w:rFonts w:hint="cs"/>
          <w:rtl/>
        </w:rPr>
        <w:t xml:space="preserve"> تلك السيولة </w:t>
      </w:r>
      <w:r w:rsidR="00F81BCF">
        <w:rPr>
          <w:rFonts w:hint="cs"/>
          <w:rtl/>
        </w:rPr>
        <w:t>فائدة بنسبة</w:t>
      </w:r>
      <w:r w:rsidR="00F81BCF">
        <w:rPr>
          <w:rFonts w:hint="eastAsia"/>
          <w:rtl/>
        </w:rPr>
        <w:t> </w:t>
      </w:r>
      <w:r w:rsidR="00F81BCF">
        <w:rPr>
          <w:rFonts w:hint="cs"/>
          <w:rtl/>
        </w:rPr>
        <w:t>2.3 بالمائة سنويا من أجل الحفاظ على الحصة النسبية للالتزام. وعليه ينبغي أن يُستثمر الصندوق في فئات أصول توفر هذا المستوى من العائد (على الأقل) وسيتطلب ذلك حتما قبول مستويات مخاطرة أعلى.</w:t>
      </w:r>
    </w:p>
    <w:p w:rsidR="00F81BCF" w:rsidRPr="00C3749A" w:rsidRDefault="00F81BCF" w:rsidP="00C3749A">
      <w:pPr>
        <w:pStyle w:val="NumberedParaAR"/>
        <w:rPr>
          <w:lang w:val="fr-CH"/>
        </w:rPr>
      </w:pPr>
      <w:r>
        <w:rPr>
          <w:rFonts w:hint="cs"/>
          <w:rtl/>
          <w:lang w:val="fr-CH"/>
        </w:rPr>
        <w:t>وكما أشير إليه كذلك في الوثيقة</w:t>
      </w:r>
      <w:r>
        <w:rPr>
          <w:rFonts w:hint="eastAsia"/>
          <w:rtl/>
          <w:lang w:val="fr-CH"/>
        </w:rPr>
        <w:t> </w:t>
      </w:r>
      <w:r w:rsidRPr="00F81BCF">
        <w:t>WO/PBC/22/19</w:t>
      </w:r>
      <w:r>
        <w:rPr>
          <w:rFonts w:hint="cs"/>
          <w:rtl/>
        </w:rPr>
        <w:t>، شرعت عدة وكالات في تمويل التزاماتها الخاصة بالتأمين الصحي بعد نهاية الخدمة. وتشمل تلك الوكالات منظمة الصحة العالمية (التي استثمرت الأموال في أسهم وفي أوراق مالية بعائد ثابت) ومنظمة الأغذية والزراعة وبرنامج الأغذية العالمي.</w:t>
      </w:r>
      <w:r w:rsidR="00D10AF6">
        <w:rPr>
          <w:rFonts w:hint="cs"/>
          <w:rtl/>
        </w:rPr>
        <w:t xml:space="preserve"> واستثمرت الوكالتان الأخيرتان 50 بالمائة من أموالها الخاصة بالتأمين الصحي بعد نهاية الخدمة في أسهم و50 بالمائة في سندات، منها 10 بالمائة في الأسواق الناشئة. وفي عام 2013، أطلق طلب عطاءات مشترك بين برنامج الأمم المتحدة الإنمائي وصندوق الأمم المتحدة للطفولة (اليونيسيف) و</w:t>
      </w:r>
      <w:r w:rsidR="00D10AF6" w:rsidRPr="00D10AF6">
        <w:rPr>
          <w:rtl/>
        </w:rPr>
        <w:t>مكتب الأمم المتحدة لخدمات المشاريع</w:t>
      </w:r>
      <w:r w:rsidR="00D10AF6">
        <w:rPr>
          <w:rFonts w:hint="cs"/>
          <w:rtl/>
        </w:rPr>
        <w:t xml:space="preserve"> و</w:t>
      </w:r>
      <w:r w:rsidR="00D10AF6" w:rsidRPr="00D10AF6">
        <w:rPr>
          <w:rtl/>
        </w:rPr>
        <w:t>صندوق الأمم المتحدة للسكان</w:t>
      </w:r>
      <w:r w:rsidR="00D10AF6">
        <w:rPr>
          <w:rFonts w:hint="cs"/>
          <w:rtl/>
        </w:rPr>
        <w:t xml:space="preserve"> وهيئة الأمم المتحدة للمرأة و</w:t>
      </w:r>
      <w:r w:rsidR="00D10AF6" w:rsidRPr="00D10AF6">
        <w:rPr>
          <w:rtl/>
        </w:rPr>
        <w:t>صندوق الأمم المتحدة للمشاريع الإنتاجية</w:t>
      </w:r>
      <w:r w:rsidR="00D10AF6">
        <w:rPr>
          <w:rFonts w:hint="cs"/>
          <w:rtl/>
        </w:rPr>
        <w:t xml:space="preserve"> بهدف </w:t>
      </w:r>
      <w:r w:rsidR="00D962D2">
        <w:rPr>
          <w:rFonts w:hint="cs"/>
          <w:rtl/>
        </w:rPr>
        <w:t xml:space="preserve">ضمان مديري صناديق خارجيين لإدارة تمويل صناديق التأمين الصحي بعد نهاية الخدمة. والآن وقد انتهت تلك العملية، يعكف مديرو الصناديق المعيّنون على الاستثمار في الأسهم (60 بالمائة من الصناديق) والأوراق المالية الثابتة العائد (30 بالمائة) مع استثمار الرصيد المتبقي في أدوات بديلة مثل الأسهم الخاصة وصناديق التحوّط. وعلاوة على ذلك، تمكّنت بعض الوكالات من تغطية نسبة كبيرة من التزاماتها الخاصة بالتأمين الصحي بعد نهاية الخدمة بفضل استثماراتها. وفي نهاية عام 2013، كان لبرنامج الأغذية العالمي استثمارات تغطي 76.8 بالمائة من التزاماته </w:t>
      </w:r>
      <w:r w:rsidR="00C3749A">
        <w:rPr>
          <w:rFonts w:hint="cs"/>
          <w:rtl/>
        </w:rPr>
        <w:t>الخاصة بالتأمين الصحي بعد نهاية الخدمة، وكان لل</w:t>
      </w:r>
      <w:r w:rsidR="00C3749A" w:rsidRPr="00C3749A">
        <w:rPr>
          <w:rtl/>
        </w:rPr>
        <w:t>صندوق الدولي للتنمية الزراعية</w:t>
      </w:r>
      <w:r w:rsidR="00C3749A">
        <w:rPr>
          <w:rFonts w:hint="cs"/>
          <w:rtl/>
        </w:rPr>
        <w:t xml:space="preserve"> استثمارات تغطي 98.6 بالمائة من تلك الالتزامات، وكان لبرنامج الأمم المتحدة الإنمائي استثمارات تغطي 57.9 بالمائة من الالتزامات المذكورة. وتدلّ القرارات التي اتخذتها جميع تلك الوكالات بخصوص استثماراتها المرتبطة بالتأمين الصحي بعد نهاية الخدمة على قبولها لزيادة مستوى المخاطر من أجل ضمان عائد أعلى على صناديقها الخاصة بالتأمين الصحي بعد نهاية الخدمة.</w:t>
      </w:r>
    </w:p>
    <w:p w:rsidR="00FC7AF5" w:rsidRPr="00FC7AF5" w:rsidRDefault="00FC7AF5" w:rsidP="00FC7AF5">
      <w:pPr>
        <w:pStyle w:val="NumberedParaAR"/>
        <w:numPr>
          <w:ilvl w:val="0"/>
          <w:numId w:val="0"/>
        </w:numPr>
        <w:rPr>
          <w:u w:val="single"/>
          <w:lang w:val="fr-CH"/>
        </w:rPr>
      </w:pPr>
      <w:r w:rsidRPr="00FC7AF5">
        <w:rPr>
          <w:rFonts w:hint="cs"/>
          <w:u w:val="single"/>
          <w:rtl/>
          <w:lang w:val="fr-CH"/>
        </w:rPr>
        <w:t>الآثار بالنسبة للسياسة الاستثمار</w:t>
      </w:r>
    </w:p>
    <w:p w:rsidR="00C3749A" w:rsidRPr="00485BF0" w:rsidRDefault="009C7AE5" w:rsidP="00FC299D">
      <w:pPr>
        <w:pStyle w:val="NumberedParaAR"/>
        <w:numPr>
          <w:ilvl w:val="0"/>
          <w:numId w:val="3"/>
        </w:numPr>
        <w:rPr>
          <w:rtl/>
          <w:lang w:val="fr-CH"/>
        </w:rPr>
      </w:pPr>
      <w:r w:rsidRPr="00485BF0">
        <w:rPr>
          <w:rFonts w:hint="cs"/>
          <w:rtl/>
          <w:lang w:val="fr-CH"/>
        </w:rPr>
        <w:t>بالنظر إلى الطبيعة الطويلة الأجل لصندوق التأمين الصحي بعد نهاية الخدمة اتفقت لجنة البرنامج والميزانية، في سبتمبر</w:t>
      </w:r>
      <w:r w:rsidRPr="00485BF0">
        <w:rPr>
          <w:rFonts w:hint="eastAsia"/>
          <w:rtl/>
          <w:lang w:val="fr-CH"/>
        </w:rPr>
        <w:t> </w:t>
      </w:r>
      <w:r w:rsidRPr="00485BF0">
        <w:rPr>
          <w:rFonts w:hint="cs"/>
          <w:rtl/>
          <w:lang w:val="fr-CH"/>
        </w:rPr>
        <w:t xml:space="preserve">2014، على ضرورة إعداد سياسة استثمار منفصلة لذلك الصندوق. وبدأ العمل فيما يخص طلب إجراء تحليل لإدارة أصول وخصوم </w:t>
      </w:r>
      <w:r w:rsidR="00C47BB9" w:rsidRPr="00485BF0">
        <w:rPr>
          <w:rFonts w:hint="cs"/>
          <w:rtl/>
          <w:lang w:val="fr-CH"/>
        </w:rPr>
        <w:t xml:space="preserve">الالتزام الخاص بالتأمين الصحي بعد نهاية الخدمة من أجل التوفيق بشكل صحيح بين مواعيد الاستحقاق الواردة في مجمل الالتزام والأصول التي ستُستثمر فيها السيولة. وتلك الدراسة أجرتها وكالات أخرى للأمم المتحدة وشكّلت الأساس لتحديد فئات أصول الاستثمار التي ينبغي استعمالها. وبالإضافة إلى فئات الأصول المشار إليها فعلا فيما يخص سيولة التشغيل والسيولة الأساسية (الفقرة 10)، يُقترح السماح بالاستثمار في </w:t>
      </w:r>
      <w:r w:rsidR="00454E6B" w:rsidRPr="00485BF0">
        <w:rPr>
          <w:rFonts w:hint="cs"/>
          <w:rtl/>
          <w:lang w:val="fr-CH"/>
        </w:rPr>
        <w:t xml:space="preserve">الممتلكات العقارية المباشرة </w:t>
      </w:r>
      <w:r w:rsidR="008A314C" w:rsidRPr="00485BF0">
        <w:rPr>
          <w:rFonts w:hint="cs"/>
          <w:rtl/>
          <w:lang w:val="fr-CH"/>
        </w:rPr>
        <w:t xml:space="preserve">والأسهم (بما في ذلك صناديق الأسهم المالية المدارة بشكل </w:t>
      </w:r>
      <w:r w:rsidR="00DD16AF" w:rsidRPr="00485BF0">
        <w:rPr>
          <w:rFonts w:hint="cs"/>
          <w:rtl/>
          <w:lang w:val="fr-CH"/>
        </w:rPr>
        <w:t>نشطة</w:t>
      </w:r>
      <w:r w:rsidR="008A314C" w:rsidRPr="00485BF0">
        <w:rPr>
          <w:rFonts w:hint="cs"/>
          <w:rtl/>
          <w:lang w:val="fr-CH"/>
        </w:rPr>
        <w:t xml:space="preserve"> أو </w:t>
      </w:r>
      <w:r w:rsidR="00DD16AF" w:rsidRPr="00485BF0">
        <w:rPr>
          <w:rFonts w:hint="cs"/>
          <w:rtl/>
          <w:lang w:val="fr-CH"/>
        </w:rPr>
        <w:t>بشكل سلبي</w:t>
      </w:r>
      <w:r w:rsidR="008A314C" w:rsidRPr="00485BF0">
        <w:rPr>
          <w:rFonts w:hint="cs"/>
          <w:rtl/>
          <w:lang w:val="fr-CH"/>
        </w:rPr>
        <w:t xml:space="preserve"> على حد سواء)</w:t>
      </w:r>
      <w:r w:rsidR="008A314C">
        <w:rPr>
          <w:rStyle w:val="FootnoteReference"/>
          <w:rtl/>
          <w:lang w:val="fr-CH"/>
        </w:rPr>
        <w:footnoteReference w:id="2"/>
      </w:r>
      <w:r w:rsidR="00AD702B" w:rsidRPr="00485BF0">
        <w:rPr>
          <w:rFonts w:hint="cs"/>
          <w:rtl/>
          <w:lang w:val="fr-CH"/>
        </w:rPr>
        <w:t xml:space="preserve"> وصناديق تحوّط. ويمكن إجراء أي من هذه الاستثمارات بعملات غير الفرنك السويسري والتحوّط </w:t>
      </w:r>
      <w:r w:rsidR="00DD16AF" w:rsidRPr="00485BF0">
        <w:rPr>
          <w:rFonts w:hint="cs"/>
          <w:rtl/>
          <w:lang w:val="fr-CH"/>
        </w:rPr>
        <w:t>من خطر تقلبات أسعار صرفها إلى الفرنك السويسري ولكن لا يمكن القيام بذلك سوى في حال توقّع عائد إيجابي إجمالا.</w:t>
      </w:r>
    </w:p>
    <w:p w:rsidR="00C3749A" w:rsidRPr="00DD16AF" w:rsidRDefault="00DD16AF" w:rsidP="00C3749A">
      <w:pPr>
        <w:pStyle w:val="NumberedParaAR"/>
        <w:numPr>
          <w:ilvl w:val="0"/>
          <w:numId w:val="0"/>
        </w:numPr>
        <w:rPr>
          <w:b/>
          <w:bCs/>
          <w:sz w:val="40"/>
          <w:szCs w:val="40"/>
          <w:rtl/>
          <w:lang w:val="fr-CH"/>
        </w:rPr>
      </w:pPr>
      <w:r w:rsidRPr="00DD16AF">
        <w:rPr>
          <w:rFonts w:hint="cs"/>
          <w:b/>
          <w:bCs/>
          <w:sz w:val="40"/>
          <w:szCs w:val="40"/>
          <w:rtl/>
          <w:lang w:val="fr-CH"/>
        </w:rPr>
        <w:t>المخاطرة والعائد</w:t>
      </w:r>
    </w:p>
    <w:p w:rsidR="00DD16AF" w:rsidRDefault="00DD16AF" w:rsidP="00AD393B">
      <w:pPr>
        <w:pStyle w:val="NumberedParaAR"/>
        <w:rPr>
          <w:lang w:val="fr-CH"/>
        </w:rPr>
      </w:pPr>
      <w:r>
        <w:rPr>
          <w:rFonts w:hint="cs"/>
          <w:rtl/>
          <w:lang w:val="fr-CH"/>
        </w:rPr>
        <w:t>يستند الشكل</w:t>
      </w:r>
      <w:r>
        <w:rPr>
          <w:rFonts w:hint="eastAsia"/>
          <w:rtl/>
          <w:lang w:val="fr-CH"/>
        </w:rPr>
        <w:t> </w:t>
      </w:r>
      <w:r>
        <w:rPr>
          <w:rFonts w:hint="cs"/>
          <w:rtl/>
          <w:lang w:val="fr-CH"/>
        </w:rPr>
        <w:t xml:space="preserve">1 إلى أشكال مماثلة قدمته مكتب </w:t>
      </w:r>
      <w:proofErr w:type="spellStart"/>
      <w:r>
        <w:rPr>
          <w:rFonts w:hint="cs"/>
          <w:rtl/>
          <w:lang w:val="fr-CH"/>
        </w:rPr>
        <w:t>زاندرس</w:t>
      </w:r>
      <w:proofErr w:type="spellEnd"/>
      <w:r>
        <w:rPr>
          <w:rFonts w:hint="cs"/>
          <w:rtl/>
          <w:lang w:val="fr-CH"/>
        </w:rPr>
        <w:t xml:space="preserve"> وشركاء الويبو المصرفيون الرئيسيون ويبيّن العلاقة بين المخاطرة والعائد. وكما يظهر بوضوح، تتيح الودائع المصرفية والسندات الحكومية السويسرية القصيرة الأجل والمتوسطة الأجل، حاليا، عائدات سلبية. ويرى كثير من المعلّقين المختصين في السوق أن العائدات السلبية ستستمر </w:t>
      </w:r>
      <w:r w:rsidR="00210375">
        <w:rPr>
          <w:rFonts w:hint="cs"/>
          <w:rtl/>
          <w:lang w:val="fr-CH"/>
        </w:rPr>
        <w:t>طيلة خمسة أعوام على الأكثر والسندات الحكومية السويسرية هي و</w:t>
      </w:r>
      <w:r w:rsidR="00AD393B">
        <w:rPr>
          <w:rFonts w:hint="cs"/>
          <w:rtl/>
          <w:lang w:val="fr-CH"/>
        </w:rPr>
        <w:t>حدها التي تضمن عائدا إيجابيا إذا ما احتُفظ بها لأكثر من 12 سنة (سندات طويلة الأجل). وأمام هذا الوضع عمد العديد من المستثمرين، بمن فيهم مستثمرو القطاع العام، إلى المضي على طول محور المخاطرة والاستثمار في فئات أصول تنطوي على مخاطر إضافية، من أجل تحقيق عائد إيجابي على الاستثمارات.</w:t>
      </w:r>
    </w:p>
    <w:p w:rsidR="00AD393B" w:rsidRPr="00E60B15" w:rsidRDefault="00AD393B" w:rsidP="00E60B15">
      <w:pPr>
        <w:pStyle w:val="NumberedParaAR"/>
        <w:numPr>
          <w:ilvl w:val="0"/>
          <w:numId w:val="0"/>
        </w:numPr>
        <w:spacing w:after="0"/>
        <w:jc w:val="center"/>
        <w:rPr>
          <w:b/>
          <w:bCs/>
          <w:rtl/>
          <w:lang w:val="fr-CH"/>
        </w:rPr>
      </w:pPr>
      <w:r w:rsidRPr="00E60B15">
        <w:rPr>
          <w:rFonts w:hint="cs"/>
          <w:b/>
          <w:bCs/>
          <w:rtl/>
          <w:lang w:val="fr-CH"/>
        </w:rPr>
        <w:t>الشكل 1</w:t>
      </w:r>
    </w:p>
    <w:p w:rsidR="00AD393B" w:rsidRDefault="004F0215" w:rsidP="004F0215">
      <w:pPr>
        <w:pStyle w:val="NumberedParaAR"/>
        <w:numPr>
          <w:ilvl w:val="0"/>
          <w:numId w:val="0"/>
        </w:numPr>
        <w:spacing w:line="240" w:lineRule="auto"/>
        <w:rPr>
          <w:rFonts w:hint="cs"/>
          <w:rtl/>
          <w:lang w:val="fr-CH"/>
        </w:rPr>
      </w:pPr>
      <w:r w:rsidRPr="004F0215">
        <w:rPr>
          <w:rFonts w:hint="cs"/>
          <w:rtl/>
        </w:rPr>
        <w:drawing>
          <wp:inline distT="0" distB="0" distL="0" distR="0" wp14:anchorId="26EB139E" wp14:editId="235C6074">
            <wp:extent cx="5940425" cy="43603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4360385"/>
                    </a:xfrm>
                    <a:prstGeom prst="rect">
                      <a:avLst/>
                    </a:prstGeom>
                    <a:noFill/>
                    <a:ln>
                      <a:noFill/>
                    </a:ln>
                  </pic:spPr>
                </pic:pic>
              </a:graphicData>
            </a:graphic>
          </wp:inline>
        </w:drawing>
      </w:r>
    </w:p>
    <w:p w:rsidR="00AD393B" w:rsidRPr="00783E69" w:rsidRDefault="00AD393B" w:rsidP="00783E69">
      <w:pPr>
        <w:pStyle w:val="NumberedParaAR"/>
        <w:numPr>
          <w:ilvl w:val="0"/>
          <w:numId w:val="0"/>
        </w:numPr>
        <w:rPr>
          <w:i/>
          <w:iCs/>
          <w:sz w:val="28"/>
          <w:szCs w:val="28"/>
          <w:rtl/>
          <w:lang w:val="fr-CH"/>
        </w:rPr>
      </w:pPr>
      <w:r w:rsidRPr="00783E69">
        <w:rPr>
          <w:rFonts w:hint="cs"/>
          <w:i/>
          <w:iCs/>
          <w:sz w:val="28"/>
          <w:szCs w:val="28"/>
          <w:rtl/>
          <w:lang w:val="fr-CH"/>
        </w:rPr>
        <w:t>يبيّن هذا الشكل المواضع النسبية لأصناف الأصول من حيث علاقتها بالمخاطرة/العائد.</w:t>
      </w:r>
      <w:r w:rsidR="00783E69">
        <w:rPr>
          <w:rFonts w:hint="cs"/>
          <w:i/>
          <w:iCs/>
          <w:sz w:val="28"/>
          <w:szCs w:val="28"/>
          <w:rtl/>
          <w:lang w:val="fr-CH"/>
        </w:rPr>
        <w:t xml:space="preserve"> و</w:t>
      </w:r>
      <w:r w:rsidRPr="00783E69">
        <w:rPr>
          <w:rFonts w:hint="cs"/>
          <w:i/>
          <w:iCs/>
          <w:sz w:val="28"/>
          <w:szCs w:val="28"/>
          <w:rtl/>
          <w:lang w:val="fr-CH"/>
        </w:rPr>
        <w:t xml:space="preserve"> </w:t>
      </w:r>
      <w:r w:rsidR="00783E69" w:rsidRPr="00783E69">
        <w:rPr>
          <w:rFonts w:hint="cs"/>
          <w:i/>
          <w:iCs/>
          <w:sz w:val="28"/>
          <w:szCs w:val="28"/>
          <w:rtl/>
          <w:lang w:val="fr-CH"/>
        </w:rPr>
        <w:t xml:space="preserve">هذا الشكل </w:t>
      </w:r>
      <w:r w:rsidR="00783E69">
        <w:rPr>
          <w:rFonts w:hint="cs"/>
          <w:i/>
          <w:iCs/>
          <w:sz w:val="28"/>
          <w:szCs w:val="28"/>
          <w:rtl/>
          <w:lang w:val="fr-CH"/>
        </w:rPr>
        <w:t>غير</w:t>
      </w:r>
      <w:r w:rsidR="00783E69" w:rsidRPr="00783E69">
        <w:rPr>
          <w:rFonts w:hint="cs"/>
          <w:i/>
          <w:iCs/>
          <w:sz w:val="28"/>
          <w:szCs w:val="28"/>
          <w:rtl/>
          <w:lang w:val="fr-CH"/>
        </w:rPr>
        <w:t xml:space="preserve"> </w:t>
      </w:r>
      <w:r w:rsidR="00783E69">
        <w:rPr>
          <w:rFonts w:hint="cs"/>
          <w:i/>
          <w:iCs/>
          <w:sz w:val="28"/>
          <w:szCs w:val="28"/>
          <w:rtl/>
          <w:lang w:val="fr-CH"/>
        </w:rPr>
        <w:t>قائم</w:t>
      </w:r>
      <w:r w:rsidR="00783E69" w:rsidRPr="00783E69">
        <w:rPr>
          <w:rFonts w:hint="cs"/>
          <w:i/>
          <w:iCs/>
          <w:sz w:val="28"/>
          <w:szCs w:val="28"/>
          <w:rtl/>
          <w:lang w:val="fr-CH"/>
        </w:rPr>
        <w:t xml:space="preserve"> على مقياس.</w:t>
      </w:r>
    </w:p>
    <w:p w:rsidR="00783E69" w:rsidRDefault="00783E69" w:rsidP="00783E69">
      <w:pPr>
        <w:pStyle w:val="NumberedParaAR"/>
        <w:rPr>
          <w:lang w:val="fr-CH"/>
        </w:rPr>
      </w:pPr>
      <w:r>
        <w:rPr>
          <w:rFonts w:hint="cs"/>
          <w:rtl/>
          <w:lang w:val="fr-CH"/>
        </w:rPr>
        <w:t xml:space="preserve">على الرغم من أن هذه الاستراتيجية تجلب، بوضوح، مستوى مخاطرة أكبر لمحفظة الاستثمارات، فإن البديل المتمثّل في الاستثمار في الودائع المصرفية والسندات الحكومية السويسرية سيؤدي لا محالة إلى </w:t>
      </w:r>
      <w:r w:rsidR="00341B63">
        <w:rPr>
          <w:rFonts w:hint="cs"/>
          <w:rtl/>
          <w:lang w:val="fr-CH"/>
        </w:rPr>
        <w:t xml:space="preserve">تآكل تلك الأموال طالما بقيت هناك أسعار الفائدة السلبية. وتبلغ تلك الأسعار حاليا </w:t>
      </w:r>
      <w:r w:rsidR="00341B63">
        <w:rPr>
          <w:rtl/>
          <w:lang w:val="fr-CH"/>
        </w:rPr>
        <w:t>–</w:t>
      </w:r>
      <w:r w:rsidR="00341B63">
        <w:rPr>
          <w:rFonts w:hint="cs"/>
          <w:rtl/>
          <w:lang w:val="fr-CH"/>
        </w:rPr>
        <w:t xml:space="preserve"> 0.75% ويمكن أن تستمر في التدهور.</w:t>
      </w:r>
    </w:p>
    <w:p w:rsidR="00341B63" w:rsidRDefault="00341B63" w:rsidP="00341B63">
      <w:pPr>
        <w:pStyle w:val="NumberedParaAR"/>
        <w:rPr>
          <w:lang w:val="fr-CH"/>
        </w:rPr>
      </w:pPr>
      <w:r>
        <w:rPr>
          <w:rFonts w:hint="cs"/>
          <w:rtl/>
          <w:lang w:val="fr-CH"/>
        </w:rPr>
        <w:t>وينبغي للمستثمر، إذا ما قرّر المضي على طول محور المخاطرة، مراعاة الاعتبارات النمطية التالية:</w:t>
      </w:r>
    </w:p>
    <w:p w:rsidR="00341B63" w:rsidRDefault="00341B63" w:rsidP="007E5E73">
      <w:pPr>
        <w:pStyle w:val="NumberedParaAR"/>
        <w:numPr>
          <w:ilvl w:val="0"/>
          <w:numId w:val="0"/>
        </w:numPr>
        <w:ind w:left="566"/>
        <w:rPr>
          <w:rtl/>
          <w:lang w:val="fr-CH"/>
        </w:rPr>
      </w:pPr>
      <w:r>
        <w:rPr>
          <w:rFonts w:hint="cs"/>
          <w:rtl/>
          <w:lang w:val="fr-CH"/>
        </w:rPr>
        <w:t>(أ)</w:t>
      </w:r>
      <w:r>
        <w:rPr>
          <w:rtl/>
          <w:lang w:val="fr-CH"/>
        </w:rPr>
        <w:tab/>
      </w:r>
      <w:r>
        <w:rPr>
          <w:rFonts w:hint="cs"/>
          <w:rtl/>
          <w:lang w:val="fr-CH"/>
        </w:rPr>
        <w:t xml:space="preserve">تأثير طول الفترة الزمنية على القدرة على المخاطرة </w:t>
      </w:r>
      <w:r>
        <w:rPr>
          <w:rtl/>
          <w:lang w:val="fr-CH"/>
        </w:rPr>
        <w:t>–</w:t>
      </w:r>
      <w:r>
        <w:rPr>
          <w:rFonts w:hint="cs"/>
          <w:rtl/>
          <w:lang w:val="fr-CH"/>
        </w:rPr>
        <w:t xml:space="preserve"> عموما، كلما كانت الفترة الزمنية التي يمكن توظيف استثمارات فيها أو الاحتفاظ بها أطول، زاد مستوى </w:t>
      </w:r>
      <w:r w:rsidR="007E5E73">
        <w:rPr>
          <w:rFonts w:hint="cs"/>
          <w:rtl/>
          <w:lang w:val="fr-CH"/>
        </w:rPr>
        <w:t>المخاطرة الذي يمكن قبوله.</w:t>
      </w:r>
    </w:p>
    <w:p w:rsidR="007E5E73" w:rsidRDefault="007E5E73" w:rsidP="007E5E73">
      <w:pPr>
        <w:pStyle w:val="NumberedParaAR"/>
        <w:numPr>
          <w:ilvl w:val="0"/>
          <w:numId w:val="0"/>
        </w:numPr>
        <w:ind w:left="566"/>
        <w:rPr>
          <w:rtl/>
          <w:lang w:val="fr-CH"/>
        </w:rPr>
      </w:pPr>
      <w:r>
        <w:rPr>
          <w:rFonts w:hint="cs"/>
          <w:rtl/>
          <w:lang w:val="fr-CH"/>
        </w:rPr>
        <w:t>(ب)</w:t>
      </w:r>
      <w:r>
        <w:rPr>
          <w:rtl/>
          <w:lang w:val="fr-CH"/>
        </w:rPr>
        <w:tab/>
      </w:r>
      <w:r>
        <w:rPr>
          <w:rFonts w:hint="cs"/>
          <w:rtl/>
          <w:lang w:val="fr-CH"/>
        </w:rPr>
        <w:t xml:space="preserve">تأثير طول الفترة الزمنية على تخصيص الأصول </w:t>
      </w:r>
      <w:r>
        <w:rPr>
          <w:rtl/>
          <w:lang w:val="fr-CH"/>
        </w:rPr>
        <w:t>–</w:t>
      </w:r>
      <w:r>
        <w:rPr>
          <w:rFonts w:hint="cs"/>
          <w:rtl/>
          <w:lang w:val="fr-CH"/>
        </w:rPr>
        <w:t xml:space="preserve"> إذا كانت السيولة مطلوبة في المستقبل القريب، فينبغي الاحتفاظ بها في فئات أصول </w:t>
      </w:r>
      <w:r w:rsidR="006F5E64">
        <w:rPr>
          <w:rFonts w:hint="cs"/>
          <w:rtl/>
          <w:lang w:val="fr-CH"/>
        </w:rPr>
        <w:t xml:space="preserve">يمكن تحويلها إلى سيولة بسرعة وبقليل من التكاليف أو دون أية تكاليف. بينما إذا لم تكن السيولة مطلوبة لعدة أعوام، فيمكن استثمارها إما في أصول يستغرق تحويلها إلى سيولة بعض الوقت، مثل الاستثمارات المباشرة في العقارات، أو في أصول ينبغي تحويلها إلى سيولة عندما تصبح ظروف السوق ملائمة، مثل </w:t>
      </w:r>
      <w:proofErr w:type="spellStart"/>
      <w:r w:rsidR="006F5E64">
        <w:rPr>
          <w:rFonts w:hint="cs"/>
          <w:rtl/>
          <w:lang w:val="fr-CH"/>
        </w:rPr>
        <w:t>حيازات</w:t>
      </w:r>
      <w:proofErr w:type="spellEnd"/>
      <w:r w:rsidR="006F5E64">
        <w:rPr>
          <w:rFonts w:hint="cs"/>
          <w:rtl/>
          <w:lang w:val="fr-CH"/>
        </w:rPr>
        <w:t xml:space="preserve"> الأسهم.</w:t>
      </w:r>
    </w:p>
    <w:p w:rsidR="006F5E64" w:rsidRDefault="006F5E64" w:rsidP="000920D2">
      <w:pPr>
        <w:pStyle w:val="NumberedParaAR"/>
        <w:numPr>
          <w:ilvl w:val="0"/>
          <w:numId w:val="0"/>
        </w:numPr>
        <w:ind w:left="566"/>
        <w:rPr>
          <w:rtl/>
          <w:lang w:val="fr-CH"/>
        </w:rPr>
      </w:pPr>
      <w:r>
        <w:rPr>
          <w:rFonts w:hint="cs"/>
          <w:rtl/>
          <w:lang w:val="fr-CH"/>
        </w:rPr>
        <w:t>(ج)</w:t>
      </w:r>
      <w:r>
        <w:rPr>
          <w:rtl/>
          <w:lang w:val="fr-CH"/>
        </w:rPr>
        <w:tab/>
      </w:r>
      <w:r w:rsidR="000920D2">
        <w:rPr>
          <w:rFonts w:hint="cs"/>
          <w:rtl/>
          <w:lang w:val="fr-CH"/>
        </w:rPr>
        <w:t xml:space="preserve">الاستعداد لتحمّل تقلبات قيمة المحفظة والقدرة على ذلك </w:t>
      </w:r>
      <w:r w:rsidR="000920D2">
        <w:rPr>
          <w:rtl/>
          <w:lang w:val="fr-CH"/>
        </w:rPr>
        <w:t>–</w:t>
      </w:r>
      <w:r w:rsidR="000920D2">
        <w:rPr>
          <w:rFonts w:hint="cs"/>
          <w:rtl/>
          <w:lang w:val="fr-CH"/>
        </w:rPr>
        <w:t xml:space="preserve"> يمكن أن تنخفض قيمة الاستثمارات أو تزيد مع الوقت. وذلك لا ينطبق فقط على فئات الأصول التي تنطوي على "مخاطرة أكبر"، مثل الأسهم، بل كذلك على الاستثمارات التي تنطوي على "مخاطرة أقل"، مثل السندات الحكومية.</w:t>
      </w:r>
      <w:r w:rsidR="0070369F">
        <w:rPr>
          <w:rFonts w:hint="cs"/>
          <w:rtl/>
          <w:lang w:val="fr-CH"/>
        </w:rPr>
        <w:t xml:space="preserve"> وفي السوق الحالية، ستخضع قيمة الودائع المصرفية السويسرية لتدهور أيضا. وغالبا ما تكون الاستثمارات التي تنطوي على "مخاطرة أكبر" مصحوبة بمستويات تقلب عالية. وسيتعيّن تدوين التقلبات في القيمة في حسابات المنظمة المالية وذلك سيعني أن خسائر وأرباح الاستثمار غير المحقّقة ستُدرج إما في نتائج السنة أو تُرصد من الأموال الاحتياطية حسب نوع الاستثمار المعني.</w:t>
      </w:r>
      <w:r w:rsidR="0097461C">
        <w:rPr>
          <w:rFonts w:hint="cs"/>
          <w:rtl/>
          <w:lang w:val="fr-CH"/>
        </w:rPr>
        <w:t xml:space="preserve"> أما الخسائر والأرباح المحقّقة فستُدرج بالتأكيد في نتائج السنة.</w:t>
      </w:r>
    </w:p>
    <w:p w:rsidR="0097461C" w:rsidRDefault="00B2401B" w:rsidP="009827A3">
      <w:pPr>
        <w:pStyle w:val="NumberedParaAR"/>
        <w:rPr>
          <w:rFonts w:hint="cs"/>
          <w:lang w:val="fr-CH"/>
        </w:rPr>
      </w:pPr>
      <w:r>
        <w:rPr>
          <w:rFonts w:hint="cs"/>
          <w:rtl/>
          <w:lang w:val="fr-CH"/>
        </w:rPr>
        <w:t xml:space="preserve">وتجدر الإشارة إلى أن المفاضلة بين المخاطرة والعائد ضمن محفظة من الاستثمارات لا تعتمد فقط على سمات المخاطرة والعائد المرتبطة بكل أصل من الأصول، بل كذلك على ترابط العائدات بين الأصول. فإذا أمكن تقليص العلاقة بين مختلف الأصول إلى أدنى مستوى، فإن العائدات المتأتية من مختلف الأصول لن تتأثّر بالطريقة نفسها أو بالدرجة نفسها من حادث يطال السوق. </w:t>
      </w:r>
      <w:r w:rsidR="0011595D">
        <w:rPr>
          <w:rFonts w:hint="cs"/>
          <w:rtl/>
          <w:lang w:val="fr-CH"/>
        </w:rPr>
        <w:t xml:space="preserve">ففي محفظة جد متنوعة، كلما انخفض عائد فئة من فئات الأصول، ارتفع عائد فئة أصول أخرى لتعويضه جزئيا أو كليا. وعليه فإن من المهم في طائفة من فئات الأصول وضمان تنوع كاف وبناء ما يُعرف باسم المحفظة </w:t>
      </w:r>
      <w:r w:rsidR="00C075EE">
        <w:rPr>
          <w:rFonts w:hint="cs"/>
          <w:rtl/>
          <w:lang w:val="fr-CH"/>
        </w:rPr>
        <w:t>المثالية</w:t>
      </w:r>
      <w:r w:rsidR="0011595D">
        <w:rPr>
          <w:rFonts w:hint="cs"/>
          <w:rtl/>
          <w:lang w:val="fr-CH"/>
        </w:rPr>
        <w:t>. ويبيّن المرفق</w:t>
      </w:r>
      <w:r w:rsidR="0011595D">
        <w:rPr>
          <w:rFonts w:hint="eastAsia"/>
          <w:rtl/>
          <w:lang w:val="fr-CH"/>
        </w:rPr>
        <w:t> </w:t>
      </w:r>
      <w:r w:rsidR="009827A3">
        <w:rPr>
          <w:rFonts w:hint="cs"/>
          <w:rtl/>
          <w:lang w:val="fr-CH"/>
        </w:rPr>
        <w:t>الثالث</w:t>
      </w:r>
      <w:r w:rsidR="0011595D">
        <w:rPr>
          <w:rFonts w:hint="cs"/>
          <w:rtl/>
          <w:lang w:val="fr-CH"/>
        </w:rPr>
        <w:t xml:space="preserve"> كيفية تنويع محفظة وأثر ذلك على العائدات طيلة عدة سنوات (التسلسل التاريخي للعائدات من يناير 2005 إلى ديسمبر</w:t>
      </w:r>
      <w:r w:rsidR="0011595D">
        <w:rPr>
          <w:rFonts w:hint="eastAsia"/>
          <w:rtl/>
          <w:lang w:val="fr-CH"/>
        </w:rPr>
        <w:t> </w:t>
      </w:r>
      <w:r w:rsidR="0011595D">
        <w:rPr>
          <w:rFonts w:hint="cs"/>
          <w:rtl/>
          <w:lang w:val="fr-CH"/>
        </w:rPr>
        <w:t>2014 والعائدات المتوقعة في الفترة 2015-2020). وترد أيضا درجة المخاطرة التي ترافق تلك العائدات. و</w:t>
      </w:r>
      <w:r w:rsidR="00691D02">
        <w:rPr>
          <w:rFonts w:hint="cs"/>
          <w:rtl/>
          <w:lang w:val="fr-CH"/>
        </w:rPr>
        <w:t xml:space="preserve">يشير </w:t>
      </w:r>
      <w:r w:rsidR="0011595D">
        <w:rPr>
          <w:rFonts w:hint="cs"/>
          <w:rtl/>
          <w:lang w:val="fr-CH"/>
        </w:rPr>
        <w:t xml:space="preserve">العمود المُسمى "المحفظة" </w:t>
      </w:r>
      <w:r w:rsidR="00691D02">
        <w:rPr>
          <w:rFonts w:hint="cs"/>
          <w:rtl/>
          <w:lang w:val="fr-CH"/>
        </w:rPr>
        <w:t>إلى الوضع الاستثماري الذي ستكون فيه الويبو بعد أن يوضع حدّ لودائع المنظمة لدى الإدارة الفدرالية السويسرية للشؤون المالية وتُقيّد في حسابات للمنظمة لدى شركاء مصرفيين تجاريين. ويعكس العمود المُسمة "الاستراتيجية جيم" صندوق المعاشات النمطي الكائن في سويسرا الذي قبِل مستوى مخاطرة متوسط لدى إنشاء محفظة جد متنوعة. ويقتضي العمل على إنشاء محفظة مثا</w:t>
      </w:r>
      <w:r w:rsidR="00C075EE">
        <w:rPr>
          <w:rFonts w:hint="cs"/>
          <w:rtl/>
          <w:lang w:val="fr-CH"/>
        </w:rPr>
        <w:t xml:space="preserve">لية خبرة وتجربة شاملتين في مجال الاستثمار، فضلا عن </w:t>
      </w:r>
      <w:bookmarkStart w:id="2" w:name="_GoBack"/>
      <w:r w:rsidR="00C075EE">
        <w:rPr>
          <w:rFonts w:hint="cs"/>
          <w:rtl/>
          <w:lang w:val="fr-CH"/>
        </w:rPr>
        <w:t xml:space="preserve">رصد </w:t>
      </w:r>
      <w:bookmarkEnd w:id="2"/>
      <w:r w:rsidR="00C075EE">
        <w:rPr>
          <w:rFonts w:hint="cs"/>
          <w:rtl/>
          <w:lang w:val="fr-CH"/>
        </w:rPr>
        <w:t>دقيق للأداء وعمليات تحليل شاملة بما يضمن إجراء تسويات بانتظام بغرض الإبقاء على التنوع المثالي داخل المحفظة.</w:t>
      </w:r>
    </w:p>
    <w:p w:rsidR="00C075EE" w:rsidRDefault="00C075EE" w:rsidP="00A62E79">
      <w:pPr>
        <w:pStyle w:val="NumberedParaAR"/>
        <w:rPr>
          <w:rFonts w:hint="cs"/>
          <w:lang w:val="fr-CH"/>
        </w:rPr>
      </w:pPr>
      <w:r>
        <w:rPr>
          <w:rFonts w:hint="cs"/>
          <w:rtl/>
          <w:lang w:val="fr-CH"/>
        </w:rPr>
        <w:t>ويتمثّل الاقتراح في إنشاء محفظتين مُدارتين من الخارج فيما يخص كل من سيولة الويبو الأساسية وسيولتها الاستراتيجية. وسيُختار المديرون بواسطة طلب عطاءات وسيُقسّم كل من المحفظتين على مديرين على الأقل من مديري الصناديق، على أن يُنتهج خيارا الإدارة النشطة والإدارة السلبية على السواء كخيارين محتملين.</w:t>
      </w:r>
      <w:r w:rsidR="007702EB">
        <w:rPr>
          <w:rFonts w:hint="cs"/>
          <w:rtl/>
          <w:lang w:val="fr-CH"/>
        </w:rPr>
        <w:t xml:space="preserve"> وستنص وثائق طلب العطاءات على أن العائدات ستكون صافية دون رسوم الإدارة). وستُبيّن متطلبات الإبلاغ أيضا في تلك الوثائق وسيُعيّن وصي عام (سيُختار أيضا عن طريق طلب عطاءات). وي</w:t>
      </w:r>
      <w:r w:rsidR="00A62E79">
        <w:rPr>
          <w:rFonts w:hint="cs"/>
          <w:rtl/>
          <w:lang w:val="fr-CH"/>
        </w:rPr>
        <w:t>تولى</w:t>
      </w:r>
      <w:r w:rsidR="007702EB">
        <w:rPr>
          <w:rFonts w:hint="cs"/>
          <w:rtl/>
          <w:lang w:val="fr-CH"/>
        </w:rPr>
        <w:t xml:space="preserve"> الوصي، عادة، </w:t>
      </w:r>
      <w:r w:rsidR="00A62E79">
        <w:rPr>
          <w:rFonts w:hint="cs"/>
          <w:rtl/>
          <w:lang w:val="fr-CH"/>
        </w:rPr>
        <w:t xml:space="preserve">حيازة </w:t>
      </w:r>
      <w:r w:rsidR="007702EB">
        <w:rPr>
          <w:rFonts w:hint="cs"/>
          <w:rtl/>
          <w:lang w:val="fr-CH"/>
        </w:rPr>
        <w:t xml:space="preserve">الاستثمارات بالنيابة عن الويبو </w:t>
      </w:r>
      <w:r w:rsidR="00A62E79">
        <w:rPr>
          <w:rFonts w:hint="cs"/>
          <w:rtl/>
          <w:lang w:val="fr-CH"/>
        </w:rPr>
        <w:t>والقيام بدور استباقي في رصد الإجراءات الاستثمارية لمديري الصندوق ورصد أدائهم.</w:t>
      </w:r>
    </w:p>
    <w:p w:rsidR="00A62E79" w:rsidRDefault="00A62E79" w:rsidP="009827A3">
      <w:pPr>
        <w:pStyle w:val="NumberedParaAR"/>
        <w:rPr>
          <w:rFonts w:hint="cs"/>
          <w:lang w:val="fr-CH"/>
        </w:rPr>
      </w:pPr>
      <w:r>
        <w:rPr>
          <w:rFonts w:hint="cs"/>
          <w:rtl/>
          <w:lang w:val="fr-CH"/>
        </w:rPr>
        <w:t>أما سيولة التشغيل فستُدار داخليا</w:t>
      </w:r>
      <w:r w:rsidR="00FF1134">
        <w:rPr>
          <w:rFonts w:hint="cs"/>
          <w:rtl/>
          <w:lang w:val="fr-CH"/>
        </w:rPr>
        <w:t>. وست</w:t>
      </w:r>
      <w:r>
        <w:rPr>
          <w:rFonts w:hint="cs"/>
          <w:rtl/>
          <w:lang w:val="fr-CH"/>
        </w:rPr>
        <w:t>ستعرض</w:t>
      </w:r>
      <w:r w:rsidR="00FF1134">
        <w:rPr>
          <w:rFonts w:hint="cs"/>
          <w:rtl/>
          <w:lang w:val="fr-CH"/>
        </w:rPr>
        <w:t xml:space="preserve"> اللجنة الاستشارية المعنية بالاستثمار</w:t>
      </w:r>
      <w:r>
        <w:rPr>
          <w:rFonts w:hint="cs"/>
          <w:rtl/>
          <w:lang w:val="fr-CH"/>
        </w:rPr>
        <w:t>، بانتظام، تقارير عن أداء سيولة التشغيل و</w:t>
      </w:r>
      <w:r w:rsidR="00FF1134">
        <w:rPr>
          <w:rFonts w:hint="cs"/>
          <w:rtl/>
          <w:lang w:val="fr-CH"/>
        </w:rPr>
        <w:t xml:space="preserve">تقارير يعدها مديرو الصندوق الخارجيون عن السيولة الأساسية والسيولة الاستراتيجية. وستتّبع سياستان للاستثمار (تغطي إحداهما سيولة التشغيل والسيولة الأساسية وتغطي الأخرى السيولة الاستراتيجية) النسق المبيّن في المرفق </w:t>
      </w:r>
      <w:r w:rsidR="009827A3">
        <w:rPr>
          <w:rFonts w:hint="cs"/>
          <w:rtl/>
          <w:lang w:val="fr-CH"/>
        </w:rPr>
        <w:t>الرابع</w:t>
      </w:r>
      <w:r w:rsidR="00FF1134">
        <w:rPr>
          <w:rFonts w:hint="cs"/>
          <w:rtl/>
          <w:lang w:val="fr-CH"/>
        </w:rPr>
        <w:t>.</w:t>
      </w:r>
    </w:p>
    <w:p w:rsidR="00FF1134" w:rsidRDefault="00FF1134" w:rsidP="00A62E79">
      <w:pPr>
        <w:pStyle w:val="NumberedParaAR"/>
        <w:rPr>
          <w:rFonts w:hint="cs"/>
          <w:lang w:val="fr-CH"/>
        </w:rPr>
      </w:pPr>
      <w:r>
        <w:rPr>
          <w:rFonts w:hint="cs"/>
          <w:rtl/>
          <w:lang w:val="fr-CH"/>
        </w:rPr>
        <w:t>وستتطلب إدارة سيولة التشغيل داخليا والحاجة إلى التنسيق مع مديري الصندوق الخارجيين تخصيص موارد داخل الأمانة. وقد اتصلت الويبو بعدة وكالات بخصوص الموارد البشرية اللازمة لشغل وظيفة من وظائف الخزينة وتشير البيانات الأولية إلى لزوم تخصيص موظف واحد من الفئة الفنية بالتفرّغ الكامل.</w:t>
      </w:r>
    </w:p>
    <w:p w:rsidR="00FF1134" w:rsidRDefault="00FF1134" w:rsidP="00A62E79">
      <w:pPr>
        <w:pStyle w:val="NumberedParaAR"/>
        <w:rPr>
          <w:rFonts w:hint="cs"/>
          <w:lang w:val="fr-CH"/>
        </w:rPr>
      </w:pPr>
      <w:r>
        <w:rPr>
          <w:rFonts w:hint="cs"/>
          <w:rtl/>
          <w:lang w:val="fr-CH"/>
        </w:rPr>
        <w:t>وفيما يلي فقرة القرار المقترحة:</w:t>
      </w:r>
    </w:p>
    <w:p w:rsidR="00FF1134" w:rsidRPr="00321729" w:rsidRDefault="00321729" w:rsidP="00321729">
      <w:pPr>
        <w:pStyle w:val="NumberedParaAR"/>
        <w:ind w:left="566"/>
        <w:rPr>
          <w:rFonts w:hint="cs"/>
          <w:i/>
          <w:iCs/>
          <w:lang w:val="fr-CH"/>
        </w:rPr>
      </w:pPr>
      <w:r w:rsidRPr="00321729">
        <w:rPr>
          <w:rFonts w:hint="cs"/>
          <w:i/>
          <w:iCs/>
          <w:rtl/>
          <w:lang w:val="fr-CH"/>
        </w:rPr>
        <w:t>إن لجنة البرنامج والميزانية، إذ تقرّ بالحاجة إلى سياستين للاستثمار (تغطي إحداهما سيولة التشغيل والسيولة الأساسية وتغطي الأخرى السيولة الاستراتيجية)، توصي بإعداد كلا السياستين لتوافق عليهما  في دورتها القادمة وبأن تشمل السياستان المذكورتان ما يلي:</w:t>
      </w:r>
    </w:p>
    <w:p w:rsidR="00321729" w:rsidRPr="00321729" w:rsidRDefault="00321729" w:rsidP="00321729">
      <w:pPr>
        <w:pStyle w:val="NumberedParaAR"/>
        <w:numPr>
          <w:ilvl w:val="0"/>
          <w:numId w:val="0"/>
        </w:numPr>
        <w:ind w:left="1133"/>
        <w:rPr>
          <w:rFonts w:hint="cs"/>
          <w:i/>
          <w:iCs/>
          <w:rtl/>
          <w:lang w:val="fr-CH"/>
        </w:rPr>
      </w:pPr>
      <w:r w:rsidRPr="00321729">
        <w:rPr>
          <w:rFonts w:hint="cs"/>
          <w:i/>
          <w:iCs/>
          <w:rtl/>
          <w:lang w:val="fr-CH"/>
        </w:rPr>
        <w:t>"1"</w:t>
      </w:r>
      <w:r w:rsidRPr="00321729">
        <w:rPr>
          <w:i/>
          <w:iCs/>
          <w:rtl/>
          <w:lang w:val="fr-CH"/>
        </w:rPr>
        <w:tab/>
      </w:r>
      <w:r w:rsidRPr="00321729">
        <w:rPr>
          <w:rFonts w:hint="cs"/>
          <w:i/>
          <w:iCs/>
          <w:rtl/>
          <w:lang w:val="fr-CH"/>
        </w:rPr>
        <w:t>تعريف الاستثمارات القصيرة الأجل بأنها استثمارات يحلّ موعد استحقاقها في غضون عام واحد؛</w:t>
      </w:r>
    </w:p>
    <w:p w:rsidR="00321729" w:rsidRPr="00321729" w:rsidRDefault="00321729" w:rsidP="002A4B0C">
      <w:pPr>
        <w:pStyle w:val="NumberedParaAR"/>
        <w:numPr>
          <w:ilvl w:val="0"/>
          <w:numId w:val="0"/>
        </w:numPr>
        <w:ind w:left="1133"/>
        <w:rPr>
          <w:rFonts w:hint="cs"/>
          <w:i/>
          <w:iCs/>
          <w:rtl/>
        </w:rPr>
      </w:pPr>
      <w:r w:rsidRPr="00321729">
        <w:rPr>
          <w:rFonts w:hint="cs"/>
          <w:i/>
          <w:iCs/>
          <w:rtl/>
          <w:lang w:val="fr-CH"/>
        </w:rPr>
        <w:t>"2"</w:t>
      </w:r>
      <w:r w:rsidRPr="00321729">
        <w:rPr>
          <w:i/>
          <w:iCs/>
          <w:rtl/>
          <w:lang w:val="fr-CH"/>
        </w:rPr>
        <w:tab/>
      </w:r>
      <w:r w:rsidRPr="00321729">
        <w:rPr>
          <w:rFonts w:hint="cs"/>
          <w:i/>
          <w:iCs/>
          <w:rtl/>
          <w:lang w:val="fr-CH"/>
        </w:rPr>
        <w:t xml:space="preserve">تكون التصنيفات الائتمانية الدنيا بشأن الاستثمارات القصيرة الأجل كما يلي: </w:t>
      </w:r>
      <w:r w:rsidR="002A4B0C" w:rsidRPr="002A4B0C">
        <w:rPr>
          <w:i/>
          <w:iCs/>
        </w:rPr>
        <w:t>A-2/P-2</w:t>
      </w:r>
      <w:r w:rsidR="002A4B0C">
        <w:rPr>
          <w:rFonts w:hint="cs"/>
          <w:i/>
          <w:iCs/>
          <w:rtl/>
        </w:rPr>
        <w:t xml:space="preserve"> </w:t>
      </w:r>
      <w:r w:rsidRPr="00321729">
        <w:rPr>
          <w:rFonts w:hint="cs"/>
          <w:i/>
          <w:iCs/>
          <w:rtl/>
        </w:rPr>
        <w:t>فيما يخص البنوك والسندات الحكومية، و</w:t>
      </w:r>
      <w:r w:rsidRPr="00321729">
        <w:rPr>
          <w:rFonts w:ascii="Arial" w:eastAsia="SimSun" w:hAnsi="Arial" w:cs="Arial"/>
          <w:i/>
          <w:iCs/>
          <w:sz w:val="22"/>
          <w:szCs w:val="22"/>
          <w:lang w:eastAsia="zh-CN"/>
        </w:rPr>
        <w:t xml:space="preserve"> </w:t>
      </w:r>
      <w:r w:rsidR="002A4B0C" w:rsidRPr="002A4B0C">
        <w:rPr>
          <w:i/>
          <w:iCs/>
        </w:rPr>
        <w:t>A3-P3</w:t>
      </w:r>
      <w:r w:rsidRPr="00321729">
        <w:rPr>
          <w:rFonts w:hint="cs"/>
          <w:i/>
          <w:iCs/>
          <w:rtl/>
        </w:rPr>
        <w:t>فيما يخص سندات الشركات؛</w:t>
      </w:r>
    </w:p>
    <w:p w:rsidR="00321729" w:rsidRDefault="00321729" w:rsidP="002A4B0C">
      <w:pPr>
        <w:pStyle w:val="NumberedParaAR"/>
        <w:numPr>
          <w:ilvl w:val="0"/>
          <w:numId w:val="0"/>
        </w:numPr>
        <w:ind w:left="1133"/>
        <w:rPr>
          <w:rFonts w:hint="cs"/>
          <w:i/>
          <w:iCs/>
          <w:rtl/>
        </w:rPr>
      </w:pPr>
      <w:r w:rsidRPr="002A4B0C">
        <w:rPr>
          <w:rFonts w:hint="cs"/>
          <w:i/>
          <w:iCs/>
          <w:rtl/>
          <w:lang w:val="fr-CH"/>
        </w:rPr>
        <w:t>"3"</w:t>
      </w:r>
      <w:r w:rsidRPr="002A4B0C">
        <w:rPr>
          <w:i/>
          <w:iCs/>
          <w:rtl/>
          <w:lang w:val="fr-CH"/>
        </w:rPr>
        <w:tab/>
      </w:r>
      <w:r w:rsidRPr="002A4B0C">
        <w:rPr>
          <w:rFonts w:hint="cs"/>
          <w:i/>
          <w:iCs/>
          <w:rtl/>
          <w:lang w:val="fr-CH"/>
        </w:rPr>
        <w:t xml:space="preserve">تكون التصنيفات الائتمانية الدنيا المراجعة بشأن الاستثمارات المتوسطة الأجل والطويلة الأجل كما يلي: </w:t>
      </w:r>
      <w:r w:rsidR="002A4B0C" w:rsidRPr="002A4B0C">
        <w:rPr>
          <w:i/>
          <w:iCs/>
        </w:rPr>
        <w:t>A-/A3</w:t>
      </w:r>
      <w:r w:rsidR="002A4B0C" w:rsidRPr="002A4B0C">
        <w:rPr>
          <w:rFonts w:hint="cs"/>
          <w:i/>
          <w:iCs/>
          <w:rtl/>
        </w:rPr>
        <w:t xml:space="preserve"> فيما يخص البنوك والسندات الحكومية</w:t>
      </w:r>
      <w:r w:rsidR="002A4B0C">
        <w:rPr>
          <w:rFonts w:hint="cs"/>
          <w:i/>
          <w:iCs/>
          <w:rtl/>
        </w:rPr>
        <w:t>، و</w:t>
      </w:r>
      <w:r w:rsidR="002A4B0C" w:rsidRPr="002A4B0C">
        <w:rPr>
          <w:i/>
          <w:iCs/>
        </w:rPr>
        <w:t>BBB-/Baa3</w:t>
      </w:r>
      <w:r w:rsidR="002A4B0C">
        <w:rPr>
          <w:rFonts w:hint="cs"/>
          <w:i/>
          <w:iCs/>
          <w:rtl/>
        </w:rPr>
        <w:t xml:space="preserve"> </w:t>
      </w:r>
      <w:r w:rsidR="002A4B0C" w:rsidRPr="00321729">
        <w:rPr>
          <w:rFonts w:hint="cs"/>
          <w:i/>
          <w:iCs/>
          <w:rtl/>
        </w:rPr>
        <w:t>فيما يخص سندات الشركات</w:t>
      </w:r>
      <w:r w:rsidR="002A4B0C">
        <w:rPr>
          <w:rFonts w:hint="cs"/>
          <w:i/>
          <w:iCs/>
          <w:rtl/>
        </w:rPr>
        <w:t>؛</w:t>
      </w:r>
    </w:p>
    <w:p w:rsidR="002A4B0C" w:rsidRDefault="002A4B0C" w:rsidP="002A4B0C">
      <w:pPr>
        <w:pStyle w:val="NumberedParaAR"/>
        <w:numPr>
          <w:ilvl w:val="0"/>
          <w:numId w:val="0"/>
        </w:numPr>
        <w:ind w:left="1133"/>
        <w:rPr>
          <w:rFonts w:hint="cs"/>
          <w:i/>
          <w:iCs/>
          <w:rtl/>
        </w:rPr>
      </w:pPr>
      <w:r>
        <w:rPr>
          <w:rFonts w:hint="cs"/>
          <w:i/>
          <w:iCs/>
          <w:rtl/>
        </w:rPr>
        <w:t>"4"</w:t>
      </w:r>
      <w:r>
        <w:rPr>
          <w:i/>
          <w:iCs/>
          <w:rtl/>
        </w:rPr>
        <w:tab/>
      </w:r>
      <w:r>
        <w:rPr>
          <w:rFonts w:hint="cs"/>
          <w:i/>
          <w:iCs/>
          <w:rtl/>
        </w:rPr>
        <w:t>خفض العدد الأدنى للمؤسسات المالية التي يمكن حيازة سيولة تشغيل لديها إلى أربع مؤسسات؛</w:t>
      </w:r>
    </w:p>
    <w:p w:rsidR="002A4B0C" w:rsidRDefault="002A4B0C" w:rsidP="002A4B0C">
      <w:pPr>
        <w:pStyle w:val="NumberedParaAR"/>
        <w:numPr>
          <w:ilvl w:val="0"/>
          <w:numId w:val="0"/>
        </w:numPr>
        <w:ind w:left="1133"/>
        <w:rPr>
          <w:rFonts w:hint="cs"/>
          <w:i/>
          <w:iCs/>
          <w:rtl/>
        </w:rPr>
      </w:pPr>
      <w:r>
        <w:rPr>
          <w:rFonts w:hint="cs"/>
          <w:i/>
          <w:iCs/>
          <w:rtl/>
        </w:rPr>
        <w:t>"5"</w:t>
      </w:r>
      <w:r>
        <w:rPr>
          <w:i/>
          <w:iCs/>
          <w:rtl/>
        </w:rPr>
        <w:tab/>
      </w:r>
      <w:r>
        <w:rPr>
          <w:rFonts w:hint="cs"/>
          <w:i/>
          <w:iCs/>
          <w:rtl/>
        </w:rPr>
        <w:t>استخدام مديري صناديق خارجيين لإدارة السيولة الأساسية والسيولة الاستراتيجية؛</w:t>
      </w:r>
    </w:p>
    <w:p w:rsidR="002A4B0C" w:rsidRDefault="002A4B0C" w:rsidP="002A4B0C">
      <w:pPr>
        <w:pStyle w:val="NumberedParaAR"/>
        <w:numPr>
          <w:ilvl w:val="0"/>
          <w:numId w:val="0"/>
        </w:numPr>
        <w:ind w:left="1133"/>
        <w:rPr>
          <w:rFonts w:hint="cs"/>
          <w:i/>
          <w:iCs/>
          <w:rtl/>
        </w:rPr>
      </w:pPr>
      <w:r>
        <w:rPr>
          <w:rFonts w:hint="cs"/>
          <w:i/>
          <w:iCs/>
          <w:rtl/>
        </w:rPr>
        <w:t>"6"</w:t>
      </w:r>
      <w:r>
        <w:rPr>
          <w:i/>
          <w:iCs/>
          <w:rtl/>
        </w:rPr>
        <w:tab/>
      </w:r>
      <w:r>
        <w:rPr>
          <w:rFonts w:hint="cs"/>
          <w:i/>
          <w:iCs/>
          <w:rtl/>
        </w:rPr>
        <w:t>تسديد كلا القسطين المقرّرين من القرض المتعلق بالمبنى الجديد واللذين سيحلّ موعدا استحقاقهما في نوفمبر 2015 ويناير 2016؛</w:t>
      </w:r>
    </w:p>
    <w:p w:rsidR="002A4B0C" w:rsidRDefault="002A4B0C" w:rsidP="002A4B0C">
      <w:pPr>
        <w:pStyle w:val="NumberedParaAR"/>
        <w:numPr>
          <w:ilvl w:val="0"/>
          <w:numId w:val="0"/>
        </w:numPr>
        <w:ind w:left="1133"/>
        <w:rPr>
          <w:rFonts w:hint="cs"/>
          <w:i/>
          <w:iCs/>
          <w:rtl/>
        </w:rPr>
      </w:pPr>
      <w:r>
        <w:rPr>
          <w:rFonts w:hint="cs"/>
          <w:i/>
          <w:iCs/>
          <w:rtl/>
        </w:rPr>
        <w:t>"7"</w:t>
      </w:r>
      <w:r>
        <w:rPr>
          <w:i/>
          <w:iCs/>
          <w:rtl/>
        </w:rPr>
        <w:tab/>
      </w:r>
      <w:r w:rsidR="003E6AAB">
        <w:rPr>
          <w:rFonts w:hint="cs"/>
          <w:i/>
          <w:iCs/>
          <w:rtl/>
        </w:rPr>
        <w:t>قائمة مراجعة بفئات الأصول المقبولة كما يلي:</w:t>
      </w:r>
    </w:p>
    <w:p w:rsidR="003E6AAB" w:rsidRDefault="003E6AAB" w:rsidP="003E6AAB">
      <w:pPr>
        <w:pStyle w:val="NumberedParaAR"/>
        <w:numPr>
          <w:ilvl w:val="0"/>
          <w:numId w:val="0"/>
        </w:numPr>
        <w:ind w:left="1700"/>
        <w:rPr>
          <w:rFonts w:hint="cs"/>
          <w:i/>
          <w:iCs/>
          <w:rtl/>
        </w:rPr>
      </w:pPr>
      <w:r>
        <w:rPr>
          <w:rFonts w:hint="cs"/>
          <w:i/>
          <w:iCs/>
          <w:rtl/>
        </w:rPr>
        <w:t>ألف.</w:t>
      </w:r>
      <w:r>
        <w:rPr>
          <w:i/>
          <w:iCs/>
          <w:rtl/>
        </w:rPr>
        <w:tab/>
      </w:r>
      <w:r>
        <w:rPr>
          <w:rFonts w:hint="cs"/>
          <w:i/>
          <w:iCs/>
          <w:rtl/>
        </w:rPr>
        <w:t>ضمن سياسة الاستثمار المُطبقة على سيولة التشغيل والسيولة الأساسية:</w:t>
      </w:r>
    </w:p>
    <w:p w:rsidR="003E6AAB" w:rsidRPr="003E6AAB" w:rsidRDefault="003E6AAB" w:rsidP="003E6AAB">
      <w:pPr>
        <w:pStyle w:val="NumberedParaAR"/>
        <w:numPr>
          <w:ilvl w:val="0"/>
          <w:numId w:val="0"/>
        </w:numPr>
        <w:ind w:left="2267"/>
        <w:rPr>
          <w:i/>
          <w:iCs/>
          <w:rtl/>
          <w:lang w:val="fr-CH"/>
        </w:rPr>
      </w:pPr>
      <w:r w:rsidRPr="003E6AAB">
        <w:rPr>
          <w:i/>
          <w:iCs/>
          <w:rtl/>
          <w:lang w:val="fr-CH"/>
        </w:rPr>
        <w:t>أولا.</w:t>
      </w:r>
      <w:r w:rsidRPr="003E6AAB">
        <w:rPr>
          <w:i/>
          <w:iCs/>
          <w:rtl/>
          <w:lang w:val="fr-CH"/>
        </w:rPr>
        <w:tab/>
        <w:t>السيولة أو ما يعادلها:</w:t>
      </w:r>
    </w:p>
    <w:p w:rsidR="003E6AAB" w:rsidRPr="003E6AAB" w:rsidRDefault="003E6AAB" w:rsidP="000760D5">
      <w:pPr>
        <w:pStyle w:val="NumberedParaAR"/>
        <w:numPr>
          <w:ilvl w:val="0"/>
          <w:numId w:val="0"/>
        </w:numPr>
        <w:ind w:left="2834"/>
        <w:rPr>
          <w:i/>
          <w:iCs/>
          <w:rtl/>
          <w:lang w:val="fr-CH"/>
        </w:rPr>
      </w:pPr>
      <w:r w:rsidRPr="003E6AAB">
        <w:rPr>
          <w:i/>
          <w:iCs/>
          <w:rtl/>
          <w:lang w:val="fr-CH"/>
        </w:rPr>
        <w:t>(أ)</w:t>
      </w:r>
      <w:r w:rsidRPr="003E6AAB">
        <w:rPr>
          <w:i/>
          <w:iCs/>
          <w:rtl/>
          <w:lang w:val="fr-CH"/>
        </w:rPr>
        <w:tab/>
        <w:t xml:space="preserve">الحساب تحت الطلب أو حساب التوفير </w:t>
      </w:r>
      <w:r>
        <w:rPr>
          <w:rFonts w:hint="cs"/>
          <w:i/>
          <w:iCs/>
          <w:rtl/>
          <w:lang w:val="fr-CH"/>
        </w:rPr>
        <w:t xml:space="preserve">أو </w:t>
      </w:r>
      <w:r w:rsidRPr="003E6AAB">
        <w:rPr>
          <w:i/>
          <w:iCs/>
          <w:rtl/>
          <w:lang w:val="fr-CH"/>
        </w:rPr>
        <w:t>حساب الإيداع</w:t>
      </w:r>
    </w:p>
    <w:p w:rsidR="003E6AAB" w:rsidRPr="003E6AAB" w:rsidRDefault="003E6AAB" w:rsidP="000760D5">
      <w:pPr>
        <w:pStyle w:val="NumberedParaAR"/>
        <w:numPr>
          <w:ilvl w:val="0"/>
          <w:numId w:val="0"/>
        </w:numPr>
        <w:ind w:left="2834"/>
        <w:rPr>
          <w:i/>
          <w:iCs/>
          <w:rtl/>
          <w:lang w:val="fr-CH"/>
        </w:rPr>
      </w:pPr>
      <w:r w:rsidRPr="003E6AAB">
        <w:rPr>
          <w:i/>
          <w:iCs/>
          <w:rtl/>
          <w:lang w:val="fr-CH"/>
        </w:rPr>
        <w:t>(ب)</w:t>
      </w:r>
      <w:r w:rsidRPr="003E6AAB">
        <w:rPr>
          <w:i/>
          <w:iCs/>
          <w:rtl/>
          <w:lang w:val="fr-CH"/>
        </w:rPr>
        <w:tab/>
        <w:t>شهادات الإيداع/ودائع لأجل</w:t>
      </w:r>
    </w:p>
    <w:p w:rsidR="003E6AAB" w:rsidRPr="003E6AAB" w:rsidRDefault="003E6AAB" w:rsidP="000760D5">
      <w:pPr>
        <w:pStyle w:val="NumberedParaAR"/>
        <w:numPr>
          <w:ilvl w:val="0"/>
          <w:numId w:val="0"/>
        </w:numPr>
        <w:ind w:left="2834"/>
        <w:rPr>
          <w:i/>
          <w:iCs/>
          <w:rtl/>
          <w:lang w:val="fr-CH"/>
        </w:rPr>
      </w:pPr>
      <w:r w:rsidRPr="003E6AAB">
        <w:rPr>
          <w:i/>
          <w:iCs/>
          <w:rtl/>
          <w:lang w:val="fr-CH"/>
        </w:rPr>
        <w:t>(ج)</w:t>
      </w:r>
      <w:r w:rsidRPr="003E6AAB">
        <w:rPr>
          <w:i/>
          <w:iCs/>
          <w:rtl/>
          <w:lang w:val="fr-CH"/>
        </w:rPr>
        <w:tab/>
        <w:t xml:space="preserve">الودائع </w:t>
      </w:r>
      <w:proofErr w:type="spellStart"/>
      <w:r w:rsidRPr="003E6AAB">
        <w:rPr>
          <w:i/>
          <w:iCs/>
          <w:rtl/>
          <w:lang w:val="fr-CH"/>
        </w:rPr>
        <w:t>المهيكلة</w:t>
      </w:r>
      <w:proofErr w:type="spellEnd"/>
    </w:p>
    <w:p w:rsidR="003E6AAB" w:rsidRDefault="003E6AAB" w:rsidP="000760D5">
      <w:pPr>
        <w:pStyle w:val="NumberedParaAR"/>
        <w:numPr>
          <w:ilvl w:val="0"/>
          <w:numId w:val="0"/>
        </w:numPr>
        <w:ind w:left="2834"/>
        <w:rPr>
          <w:rFonts w:hint="cs"/>
          <w:i/>
          <w:iCs/>
          <w:rtl/>
          <w:lang w:val="fr-CH"/>
        </w:rPr>
      </w:pPr>
      <w:r w:rsidRPr="003E6AAB">
        <w:rPr>
          <w:i/>
          <w:iCs/>
          <w:rtl/>
          <w:lang w:val="fr-CH"/>
        </w:rPr>
        <w:t>(د)</w:t>
      </w:r>
      <w:r w:rsidRPr="003E6AAB">
        <w:rPr>
          <w:i/>
          <w:iCs/>
          <w:rtl/>
          <w:lang w:val="fr-CH"/>
        </w:rPr>
        <w:tab/>
        <w:t>الودائع المتقاطعة العملات</w:t>
      </w:r>
    </w:p>
    <w:p w:rsidR="000760D5" w:rsidRPr="000760D5" w:rsidRDefault="000760D5" w:rsidP="000760D5">
      <w:pPr>
        <w:pStyle w:val="NumberedParaAR"/>
        <w:numPr>
          <w:ilvl w:val="0"/>
          <w:numId w:val="0"/>
        </w:numPr>
        <w:ind w:left="2267"/>
        <w:rPr>
          <w:i/>
          <w:iCs/>
          <w:rtl/>
          <w:lang w:val="fr-CH"/>
        </w:rPr>
      </w:pPr>
      <w:r>
        <w:rPr>
          <w:rFonts w:hint="cs"/>
          <w:i/>
          <w:iCs/>
          <w:rtl/>
          <w:lang w:val="fr-CH"/>
        </w:rPr>
        <w:t>ث</w:t>
      </w:r>
      <w:r w:rsidRPr="000760D5">
        <w:rPr>
          <w:i/>
          <w:iCs/>
          <w:rtl/>
          <w:lang w:val="fr-CH"/>
        </w:rPr>
        <w:t>انيا.</w:t>
      </w:r>
      <w:r w:rsidRPr="000760D5">
        <w:rPr>
          <w:i/>
          <w:iCs/>
          <w:rtl/>
          <w:lang w:val="fr-CH"/>
        </w:rPr>
        <w:tab/>
        <w:t>استثمارات السوق المالية:</w:t>
      </w:r>
    </w:p>
    <w:p w:rsidR="000760D5" w:rsidRPr="000760D5" w:rsidRDefault="000760D5" w:rsidP="000760D5">
      <w:pPr>
        <w:pStyle w:val="NumberedParaAR"/>
        <w:numPr>
          <w:ilvl w:val="0"/>
          <w:numId w:val="0"/>
        </w:numPr>
        <w:ind w:left="2834"/>
        <w:rPr>
          <w:i/>
          <w:iCs/>
          <w:rtl/>
          <w:lang w:val="fr-CH"/>
        </w:rPr>
      </w:pPr>
      <w:r w:rsidRPr="000760D5">
        <w:rPr>
          <w:i/>
          <w:iCs/>
          <w:rtl/>
          <w:lang w:val="fr-CH"/>
        </w:rPr>
        <w:t>(أ)</w:t>
      </w:r>
      <w:r w:rsidRPr="000760D5">
        <w:rPr>
          <w:i/>
          <w:iCs/>
          <w:rtl/>
          <w:lang w:val="fr-CH"/>
        </w:rPr>
        <w:tab/>
        <w:t>الورقة التجارية</w:t>
      </w:r>
    </w:p>
    <w:p w:rsidR="000760D5" w:rsidRPr="000760D5" w:rsidRDefault="000760D5" w:rsidP="000760D5">
      <w:pPr>
        <w:pStyle w:val="NumberedParaAR"/>
        <w:numPr>
          <w:ilvl w:val="0"/>
          <w:numId w:val="0"/>
        </w:numPr>
        <w:ind w:left="2834"/>
        <w:rPr>
          <w:i/>
          <w:iCs/>
          <w:rtl/>
          <w:lang w:val="fr-CH"/>
        </w:rPr>
      </w:pPr>
      <w:r w:rsidRPr="000760D5">
        <w:rPr>
          <w:i/>
          <w:iCs/>
          <w:rtl/>
          <w:lang w:val="fr-CH"/>
        </w:rPr>
        <w:t>(ب)</w:t>
      </w:r>
      <w:r w:rsidRPr="000760D5">
        <w:rPr>
          <w:i/>
          <w:iCs/>
          <w:rtl/>
          <w:lang w:val="fr-CH"/>
        </w:rPr>
        <w:tab/>
        <w:t>اتفاق إعادة الشراء/اتفاق إعادة الشراء المعاكس</w:t>
      </w:r>
    </w:p>
    <w:p w:rsidR="000760D5" w:rsidRDefault="000760D5" w:rsidP="000760D5">
      <w:pPr>
        <w:pStyle w:val="NumberedParaAR"/>
        <w:numPr>
          <w:ilvl w:val="0"/>
          <w:numId w:val="0"/>
        </w:numPr>
        <w:ind w:left="2834"/>
        <w:rPr>
          <w:rFonts w:hint="cs"/>
          <w:i/>
          <w:iCs/>
          <w:rtl/>
          <w:lang w:val="fr-CH"/>
        </w:rPr>
      </w:pPr>
      <w:r w:rsidRPr="000760D5">
        <w:rPr>
          <w:i/>
          <w:iCs/>
          <w:rtl/>
          <w:lang w:val="fr-CH"/>
        </w:rPr>
        <w:t>(ج)</w:t>
      </w:r>
      <w:r w:rsidRPr="000760D5">
        <w:rPr>
          <w:i/>
          <w:iCs/>
          <w:rtl/>
          <w:lang w:val="fr-CH"/>
        </w:rPr>
        <w:tab/>
        <w:t>القبول المصرفي</w:t>
      </w:r>
    </w:p>
    <w:p w:rsidR="000760D5" w:rsidRPr="000760D5" w:rsidRDefault="000760D5" w:rsidP="000760D5">
      <w:pPr>
        <w:pStyle w:val="NumberedParaAR"/>
        <w:numPr>
          <w:ilvl w:val="0"/>
          <w:numId w:val="0"/>
        </w:numPr>
        <w:ind w:left="2267"/>
        <w:rPr>
          <w:i/>
          <w:iCs/>
          <w:rtl/>
          <w:lang w:val="fr-CH"/>
        </w:rPr>
      </w:pPr>
      <w:r>
        <w:rPr>
          <w:rFonts w:hint="cs"/>
          <w:i/>
          <w:iCs/>
          <w:rtl/>
          <w:lang w:val="fr-CH"/>
        </w:rPr>
        <w:t>ث</w:t>
      </w:r>
      <w:r w:rsidRPr="000760D5">
        <w:rPr>
          <w:i/>
          <w:iCs/>
          <w:rtl/>
          <w:lang w:val="fr-CH"/>
        </w:rPr>
        <w:t>الثا.</w:t>
      </w:r>
      <w:r w:rsidRPr="000760D5">
        <w:rPr>
          <w:i/>
          <w:iCs/>
          <w:rtl/>
          <w:lang w:val="fr-CH"/>
        </w:rPr>
        <w:tab/>
        <w:t xml:space="preserve">السندات أو السندات </w:t>
      </w:r>
      <w:proofErr w:type="spellStart"/>
      <w:r w:rsidRPr="000760D5">
        <w:rPr>
          <w:i/>
          <w:iCs/>
          <w:rtl/>
          <w:lang w:val="fr-CH"/>
        </w:rPr>
        <w:t>الإذنية</w:t>
      </w:r>
      <w:proofErr w:type="spellEnd"/>
      <w:r w:rsidRPr="000760D5">
        <w:rPr>
          <w:i/>
          <w:iCs/>
          <w:rtl/>
          <w:lang w:val="fr-CH"/>
        </w:rPr>
        <w:t xml:space="preserve"> أو الالتزامات الأخرى (القصيرة الأجل أو المتوسطة الأجل أو الطويلة الأجل) وغ</w:t>
      </w:r>
      <w:r>
        <w:rPr>
          <w:i/>
          <w:iCs/>
          <w:rtl/>
          <w:lang w:val="fr-CH"/>
        </w:rPr>
        <w:t>يرها من المنتجات الثابتة العائد</w:t>
      </w:r>
      <w:r>
        <w:rPr>
          <w:rFonts w:hint="cs"/>
          <w:i/>
          <w:iCs/>
          <w:rtl/>
          <w:lang w:val="fr-CH"/>
        </w:rPr>
        <w:t>:</w:t>
      </w:r>
    </w:p>
    <w:p w:rsidR="000760D5" w:rsidRPr="000760D5" w:rsidRDefault="000760D5" w:rsidP="000760D5">
      <w:pPr>
        <w:pStyle w:val="NumberedParaAR"/>
        <w:numPr>
          <w:ilvl w:val="0"/>
          <w:numId w:val="0"/>
        </w:numPr>
        <w:ind w:left="2834"/>
        <w:rPr>
          <w:i/>
          <w:iCs/>
          <w:rtl/>
          <w:lang w:val="fr-CH"/>
        </w:rPr>
      </w:pPr>
      <w:r w:rsidRPr="000760D5">
        <w:rPr>
          <w:i/>
          <w:iCs/>
          <w:rtl/>
          <w:lang w:val="fr-CH"/>
        </w:rPr>
        <w:t>(أ)</w:t>
      </w:r>
      <w:r w:rsidRPr="000760D5">
        <w:rPr>
          <w:i/>
          <w:iCs/>
          <w:rtl/>
          <w:lang w:val="fr-CH"/>
        </w:rPr>
        <w:tab/>
        <w:t>السندات الحكومية</w:t>
      </w:r>
    </w:p>
    <w:p w:rsidR="000760D5" w:rsidRPr="000760D5" w:rsidRDefault="000760D5" w:rsidP="000760D5">
      <w:pPr>
        <w:pStyle w:val="NumberedParaAR"/>
        <w:numPr>
          <w:ilvl w:val="0"/>
          <w:numId w:val="0"/>
        </w:numPr>
        <w:ind w:left="2834"/>
        <w:rPr>
          <w:i/>
          <w:iCs/>
          <w:rtl/>
          <w:lang w:val="fr-CH"/>
        </w:rPr>
      </w:pPr>
      <w:r w:rsidRPr="000760D5">
        <w:rPr>
          <w:i/>
          <w:iCs/>
          <w:rtl/>
          <w:lang w:val="fr-CH"/>
        </w:rPr>
        <w:t>(ب)</w:t>
      </w:r>
      <w:r w:rsidRPr="000760D5">
        <w:rPr>
          <w:i/>
          <w:iCs/>
          <w:rtl/>
          <w:lang w:val="fr-CH"/>
        </w:rPr>
        <w:tab/>
        <w:t>السندات شبه السيادية – سندات المقاطعات أو السندات المحلية أو</w:t>
      </w:r>
      <w:r>
        <w:rPr>
          <w:rFonts w:hint="cs"/>
          <w:i/>
          <w:iCs/>
          <w:rtl/>
          <w:lang w:val="fr-CH"/>
        </w:rPr>
        <w:t> </w:t>
      </w:r>
      <w:r w:rsidR="009C3758">
        <w:rPr>
          <w:i/>
          <w:iCs/>
          <w:rtl/>
          <w:lang w:val="fr-CH"/>
        </w:rPr>
        <w:t>الإقليمية على سبيل المثال</w:t>
      </w:r>
    </w:p>
    <w:p w:rsidR="000760D5" w:rsidRPr="000760D5" w:rsidRDefault="000760D5" w:rsidP="000760D5">
      <w:pPr>
        <w:pStyle w:val="NumberedParaAR"/>
        <w:numPr>
          <w:ilvl w:val="0"/>
          <w:numId w:val="0"/>
        </w:numPr>
        <w:ind w:left="2834"/>
        <w:rPr>
          <w:i/>
          <w:iCs/>
          <w:rtl/>
          <w:lang w:val="fr-CH"/>
        </w:rPr>
      </w:pPr>
      <w:r w:rsidRPr="000760D5">
        <w:rPr>
          <w:i/>
          <w:iCs/>
          <w:rtl/>
          <w:lang w:val="fr-CH"/>
        </w:rPr>
        <w:t>(ج)</w:t>
      </w:r>
      <w:r w:rsidRPr="000760D5">
        <w:rPr>
          <w:i/>
          <w:iCs/>
          <w:rtl/>
          <w:lang w:val="fr-CH"/>
        </w:rPr>
        <w:tab/>
        <w:t>السندات المتجاوزة للسلطة الوطنية</w:t>
      </w:r>
    </w:p>
    <w:p w:rsidR="000760D5" w:rsidRPr="000760D5" w:rsidRDefault="000760D5" w:rsidP="000760D5">
      <w:pPr>
        <w:pStyle w:val="NumberedParaAR"/>
        <w:numPr>
          <w:ilvl w:val="0"/>
          <w:numId w:val="0"/>
        </w:numPr>
        <w:ind w:left="2834"/>
        <w:rPr>
          <w:i/>
          <w:iCs/>
          <w:rtl/>
          <w:lang w:val="fr-CH"/>
        </w:rPr>
      </w:pPr>
      <w:r w:rsidRPr="000760D5">
        <w:rPr>
          <w:i/>
          <w:iCs/>
          <w:rtl/>
          <w:lang w:val="fr-CH"/>
        </w:rPr>
        <w:t>(د)</w:t>
      </w:r>
      <w:r w:rsidRPr="000760D5">
        <w:rPr>
          <w:i/>
          <w:iCs/>
          <w:rtl/>
          <w:lang w:val="fr-CH"/>
        </w:rPr>
        <w:tab/>
        <w:t>سندات الشركات</w:t>
      </w:r>
    </w:p>
    <w:p w:rsidR="000760D5" w:rsidRDefault="000760D5" w:rsidP="000760D5">
      <w:pPr>
        <w:pStyle w:val="NumberedParaAR"/>
        <w:numPr>
          <w:ilvl w:val="0"/>
          <w:numId w:val="0"/>
        </w:numPr>
        <w:ind w:left="2834"/>
        <w:rPr>
          <w:rFonts w:hint="cs"/>
          <w:i/>
          <w:iCs/>
          <w:rtl/>
          <w:lang w:val="fr-CH"/>
        </w:rPr>
      </w:pPr>
      <w:r w:rsidRPr="000760D5">
        <w:rPr>
          <w:i/>
          <w:iCs/>
          <w:rtl/>
          <w:lang w:val="fr-CH"/>
        </w:rPr>
        <w:t>(ه)</w:t>
      </w:r>
      <w:r w:rsidRPr="000760D5">
        <w:rPr>
          <w:i/>
          <w:iCs/>
          <w:rtl/>
          <w:lang w:val="fr-CH"/>
        </w:rPr>
        <w:tab/>
        <w:t>الطرح الخاص</w:t>
      </w:r>
    </w:p>
    <w:p w:rsidR="009C3758" w:rsidRPr="009C3758" w:rsidRDefault="009C3758" w:rsidP="009C3758">
      <w:pPr>
        <w:pStyle w:val="NumberedParaAR"/>
        <w:numPr>
          <w:ilvl w:val="0"/>
          <w:numId w:val="0"/>
        </w:numPr>
        <w:ind w:left="2267"/>
        <w:rPr>
          <w:i/>
          <w:iCs/>
          <w:rtl/>
          <w:lang w:val="fr-CH"/>
        </w:rPr>
      </w:pPr>
      <w:r w:rsidRPr="009C3758">
        <w:rPr>
          <w:rFonts w:hint="cs"/>
          <w:i/>
          <w:iCs/>
          <w:rtl/>
          <w:lang w:val="fr-CH"/>
        </w:rPr>
        <w:t>رابعا.</w:t>
      </w:r>
      <w:r w:rsidRPr="009C3758">
        <w:rPr>
          <w:i/>
          <w:iCs/>
          <w:rtl/>
          <w:lang w:val="fr-CH"/>
        </w:rPr>
        <w:tab/>
      </w:r>
      <w:r w:rsidRPr="009C3758">
        <w:rPr>
          <w:rFonts w:hint="cs"/>
          <w:i/>
          <w:iCs/>
          <w:rtl/>
          <w:lang w:val="fr-CH"/>
        </w:rPr>
        <w:t>صناديق الاستثمار العقاري</w:t>
      </w:r>
    </w:p>
    <w:p w:rsidR="009C3758" w:rsidRDefault="009C3758" w:rsidP="009C3758">
      <w:pPr>
        <w:pStyle w:val="NumberedParaAR"/>
        <w:numPr>
          <w:ilvl w:val="0"/>
          <w:numId w:val="0"/>
        </w:numPr>
        <w:ind w:left="1700"/>
        <w:rPr>
          <w:rFonts w:hint="cs"/>
          <w:i/>
          <w:iCs/>
          <w:rtl/>
        </w:rPr>
      </w:pPr>
      <w:r>
        <w:rPr>
          <w:rFonts w:hint="cs"/>
          <w:i/>
          <w:iCs/>
          <w:rtl/>
        </w:rPr>
        <w:t>باء.</w:t>
      </w:r>
      <w:r>
        <w:rPr>
          <w:i/>
          <w:iCs/>
          <w:rtl/>
        </w:rPr>
        <w:tab/>
      </w:r>
      <w:r>
        <w:rPr>
          <w:rFonts w:hint="cs"/>
          <w:i/>
          <w:iCs/>
          <w:rtl/>
        </w:rPr>
        <w:t>ضمن سياسة الاستثمار المُطبقة على السيولة الاستراتيجية:</w:t>
      </w:r>
    </w:p>
    <w:p w:rsidR="009C3758" w:rsidRDefault="00CA4097" w:rsidP="00CA4097">
      <w:pPr>
        <w:pStyle w:val="NumberedParaAR"/>
        <w:numPr>
          <w:ilvl w:val="0"/>
          <w:numId w:val="0"/>
        </w:numPr>
        <w:ind w:left="2834"/>
        <w:rPr>
          <w:rFonts w:hint="cs"/>
          <w:i/>
          <w:iCs/>
          <w:rtl/>
        </w:rPr>
      </w:pPr>
      <w:r>
        <w:rPr>
          <w:rFonts w:hint="cs"/>
          <w:i/>
          <w:iCs/>
          <w:rtl/>
        </w:rPr>
        <w:t>(أ)</w:t>
      </w:r>
      <w:r>
        <w:rPr>
          <w:i/>
          <w:iCs/>
          <w:rtl/>
        </w:rPr>
        <w:tab/>
      </w:r>
      <w:r>
        <w:rPr>
          <w:rFonts w:hint="cs"/>
          <w:i/>
          <w:iCs/>
          <w:rtl/>
        </w:rPr>
        <w:t>كل فئات الأصول المنصوص على استخدامها مع سيولة التشغيل والسيولة الأساسية؛</w:t>
      </w:r>
    </w:p>
    <w:p w:rsidR="00CA4097" w:rsidRDefault="00CA4097" w:rsidP="00CA4097">
      <w:pPr>
        <w:pStyle w:val="NumberedParaAR"/>
        <w:numPr>
          <w:ilvl w:val="0"/>
          <w:numId w:val="0"/>
        </w:numPr>
        <w:ind w:left="2834"/>
        <w:rPr>
          <w:rFonts w:hint="cs"/>
          <w:i/>
          <w:iCs/>
          <w:rtl/>
        </w:rPr>
      </w:pPr>
      <w:r>
        <w:rPr>
          <w:rFonts w:hint="cs"/>
          <w:i/>
          <w:iCs/>
          <w:rtl/>
        </w:rPr>
        <w:t>(ب)</w:t>
      </w:r>
      <w:r>
        <w:rPr>
          <w:i/>
          <w:iCs/>
          <w:rtl/>
        </w:rPr>
        <w:tab/>
      </w:r>
      <w:r w:rsidRPr="00CA4097">
        <w:rPr>
          <w:rFonts w:hint="cs"/>
          <w:i/>
          <w:iCs/>
          <w:rtl/>
        </w:rPr>
        <w:t>الممتلكات العقارية المباشرة</w:t>
      </w:r>
    </w:p>
    <w:p w:rsidR="00CA4097" w:rsidRDefault="00CA4097" w:rsidP="00CA4097">
      <w:pPr>
        <w:pStyle w:val="NumberedParaAR"/>
        <w:numPr>
          <w:ilvl w:val="0"/>
          <w:numId w:val="0"/>
        </w:numPr>
        <w:ind w:left="2834"/>
        <w:rPr>
          <w:rFonts w:hint="cs"/>
          <w:i/>
          <w:iCs/>
          <w:rtl/>
        </w:rPr>
      </w:pPr>
      <w:r>
        <w:rPr>
          <w:rFonts w:hint="cs"/>
          <w:i/>
          <w:iCs/>
          <w:rtl/>
        </w:rPr>
        <w:t>(ج)</w:t>
      </w:r>
      <w:r>
        <w:rPr>
          <w:i/>
          <w:iCs/>
          <w:rtl/>
        </w:rPr>
        <w:tab/>
      </w:r>
      <w:r>
        <w:rPr>
          <w:rFonts w:hint="cs"/>
          <w:i/>
          <w:iCs/>
          <w:rtl/>
        </w:rPr>
        <w:t>الأسهم وصناديق الأسهم؛</w:t>
      </w:r>
    </w:p>
    <w:p w:rsidR="00CA4097" w:rsidRDefault="00CA4097" w:rsidP="00CA4097">
      <w:pPr>
        <w:pStyle w:val="NumberedParaAR"/>
        <w:numPr>
          <w:ilvl w:val="0"/>
          <w:numId w:val="0"/>
        </w:numPr>
        <w:ind w:left="2834"/>
        <w:rPr>
          <w:rFonts w:hint="cs"/>
          <w:i/>
          <w:iCs/>
          <w:rtl/>
        </w:rPr>
      </w:pPr>
      <w:r>
        <w:rPr>
          <w:rFonts w:hint="cs"/>
          <w:i/>
          <w:iCs/>
          <w:rtl/>
        </w:rPr>
        <w:t>(د)</w:t>
      </w:r>
      <w:r>
        <w:rPr>
          <w:i/>
          <w:iCs/>
          <w:rtl/>
        </w:rPr>
        <w:tab/>
      </w:r>
      <w:r>
        <w:rPr>
          <w:rFonts w:hint="cs"/>
          <w:i/>
          <w:iCs/>
          <w:rtl/>
        </w:rPr>
        <w:t>صناديق التحوّط.</w:t>
      </w:r>
    </w:p>
    <w:p w:rsidR="0053460A" w:rsidRDefault="00CA4097" w:rsidP="00CA4097">
      <w:pPr>
        <w:pStyle w:val="EndofDocumentAR"/>
        <w:rPr>
          <w:rtl/>
        </w:rPr>
        <w:sectPr w:rsidR="0053460A" w:rsidSect="00EB7752">
          <w:headerReference w:type="default" r:id="rId13"/>
          <w:pgSz w:w="11907" w:h="16840" w:code="9"/>
          <w:pgMar w:top="567" w:right="1418" w:bottom="1418" w:left="1134" w:header="510" w:footer="1021" w:gutter="0"/>
          <w:cols w:space="720"/>
          <w:titlePg/>
          <w:docGrid w:linePitch="299"/>
        </w:sectPr>
      </w:pPr>
      <w:r>
        <w:rPr>
          <w:rFonts w:hint="cs"/>
          <w:rtl/>
        </w:rPr>
        <w:t>[تلي ذلك المرفقات]</w:t>
      </w:r>
    </w:p>
    <w:p w:rsidR="00CA4097" w:rsidRDefault="002F23DC" w:rsidP="002F23DC">
      <w:pPr>
        <w:pStyle w:val="NormalParaAR"/>
        <w:spacing w:line="240" w:lineRule="auto"/>
        <w:rPr>
          <w:rFonts w:hint="cs"/>
          <w:rtl/>
        </w:rPr>
      </w:pPr>
      <w:r w:rsidRPr="002F23DC">
        <w:rPr>
          <w:rFonts w:hint="cs"/>
          <w:rtl/>
        </w:rPr>
        <w:drawing>
          <wp:inline distT="0" distB="0" distL="0" distR="0" wp14:anchorId="548939B7" wp14:editId="2F77F567">
            <wp:extent cx="7198683" cy="480900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8398" cy="4815496"/>
                    </a:xfrm>
                    <a:prstGeom prst="rect">
                      <a:avLst/>
                    </a:prstGeom>
                    <a:noFill/>
                    <a:ln>
                      <a:noFill/>
                    </a:ln>
                  </pic:spPr>
                </pic:pic>
              </a:graphicData>
            </a:graphic>
          </wp:inline>
        </w:drawing>
      </w:r>
    </w:p>
    <w:p w:rsidR="002F23DC" w:rsidRPr="00D5250E" w:rsidRDefault="002F23DC" w:rsidP="00472E92">
      <w:pPr>
        <w:pStyle w:val="NormalParaAR"/>
        <w:rPr>
          <w:rFonts w:hint="cs"/>
          <w:i/>
          <w:iCs/>
          <w:sz w:val="32"/>
          <w:szCs w:val="32"/>
          <w:rtl/>
        </w:rPr>
      </w:pPr>
      <w:r w:rsidRPr="00D5250E">
        <w:rPr>
          <w:rFonts w:hint="cs"/>
          <w:i/>
          <w:iCs/>
          <w:sz w:val="32"/>
          <w:szCs w:val="32"/>
          <w:rtl/>
        </w:rPr>
        <w:t xml:space="preserve">نُسخ هذا </w:t>
      </w:r>
      <w:r w:rsidR="00472E92">
        <w:rPr>
          <w:rFonts w:hint="cs"/>
          <w:i/>
          <w:iCs/>
          <w:sz w:val="32"/>
          <w:szCs w:val="32"/>
          <w:rtl/>
        </w:rPr>
        <w:t>الرسم البياني</w:t>
      </w:r>
      <w:r w:rsidRPr="00D5250E">
        <w:rPr>
          <w:rFonts w:hint="cs"/>
          <w:i/>
          <w:iCs/>
          <w:sz w:val="32"/>
          <w:szCs w:val="32"/>
          <w:rtl/>
        </w:rPr>
        <w:t xml:space="preserve"> بإذن من كلية العلوم المالية والإدارة، معهد المحاسبين القانونيين في إنكلترا وويلز</w:t>
      </w:r>
    </w:p>
    <w:p w:rsidR="00D5250E" w:rsidRDefault="00D5250E" w:rsidP="00D5250E">
      <w:pPr>
        <w:pStyle w:val="EndofDocumentAR"/>
        <w:rPr>
          <w:rtl/>
        </w:rPr>
        <w:sectPr w:rsidR="00D5250E" w:rsidSect="002F23DC">
          <w:headerReference w:type="first" r:id="rId15"/>
          <w:pgSz w:w="16840" w:h="11907" w:orient="landscape" w:code="9"/>
          <w:pgMar w:top="1134" w:right="567" w:bottom="1418" w:left="1418" w:header="510" w:footer="1021" w:gutter="0"/>
          <w:cols w:space="720"/>
          <w:titlePg/>
          <w:docGrid w:linePitch="299"/>
        </w:sectPr>
      </w:pPr>
      <w:r>
        <w:rPr>
          <w:rFonts w:hint="cs"/>
          <w:rtl/>
        </w:rPr>
        <w:t>[يلي ذلك المرفق الثاني]</w:t>
      </w:r>
    </w:p>
    <w:tbl>
      <w:tblPr>
        <w:bidiVisual/>
        <w:tblW w:w="12033" w:type="dxa"/>
        <w:jc w:val="center"/>
        <w:tblCellSpacing w:w="15" w:type="dxa"/>
        <w:tblCellMar>
          <w:left w:w="0" w:type="dxa"/>
          <w:right w:w="0" w:type="dxa"/>
        </w:tblCellMar>
        <w:tblLook w:val="0000" w:firstRow="0" w:lastRow="0" w:firstColumn="0" w:lastColumn="0" w:noHBand="0" w:noVBand="0"/>
      </w:tblPr>
      <w:tblGrid>
        <w:gridCol w:w="1489"/>
        <w:gridCol w:w="1419"/>
        <w:gridCol w:w="2064"/>
        <w:gridCol w:w="1986"/>
        <w:gridCol w:w="1473"/>
        <w:gridCol w:w="1419"/>
        <w:gridCol w:w="2183"/>
      </w:tblGrid>
      <w:tr w:rsidR="00F44B4B" w:rsidTr="00DB79BC">
        <w:trPr>
          <w:tblCellSpacing w:w="15" w:type="dxa"/>
          <w:jc w:val="center"/>
        </w:trPr>
        <w:tc>
          <w:tcPr>
            <w:tcW w:w="0" w:type="auto"/>
            <w:gridSpan w:val="2"/>
            <w:shd w:val="clear" w:color="auto" w:fill="FF7C80"/>
            <w:tcMar>
              <w:top w:w="15" w:type="dxa"/>
              <w:left w:w="15" w:type="dxa"/>
              <w:bottom w:w="15" w:type="dxa"/>
              <w:right w:w="15" w:type="dxa"/>
            </w:tcMar>
            <w:vAlign w:val="center"/>
          </w:tcPr>
          <w:p w:rsidR="00F44B4B" w:rsidRDefault="00F44B4B" w:rsidP="00DB79BC">
            <w:pPr>
              <w:jc w:val="center"/>
              <w:rPr>
                <w:b/>
                <w:bCs/>
              </w:rPr>
            </w:pPr>
            <w:r>
              <w:rPr>
                <w:b/>
                <w:bCs/>
              </w:rPr>
              <w:t>MOODY’S</w:t>
            </w:r>
          </w:p>
        </w:tc>
        <w:tc>
          <w:tcPr>
            <w:tcW w:w="0" w:type="auto"/>
            <w:gridSpan w:val="2"/>
            <w:tcMar>
              <w:top w:w="15" w:type="dxa"/>
              <w:left w:w="15" w:type="dxa"/>
              <w:bottom w:w="15" w:type="dxa"/>
              <w:right w:w="15" w:type="dxa"/>
            </w:tcMar>
            <w:vAlign w:val="center"/>
          </w:tcPr>
          <w:p w:rsidR="00F44B4B" w:rsidRDefault="00F44B4B" w:rsidP="00DB79BC">
            <w:pPr>
              <w:jc w:val="center"/>
              <w:rPr>
                <w:b/>
                <w:bCs/>
              </w:rPr>
            </w:pPr>
            <w:r>
              <w:rPr>
                <w:b/>
                <w:bCs/>
              </w:rPr>
              <w:t>STANDARD &amp; POOR’S</w:t>
            </w:r>
          </w:p>
        </w:tc>
        <w:tc>
          <w:tcPr>
            <w:tcW w:w="0" w:type="auto"/>
            <w:gridSpan w:val="2"/>
            <w:shd w:val="clear" w:color="auto" w:fill="0099FF"/>
            <w:tcMar>
              <w:top w:w="15" w:type="dxa"/>
              <w:left w:w="15" w:type="dxa"/>
              <w:bottom w:w="15" w:type="dxa"/>
              <w:right w:w="15" w:type="dxa"/>
            </w:tcMar>
            <w:vAlign w:val="center"/>
          </w:tcPr>
          <w:p w:rsidR="00F44B4B" w:rsidRDefault="00F44B4B" w:rsidP="00DB79BC">
            <w:pPr>
              <w:jc w:val="center"/>
              <w:rPr>
                <w:b/>
                <w:bCs/>
              </w:rPr>
            </w:pPr>
            <w:r>
              <w:rPr>
                <w:b/>
                <w:bCs/>
              </w:rPr>
              <w:t>FITCH</w:t>
            </w:r>
          </w:p>
        </w:tc>
        <w:tc>
          <w:tcPr>
            <w:tcW w:w="0" w:type="auto"/>
            <w:tcMar>
              <w:top w:w="15" w:type="dxa"/>
              <w:left w:w="15" w:type="dxa"/>
              <w:bottom w:w="15" w:type="dxa"/>
              <w:right w:w="15" w:type="dxa"/>
            </w:tcMar>
            <w:vAlign w:val="center"/>
          </w:tcPr>
          <w:p w:rsidR="00F44B4B" w:rsidRDefault="00F44B4B" w:rsidP="00DB79BC">
            <w:pPr>
              <w:jc w:val="center"/>
              <w:rPr>
                <w:b/>
                <w:bCs/>
              </w:rPr>
            </w:pPr>
            <w:r>
              <w:rPr>
                <w:b/>
                <w:bCs/>
              </w:rPr>
              <w:t> </w:t>
            </w:r>
          </w:p>
        </w:tc>
      </w:tr>
      <w:tr w:rsidR="00F44B4B" w:rsidTr="00DB79BC">
        <w:trPr>
          <w:tblCellSpacing w:w="15" w:type="dxa"/>
          <w:jc w:val="center"/>
        </w:trPr>
        <w:tc>
          <w:tcPr>
            <w:tcW w:w="0" w:type="auto"/>
            <w:shd w:val="clear" w:color="auto" w:fill="F08080"/>
            <w:tcMar>
              <w:top w:w="15" w:type="dxa"/>
              <w:left w:w="15" w:type="dxa"/>
              <w:bottom w:w="15" w:type="dxa"/>
              <w:right w:w="15" w:type="dxa"/>
            </w:tcMar>
            <w:vAlign w:val="center"/>
          </w:tcPr>
          <w:p w:rsidR="00F44B4B" w:rsidRPr="00AF684A" w:rsidRDefault="00F44B4B" w:rsidP="00DB79BC">
            <w:pPr>
              <w:bidi/>
              <w:jc w:val="center"/>
              <w:rPr>
                <w:rFonts w:ascii="Arabic Typesetting" w:hAnsi="Arabic Typesetting" w:cs="Arabic Typesetting"/>
                <w:b/>
                <w:bCs/>
                <w:sz w:val="32"/>
                <w:szCs w:val="28"/>
              </w:rPr>
            </w:pPr>
            <w:r w:rsidRPr="00AF684A">
              <w:rPr>
                <w:rFonts w:ascii="Arabic Typesetting" w:hAnsi="Arabic Typesetting" w:cs="Arabic Typesetting"/>
                <w:b/>
                <w:bCs/>
                <w:sz w:val="32"/>
                <w:szCs w:val="28"/>
                <w:rtl/>
              </w:rPr>
              <w:t>الأجل الطويل</w:t>
            </w:r>
          </w:p>
        </w:tc>
        <w:tc>
          <w:tcPr>
            <w:tcW w:w="0" w:type="auto"/>
            <w:shd w:val="clear" w:color="auto" w:fill="FFC0CB"/>
            <w:tcMar>
              <w:top w:w="15" w:type="dxa"/>
              <w:left w:w="15" w:type="dxa"/>
              <w:bottom w:w="15" w:type="dxa"/>
              <w:right w:w="15" w:type="dxa"/>
            </w:tcMar>
            <w:vAlign w:val="center"/>
          </w:tcPr>
          <w:p w:rsidR="00F44B4B" w:rsidRPr="00AF684A" w:rsidRDefault="00F44B4B" w:rsidP="00DB79BC">
            <w:pPr>
              <w:bidi/>
              <w:jc w:val="center"/>
              <w:rPr>
                <w:rFonts w:ascii="Arabic Typesetting" w:hAnsi="Arabic Typesetting" w:cs="Arabic Typesetting"/>
                <w:b/>
                <w:bCs/>
                <w:sz w:val="32"/>
                <w:szCs w:val="28"/>
              </w:rPr>
            </w:pPr>
            <w:r w:rsidRPr="00AF684A">
              <w:rPr>
                <w:rFonts w:ascii="Arabic Typesetting" w:hAnsi="Arabic Typesetting" w:cs="Arabic Typesetting"/>
                <w:b/>
                <w:bCs/>
                <w:sz w:val="32"/>
                <w:szCs w:val="28"/>
                <w:rtl/>
              </w:rPr>
              <w:t>الأجل القصير</w:t>
            </w:r>
          </w:p>
        </w:tc>
        <w:tc>
          <w:tcPr>
            <w:tcW w:w="0" w:type="auto"/>
            <w:shd w:val="clear" w:color="auto" w:fill="FFFF00"/>
            <w:tcMar>
              <w:top w:w="15" w:type="dxa"/>
              <w:left w:w="15" w:type="dxa"/>
              <w:bottom w:w="15" w:type="dxa"/>
              <w:right w:w="15" w:type="dxa"/>
            </w:tcMar>
            <w:vAlign w:val="center"/>
          </w:tcPr>
          <w:p w:rsidR="00F44B4B" w:rsidRPr="00AF684A" w:rsidRDefault="00F44B4B" w:rsidP="00DB79BC">
            <w:pPr>
              <w:bidi/>
              <w:jc w:val="center"/>
              <w:rPr>
                <w:rFonts w:ascii="Arabic Typesetting" w:hAnsi="Arabic Typesetting" w:cs="Arabic Typesetting"/>
                <w:b/>
                <w:bCs/>
                <w:sz w:val="32"/>
                <w:szCs w:val="28"/>
              </w:rPr>
            </w:pPr>
            <w:r w:rsidRPr="00AF684A">
              <w:rPr>
                <w:rFonts w:ascii="Arabic Typesetting" w:hAnsi="Arabic Typesetting" w:cs="Arabic Typesetting"/>
                <w:b/>
                <w:bCs/>
                <w:sz w:val="32"/>
                <w:szCs w:val="28"/>
                <w:rtl/>
              </w:rPr>
              <w:t>الأجل الطويل</w:t>
            </w:r>
          </w:p>
        </w:tc>
        <w:tc>
          <w:tcPr>
            <w:tcW w:w="0" w:type="auto"/>
            <w:shd w:val="clear" w:color="auto" w:fill="F0E68C"/>
            <w:tcMar>
              <w:top w:w="15" w:type="dxa"/>
              <w:left w:w="15" w:type="dxa"/>
              <w:bottom w:w="15" w:type="dxa"/>
              <w:right w:w="15" w:type="dxa"/>
            </w:tcMar>
            <w:vAlign w:val="center"/>
          </w:tcPr>
          <w:p w:rsidR="00F44B4B" w:rsidRPr="00AF684A" w:rsidRDefault="00F44B4B" w:rsidP="00DB79BC">
            <w:pPr>
              <w:bidi/>
              <w:jc w:val="center"/>
              <w:rPr>
                <w:rFonts w:ascii="Arabic Typesetting" w:hAnsi="Arabic Typesetting" w:cs="Arabic Typesetting"/>
                <w:b/>
                <w:bCs/>
                <w:sz w:val="32"/>
                <w:szCs w:val="28"/>
              </w:rPr>
            </w:pPr>
            <w:r w:rsidRPr="00AF684A">
              <w:rPr>
                <w:rFonts w:ascii="Arabic Typesetting" w:hAnsi="Arabic Typesetting" w:cs="Arabic Typesetting"/>
                <w:b/>
                <w:bCs/>
                <w:sz w:val="32"/>
                <w:szCs w:val="28"/>
                <w:rtl/>
              </w:rPr>
              <w:t>الأجل القصير</w:t>
            </w:r>
          </w:p>
        </w:tc>
        <w:tc>
          <w:tcPr>
            <w:tcW w:w="0" w:type="auto"/>
            <w:shd w:val="clear" w:color="auto" w:fill="1E90FF"/>
            <w:tcMar>
              <w:top w:w="15" w:type="dxa"/>
              <w:left w:w="15" w:type="dxa"/>
              <w:bottom w:w="15" w:type="dxa"/>
              <w:right w:w="15" w:type="dxa"/>
            </w:tcMar>
            <w:vAlign w:val="center"/>
          </w:tcPr>
          <w:p w:rsidR="00F44B4B" w:rsidRPr="00AF684A" w:rsidRDefault="00F44B4B" w:rsidP="00DB79BC">
            <w:pPr>
              <w:bidi/>
              <w:jc w:val="center"/>
              <w:rPr>
                <w:rFonts w:ascii="Arabic Typesetting" w:hAnsi="Arabic Typesetting" w:cs="Arabic Typesetting"/>
                <w:b/>
                <w:bCs/>
                <w:sz w:val="32"/>
                <w:szCs w:val="28"/>
              </w:rPr>
            </w:pPr>
            <w:r w:rsidRPr="00AF684A">
              <w:rPr>
                <w:rFonts w:ascii="Arabic Typesetting" w:hAnsi="Arabic Typesetting" w:cs="Arabic Typesetting"/>
                <w:b/>
                <w:bCs/>
                <w:sz w:val="32"/>
                <w:szCs w:val="28"/>
                <w:rtl/>
              </w:rPr>
              <w:t>الأجل الطويل</w:t>
            </w:r>
          </w:p>
        </w:tc>
        <w:tc>
          <w:tcPr>
            <w:tcW w:w="0" w:type="auto"/>
            <w:shd w:val="clear" w:color="auto" w:fill="AFEEEE"/>
            <w:tcMar>
              <w:top w:w="15" w:type="dxa"/>
              <w:left w:w="15" w:type="dxa"/>
              <w:bottom w:w="15" w:type="dxa"/>
              <w:right w:w="15" w:type="dxa"/>
            </w:tcMar>
            <w:vAlign w:val="center"/>
          </w:tcPr>
          <w:p w:rsidR="00F44B4B" w:rsidRPr="00AF684A" w:rsidRDefault="00F44B4B" w:rsidP="00DB79BC">
            <w:pPr>
              <w:bidi/>
              <w:jc w:val="center"/>
              <w:rPr>
                <w:rFonts w:ascii="Arabic Typesetting" w:hAnsi="Arabic Typesetting" w:cs="Arabic Typesetting"/>
                <w:b/>
                <w:bCs/>
                <w:sz w:val="32"/>
                <w:szCs w:val="28"/>
              </w:rPr>
            </w:pPr>
            <w:r w:rsidRPr="00AF684A">
              <w:rPr>
                <w:rFonts w:ascii="Arabic Typesetting" w:hAnsi="Arabic Typesetting" w:cs="Arabic Typesetting"/>
                <w:b/>
                <w:bCs/>
                <w:sz w:val="32"/>
                <w:szCs w:val="28"/>
                <w:rtl/>
              </w:rPr>
              <w:t>الأجل القصير</w:t>
            </w:r>
          </w:p>
        </w:tc>
        <w:tc>
          <w:tcPr>
            <w:tcW w:w="0" w:type="auto"/>
            <w:tcMar>
              <w:top w:w="15" w:type="dxa"/>
              <w:left w:w="15" w:type="dxa"/>
              <w:bottom w:w="15" w:type="dxa"/>
              <w:right w:w="15" w:type="dxa"/>
            </w:tcMar>
            <w:vAlign w:val="center"/>
          </w:tcPr>
          <w:p w:rsidR="00F44B4B" w:rsidRDefault="00F44B4B" w:rsidP="00DB79BC">
            <w:pPr>
              <w:jc w:val="center"/>
              <w:rPr>
                <w:b/>
                <w:bCs/>
              </w:rPr>
            </w:pPr>
            <w:r>
              <w:rPr>
                <w:b/>
                <w:bCs/>
              </w:rPr>
              <w:t> </w:t>
            </w:r>
          </w:p>
        </w:tc>
      </w:tr>
      <w:tr w:rsidR="00F44B4B" w:rsidTr="00DB79BC">
        <w:trPr>
          <w:tblCellSpacing w:w="15" w:type="dxa"/>
          <w:jc w:val="center"/>
        </w:trPr>
        <w:tc>
          <w:tcPr>
            <w:tcW w:w="0" w:type="auto"/>
            <w:shd w:val="clear" w:color="auto" w:fill="F08080"/>
            <w:tcMar>
              <w:top w:w="15" w:type="dxa"/>
              <w:left w:w="15" w:type="dxa"/>
              <w:bottom w:w="15" w:type="dxa"/>
              <w:right w:w="15" w:type="dxa"/>
            </w:tcMar>
            <w:vAlign w:val="center"/>
          </w:tcPr>
          <w:p w:rsidR="00F44B4B" w:rsidRDefault="00F44B4B" w:rsidP="00DB79BC">
            <w:pPr>
              <w:jc w:val="center"/>
            </w:pPr>
            <w:proofErr w:type="spellStart"/>
            <w:r>
              <w:t>Aaa</w:t>
            </w:r>
            <w:proofErr w:type="spellEnd"/>
          </w:p>
        </w:tc>
        <w:tc>
          <w:tcPr>
            <w:tcW w:w="0" w:type="auto"/>
            <w:vMerge w:val="restart"/>
            <w:shd w:val="clear" w:color="auto" w:fill="FFC0CB"/>
            <w:tcMar>
              <w:top w:w="15" w:type="dxa"/>
              <w:left w:w="15" w:type="dxa"/>
              <w:bottom w:w="15" w:type="dxa"/>
              <w:right w:w="15" w:type="dxa"/>
            </w:tcMar>
            <w:vAlign w:val="center"/>
          </w:tcPr>
          <w:p w:rsidR="00F44B4B" w:rsidRDefault="00F44B4B" w:rsidP="00DB79BC">
            <w:pPr>
              <w:jc w:val="center"/>
            </w:pPr>
            <w:r>
              <w:t>P-1</w:t>
            </w:r>
          </w:p>
        </w:tc>
        <w:tc>
          <w:tcPr>
            <w:tcW w:w="0" w:type="auto"/>
            <w:shd w:val="clear" w:color="auto" w:fill="FFFF00"/>
            <w:tcMar>
              <w:top w:w="15" w:type="dxa"/>
              <w:left w:w="15" w:type="dxa"/>
              <w:bottom w:w="15" w:type="dxa"/>
              <w:right w:w="15" w:type="dxa"/>
            </w:tcMar>
            <w:vAlign w:val="center"/>
          </w:tcPr>
          <w:p w:rsidR="00F44B4B" w:rsidRDefault="00F44B4B" w:rsidP="00DB79BC">
            <w:pPr>
              <w:jc w:val="center"/>
            </w:pPr>
            <w:r>
              <w:t>AAA</w:t>
            </w:r>
          </w:p>
        </w:tc>
        <w:tc>
          <w:tcPr>
            <w:tcW w:w="0" w:type="auto"/>
            <w:vMerge w:val="restart"/>
            <w:shd w:val="clear" w:color="auto" w:fill="F0E68C"/>
            <w:tcMar>
              <w:top w:w="15" w:type="dxa"/>
              <w:left w:w="15" w:type="dxa"/>
              <w:bottom w:w="15" w:type="dxa"/>
              <w:right w:w="15" w:type="dxa"/>
            </w:tcMar>
            <w:vAlign w:val="center"/>
          </w:tcPr>
          <w:p w:rsidR="00F44B4B" w:rsidRDefault="00F44B4B" w:rsidP="00DB79BC">
            <w:pPr>
              <w:jc w:val="center"/>
            </w:pPr>
            <w:r>
              <w:t>A-1+</w:t>
            </w:r>
          </w:p>
        </w:tc>
        <w:tc>
          <w:tcPr>
            <w:tcW w:w="0" w:type="auto"/>
            <w:shd w:val="clear" w:color="auto" w:fill="1E90FF"/>
            <w:tcMar>
              <w:top w:w="15" w:type="dxa"/>
              <w:left w:w="15" w:type="dxa"/>
              <w:bottom w:w="15" w:type="dxa"/>
              <w:right w:w="15" w:type="dxa"/>
            </w:tcMar>
            <w:vAlign w:val="center"/>
          </w:tcPr>
          <w:p w:rsidR="00F44B4B" w:rsidRDefault="00F44B4B" w:rsidP="00DB79BC">
            <w:pPr>
              <w:jc w:val="center"/>
            </w:pPr>
            <w:r>
              <w:t>AAA</w:t>
            </w:r>
          </w:p>
        </w:tc>
        <w:tc>
          <w:tcPr>
            <w:tcW w:w="0" w:type="auto"/>
            <w:vMerge w:val="restart"/>
            <w:shd w:val="clear" w:color="auto" w:fill="AFEEEE"/>
            <w:tcMar>
              <w:top w:w="15" w:type="dxa"/>
              <w:left w:w="15" w:type="dxa"/>
              <w:bottom w:w="15" w:type="dxa"/>
              <w:right w:w="15" w:type="dxa"/>
            </w:tcMar>
            <w:vAlign w:val="center"/>
          </w:tcPr>
          <w:p w:rsidR="00F44B4B" w:rsidRDefault="00F44B4B" w:rsidP="00DB79BC">
            <w:pPr>
              <w:jc w:val="center"/>
            </w:pPr>
            <w:r>
              <w:t>F1+</w:t>
            </w:r>
          </w:p>
        </w:tc>
        <w:tc>
          <w:tcPr>
            <w:tcW w:w="0" w:type="auto"/>
            <w:shd w:val="clear" w:color="auto" w:fill="D2B48C"/>
            <w:tcMar>
              <w:top w:w="15" w:type="dxa"/>
              <w:left w:w="15" w:type="dxa"/>
              <w:bottom w:w="15" w:type="dxa"/>
              <w:right w:w="15" w:type="dxa"/>
            </w:tcMar>
            <w:vAlign w:val="center"/>
          </w:tcPr>
          <w:p w:rsidR="00F44B4B" w:rsidRPr="00AF684A" w:rsidRDefault="00F44B4B" w:rsidP="00DB79BC">
            <w:pPr>
              <w:bidi/>
              <w:jc w:val="center"/>
              <w:rPr>
                <w:rFonts w:ascii="Arabic Typesetting" w:hAnsi="Arabic Typesetting" w:cs="Arabic Typesetting"/>
                <w:sz w:val="28"/>
                <w:szCs w:val="28"/>
              </w:rPr>
            </w:pPr>
            <w:r w:rsidRPr="00AF684A">
              <w:rPr>
                <w:rFonts w:ascii="Arabic Typesetting" w:hAnsi="Arabic Typesetting" w:cs="Arabic Typesetting"/>
                <w:sz w:val="28"/>
                <w:szCs w:val="28"/>
                <w:rtl/>
              </w:rPr>
              <w:t>مم</w:t>
            </w:r>
            <w:r>
              <w:rPr>
                <w:rFonts w:ascii="Arabic Typesetting" w:hAnsi="Arabic Typesetting" w:cs="Arabic Typesetting" w:hint="cs"/>
                <w:sz w:val="28"/>
                <w:szCs w:val="28"/>
                <w:rtl/>
              </w:rPr>
              <w:t>ي</w:t>
            </w:r>
            <w:r w:rsidRPr="00AF684A">
              <w:rPr>
                <w:rFonts w:ascii="Arabic Typesetting" w:hAnsi="Arabic Typesetting" w:cs="Arabic Typesetting"/>
                <w:sz w:val="28"/>
                <w:szCs w:val="28"/>
                <w:rtl/>
              </w:rPr>
              <w:t>ز</w:t>
            </w:r>
          </w:p>
        </w:tc>
      </w:tr>
      <w:tr w:rsidR="00F44B4B" w:rsidTr="00DB79BC">
        <w:trPr>
          <w:tblCellSpacing w:w="15" w:type="dxa"/>
          <w:jc w:val="center"/>
        </w:trPr>
        <w:tc>
          <w:tcPr>
            <w:tcW w:w="0" w:type="auto"/>
            <w:shd w:val="clear" w:color="auto" w:fill="F08080"/>
            <w:tcMar>
              <w:top w:w="15" w:type="dxa"/>
              <w:left w:w="15" w:type="dxa"/>
              <w:bottom w:w="15" w:type="dxa"/>
              <w:right w:w="15" w:type="dxa"/>
            </w:tcMar>
            <w:vAlign w:val="center"/>
          </w:tcPr>
          <w:p w:rsidR="00F44B4B" w:rsidRDefault="00F44B4B" w:rsidP="00DB79BC">
            <w:pPr>
              <w:jc w:val="center"/>
            </w:pPr>
            <w:r>
              <w:t>Aa1</w:t>
            </w:r>
          </w:p>
        </w:tc>
        <w:tc>
          <w:tcPr>
            <w:tcW w:w="0" w:type="auto"/>
            <w:vMerge/>
            <w:vAlign w:val="center"/>
          </w:tcPr>
          <w:p w:rsidR="00F44B4B" w:rsidRDefault="00F44B4B" w:rsidP="00DB79BC"/>
        </w:tc>
        <w:tc>
          <w:tcPr>
            <w:tcW w:w="0" w:type="auto"/>
            <w:shd w:val="clear" w:color="auto" w:fill="FFFF00"/>
            <w:tcMar>
              <w:top w:w="15" w:type="dxa"/>
              <w:left w:w="15" w:type="dxa"/>
              <w:bottom w:w="15" w:type="dxa"/>
              <w:right w:w="15" w:type="dxa"/>
            </w:tcMar>
            <w:vAlign w:val="center"/>
          </w:tcPr>
          <w:p w:rsidR="00F44B4B" w:rsidRDefault="00F44B4B" w:rsidP="00DB79BC">
            <w:pPr>
              <w:jc w:val="center"/>
            </w:pPr>
            <w:r>
              <w:t>AA+</w:t>
            </w:r>
          </w:p>
        </w:tc>
        <w:tc>
          <w:tcPr>
            <w:tcW w:w="0" w:type="auto"/>
            <w:vMerge/>
            <w:vAlign w:val="center"/>
          </w:tcPr>
          <w:p w:rsidR="00F44B4B" w:rsidRDefault="00F44B4B" w:rsidP="00DB79BC"/>
        </w:tc>
        <w:tc>
          <w:tcPr>
            <w:tcW w:w="0" w:type="auto"/>
            <w:shd w:val="clear" w:color="auto" w:fill="1E90FF"/>
            <w:tcMar>
              <w:top w:w="15" w:type="dxa"/>
              <w:left w:w="15" w:type="dxa"/>
              <w:bottom w:w="15" w:type="dxa"/>
              <w:right w:w="15" w:type="dxa"/>
            </w:tcMar>
            <w:vAlign w:val="center"/>
          </w:tcPr>
          <w:p w:rsidR="00F44B4B" w:rsidRDefault="00F44B4B" w:rsidP="00DB79BC">
            <w:pPr>
              <w:jc w:val="center"/>
            </w:pPr>
            <w:r>
              <w:t>AA+</w:t>
            </w:r>
          </w:p>
        </w:tc>
        <w:tc>
          <w:tcPr>
            <w:tcW w:w="0" w:type="auto"/>
            <w:vMerge/>
            <w:vAlign w:val="center"/>
          </w:tcPr>
          <w:p w:rsidR="00F44B4B" w:rsidRDefault="00F44B4B" w:rsidP="00DB79BC"/>
        </w:tc>
        <w:tc>
          <w:tcPr>
            <w:tcW w:w="0" w:type="auto"/>
            <w:vMerge w:val="restart"/>
            <w:shd w:val="clear" w:color="auto" w:fill="D2B48C"/>
            <w:tcMar>
              <w:top w:w="15" w:type="dxa"/>
              <w:left w:w="15" w:type="dxa"/>
              <w:bottom w:w="15" w:type="dxa"/>
              <w:right w:w="15" w:type="dxa"/>
            </w:tcMar>
            <w:vAlign w:val="center"/>
          </w:tcPr>
          <w:p w:rsidR="00F44B4B" w:rsidRPr="00AF684A" w:rsidRDefault="00F44B4B" w:rsidP="00DB79BC">
            <w:pPr>
              <w:bidi/>
              <w:jc w:val="center"/>
              <w:rPr>
                <w:rFonts w:ascii="Arabic Typesetting" w:hAnsi="Arabic Typesetting" w:cs="Arabic Typesetting"/>
                <w:sz w:val="28"/>
                <w:szCs w:val="28"/>
              </w:rPr>
            </w:pPr>
            <w:r w:rsidRPr="00AF684A">
              <w:rPr>
                <w:rFonts w:ascii="Arabic Typesetting" w:hAnsi="Arabic Typesetting" w:cs="Arabic Typesetting"/>
                <w:sz w:val="28"/>
                <w:szCs w:val="28"/>
                <w:rtl/>
              </w:rPr>
              <w:t>عالي الجودة</w:t>
            </w:r>
          </w:p>
        </w:tc>
      </w:tr>
      <w:tr w:rsidR="00F44B4B" w:rsidTr="00DB79BC">
        <w:trPr>
          <w:tblCellSpacing w:w="15" w:type="dxa"/>
          <w:jc w:val="center"/>
        </w:trPr>
        <w:tc>
          <w:tcPr>
            <w:tcW w:w="0" w:type="auto"/>
            <w:shd w:val="clear" w:color="auto" w:fill="F08080"/>
            <w:tcMar>
              <w:top w:w="15" w:type="dxa"/>
              <w:left w:w="15" w:type="dxa"/>
              <w:bottom w:w="15" w:type="dxa"/>
              <w:right w:w="15" w:type="dxa"/>
            </w:tcMar>
            <w:vAlign w:val="center"/>
          </w:tcPr>
          <w:p w:rsidR="00F44B4B" w:rsidRDefault="00F44B4B" w:rsidP="00DB79BC">
            <w:pPr>
              <w:jc w:val="center"/>
            </w:pPr>
            <w:r>
              <w:t>Aa2</w:t>
            </w:r>
          </w:p>
        </w:tc>
        <w:tc>
          <w:tcPr>
            <w:tcW w:w="0" w:type="auto"/>
            <w:vMerge/>
            <w:vAlign w:val="center"/>
          </w:tcPr>
          <w:p w:rsidR="00F44B4B" w:rsidRDefault="00F44B4B" w:rsidP="00DB79BC"/>
        </w:tc>
        <w:tc>
          <w:tcPr>
            <w:tcW w:w="0" w:type="auto"/>
            <w:shd w:val="clear" w:color="auto" w:fill="FFFF00"/>
            <w:tcMar>
              <w:top w:w="15" w:type="dxa"/>
              <w:left w:w="15" w:type="dxa"/>
              <w:bottom w:w="15" w:type="dxa"/>
              <w:right w:w="15" w:type="dxa"/>
            </w:tcMar>
            <w:vAlign w:val="center"/>
          </w:tcPr>
          <w:p w:rsidR="00F44B4B" w:rsidRDefault="00F44B4B" w:rsidP="00DB79BC">
            <w:pPr>
              <w:jc w:val="center"/>
            </w:pPr>
            <w:r>
              <w:t>AA</w:t>
            </w:r>
          </w:p>
        </w:tc>
        <w:tc>
          <w:tcPr>
            <w:tcW w:w="0" w:type="auto"/>
            <w:vMerge/>
            <w:vAlign w:val="center"/>
          </w:tcPr>
          <w:p w:rsidR="00F44B4B" w:rsidRDefault="00F44B4B" w:rsidP="00DB79BC"/>
        </w:tc>
        <w:tc>
          <w:tcPr>
            <w:tcW w:w="0" w:type="auto"/>
            <w:shd w:val="clear" w:color="auto" w:fill="1E90FF"/>
            <w:tcMar>
              <w:top w:w="15" w:type="dxa"/>
              <w:left w:w="15" w:type="dxa"/>
              <w:bottom w:w="15" w:type="dxa"/>
              <w:right w:w="15" w:type="dxa"/>
            </w:tcMar>
            <w:vAlign w:val="center"/>
          </w:tcPr>
          <w:p w:rsidR="00F44B4B" w:rsidRDefault="00F44B4B" w:rsidP="00DB79BC">
            <w:pPr>
              <w:jc w:val="center"/>
            </w:pPr>
            <w:r>
              <w:t>AA</w:t>
            </w:r>
          </w:p>
        </w:tc>
        <w:tc>
          <w:tcPr>
            <w:tcW w:w="0" w:type="auto"/>
            <w:vMerge/>
            <w:vAlign w:val="center"/>
          </w:tcPr>
          <w:p w:rsidR="00F44B4B" w:rsidRDefault="00F44B4B" w:rsidP="00DB79BC"/>
        </w:tc>
        <w:tc>
          <w:tcPr>
            <w:tcW w:w="0" w:type="auto"/>
            <w:vMerge/>
            <w:vAlign w:val="center"/>
          </w:tcPr>
          <w:p w:rsidR="00F44B4B" w:rsidRPr="00AF684A" w:rsidRDefault="00F44B4B" w:rsidP="00DB79BC">
            <w:pPr>
              <w:bidi/>
              <w:rPr>
                <w:rFonts w:ascii="Arabic Typesetting" w:hAnsi="Arabic Typesetting" w:cs="Arabic Typesetting"/>
                <w:sz w:val="28"/>
                <w:szCs w:val="28"/>
              </w:rPr>
            </w:pPr>
          </w:p>
        </w:tc>
      </w:tr>
      <w:tr w:rsidR="00F44B4B" w:rsidTr="00DB79BC">
        <w:trPr>
          <w:tblCellSpacing w:w="15" w:type="dxa"/>
          <w:jc w:val="center"/>
        </w:trPr>
        <w:tc>
          <w:tcPr>
            <w:tcW w:w="0" w:type="auto"/>
            <w:shd w:val="clear" w:color="auto" w:fill="F08080"/>
            <w:tcMar>
              <w:top w:w="15" w:type="dxa"/>
              <w:left w:w="15" w:type="dxa"/>
              <w:bottom w:w="15" w:type="dxa"/>
              <w:right w:w="15" w:type="dxa"/>
            </w:tcMar>
            <w:vAlign w:val="center"/>
          </w:tcPr>
          <w:p w:rsidR="00F44B4B" w:rsidRDefault="00F44B4B" w:rsidP="00DB79BC">
            <w:pPr>
              <w:jc w:val="center"/>
            </w:pPr>
            <w:r>
              <w:t>Aa3</w:t>
            </w:r>
          </w:p>
        </w:tc>
        <w:tc>
          <w:tcPr>
            <w:tcW w:w="0" w:type="auto"/>
            <w:vMerge/>
            <w:vAlign w:val="center"/>
          </w:tcPr>
          <w:p w:rsidR="00F44B4B" w:rsidRDefault="00F44B4B" w:rsidP="00DB79BC"/>
        </w:tc>
        <w:tc>
          <w:tcPr>
            <w:tcW w:w="0" w:type="auto"/>
            <w:shd w:val="clear" w:color="auto" w:fill="FFFF00"/>
            <w:tcMar>
              <w:top w:w="15" w:type="dxa"/>
              <w:left w:w="15" w:type="dxa"/>
              <w:bottom w:w="15" w:type="dxa"/>
              <w:right w:w="15" w:type="dxa"/>
            </w:tcMar>
            <w:vAlign w:val="center"/>
          </w:tcPr>
          <w:p w:rsidR="00F44B4B" w:rsidRDefault="00F44B4B" w:rsidP="00DB79BC">
            <w:pPr>
              <w:jc w:val="center"/>
            </w:pPr>
            <w:r>
              <w:t>AA-</w:t>
            </w:r>
          </w:p>
        </w:tc>
        <w:tc>
          <w:tcPr>
            <w:tcW w:w="0" w:type="auto"/>
            <w:vMerge/>
            <w:vAlign w:val="center"/>
          </w:tcPr>
          <w:p w:rsidR="00F44B4B" w:rsidRDefault="00F44B4B" w:rsidP="00DB79BC"/>
        </w:tc>
        <w:tc>
          <w:tcPr>
            <w:tcW w:w="0" w:type="auto"/>
            <w:shd w:val="clear" w:color="auto" w:fill="1E90FF"/>
            <w:tcMar>
              <w:top w:w="15" w:type="dxa"/>
              <w:left w:w="15" w:type="dxa"/>
              <w:bottom w:w="15" w:type="dxa"/>
              <w:right w:w="15" w:type="dxa"/>
            </w:tcMar>
            <w:vAlign w:val="center"/>
          </w:tcPr>
          <w:p w:rsidR="00F44B4B" w:rsidRDefault="00F44B4B" w:rsidP="00DB79BC">
            <w:pPr>
              <w:jc w:val="center"/>
            </w:pPr>
            <w:r>
              <w:t>AA-</w:t>
            </w:r>
          </w:p>
        </w:tc>
        <w:tc>
          <w:tcPr>
            <w:tcW w:w="0" w:type="auto"/>
            <w:vMerge/>
            <w:vAlign w:val="center"/>
          </w:tcPr>
          <w:p w:rsidR="00F44B4B" w:rsidRDefault="00F44B4B" w:rsidP="00DB79BC"/>
        </w:tc>
        <w:tc>
          <w:tcPr>
            <w:tcW w:w="0" w:type="auto"/>
            <w:vMerge/>
            <w:vAlign w:val="center"/>
          </w:tcPr>
          <w:p w:rsidR="00F44B4B" w:rsidRPr="00AF684A" w:rsidRDefault="00F44B4B" w:rsidP="00DB79BC">
            <w:pPr>
              <w:bidi/>
              <w:rPr>
                <w:rFonts w:ascii="Arabic Typesetting" w:hAnsi="Arabic Typesetting" w:cs="Arabic Typesetting"/>
                <w:sz w:val="28"/>
                <w:szCs w:val="28"/>
              </w:rPr>
            </w:pPr>
          </w:p>
        </w:tc>
      </w:tr>
      <w:tr w:rsidR="00F44B4B" w:rsidTr="00DB79BC">
        <w:trPr>
          <w:tblCellSpacing w:w="15" w:type="dxa"/>
          <w:jc w:val="center"/>
        </w:trPr>
        <w:tc>
          <w:tcPr>
            <w:tcW w:w="0" w:type="auto"/>
            <w:shd w:val="clear" w:color="auto" w:fill="F08080"/>
            <w:vAlign w:val="center"/>
          </w:tcPr>
          <w:p w:rsidR="00F44B4B" w:rsidRDefault="00F44B4B" w:rsidP="00DB79BC">
            <w:pPr>
              <w:jc w:val="center"/>
            </w:pPr>
            <w:r>
              <w:t>A1</w:t>
            </w:r>
          </w:p>
        </w:tc>
        <w:tc>
          <w:tcPr>
            <w:tcW w:w="0" w:type="auto"/>
            <w:vMerge/>
            <w:vAlign w:val="center"/>
          </w:tcPr>
          <w:p w:rsidR="00F44B4B" w:rsidRDefault="00F44B4B" w:rsidP="00DB79BC"/>
        </w:tc>
        <w:tc>
          <w:tcPr>
            <w:tcW w:w="0" w:type="auto"/>
            <w:shd w:val="clear" w:color="auto" w:fill="FFFF00"/>
            <w:tcMar>
              <w:top w:w="15" w:type="dxa"/>
              <w:left w:w="15" w:type="dxa"/>
              <w:bottom w:w="15" w:type="dxa"/>
              <w:right w:w="15" w:type="dxa"/>
            </w:tcMar>
            <w:vAlign w:val="center"/>
          </w:tcPr>
          <w:p w:rsidR="00F44B4B" w:rsidRDefault="00F44B4B" w:rsidP="00DB79BC">
            <w:pPr>
              <w:jc w:val="center"/>
            </w:pPr>
            <w:r>
              <w:t>A+</w:t>
            </w:r>
          </w:p>
        </w:tc>
        <w:tc>
          <w:tcPr>
            <w:tcW w:w="0" w:type="auto"/>
            <w:vMerge w:val="restart"/>
            <w:shd w:val="clear" w:color="auto" w:fill="F0E68C"/>
            <w:tcMar>
              <w:top w:w="15" w:type="dxa"/>
              <w:left w:w="15" w:type="dxa"/>
              <w:bottom w:w="15" w:type="dxa"/>
              <w:right w:w="15" w:type="dxa"/>
            </w:tcMar>
            <w:vAlign w:val="center"/>
          </w:tcPr>
          <w:p w:rsidR="00F44B4B" w:rsidRDefault="00F44B4B" w:rsidP="00DB79BC">
            <w:pPr>
              <w:jc w:val="center"/>
            </w:pPr>
            <w:r>
              <w:t>A-1</w:t>
            </w:r>
          </w:p>
        </w:tc>
        <w:tc>
          <w:tcPr>
            <w:tcW w:w="0" w:type="auto"/>
            <w:shd w:val="clear" w:color="auto" w:fill="1E90FF"/>
            <w:tcMar>
              <w:top w:w="15" w:type="dxa"/>
              <w:left w:w="15" w:type="dxa"/>
              <w:bottom w:w="15" w:type="dxa"/>
              <w:right w:w="15" w:type="dxa"/>
            </w:tcMar>
            <w:vAlign w:val="center"/>
          </w:tcPr>
          <w:p w:rsidR="00F44B4B" w:rsidRDefault="00F44B4B" w:rsidP="00DB79BC">
            <w:pPr>
              <w:jc w:val="center"/>
            </w:pPr>
            <w:r>
              <w:t>A+</w:t>
            </w:r>
          </w:p>
        </w:tc>
        <w:tc>
          <w:tcPr>
            <w:tcW w:w="0" w:type="auto"/>
            <w:vMerge w:val="restart"/>
            <w:shd w:val="clear" w:color="auto" w:fill="AFEEEE"/>
            <w:tcMar>
              <w:top w:w="15" w:type="dxa"/>
              <w:left w:w="15" w:type="dxa"/>
              <w:bottom w:w="15" w:type="dxa"/>
              <w:right w:w="15" w:type="dxa"/>
            </w:tcMar>
            <w:vAlign w:val="center"/>
          </w:tcPr>
          <w:p w:rsidR="00F44B4B" w:rsidRDefault="00F44B4B" w:rsidP="00DB79BC">
            <w:pPr>
              <w:jc w:val="center"/>
            </w:pPr>
            <w:r>
              <w:t>F1</w:t>
            </w:r>
          </w:p>
        </w:tc>
        <w:tc>
          <w:tcPr>
            <w:tcW w:w="0" w:type="auto"/>
            <w:vMerge w:val="restart"/>
            <w:shd w:val="clear" w:color="auto" w:fill="D2B48C"/>
            <w:tcMar>
              <w:top w:w="15" w:type="dxa"/>
              <w:left w:w="15" w:type="dxa"/>
              <w:bottom w:w="15" w:type="dxa"/>
              <w:right w:w="15" w:type="dxa"/>
            </w:tcMar>
            <w:vAlign w:val="center"/>
          </w:tcPr>
          <w:p w:rsidR="00F44B4B" w:rsidRPr="00AF684A" w:rsidRDefault="00F44B4B" w:rsidP="00DB79BC">
            <w:pPr>
              <w:bidi/>
              <w:jc w:val="center"/>
              <w:rPr>
                <w:rFonts w:ascii="Arabic Typesetting" w:hAnsi="Arabic Typesetting" w:cs="Arabic Typesetting"/>
                <w:sz w:val="28"/>
                <w:szCs w:val="28"/>
              </w:rPr>
            </w:pPr>
            <w:r w:rsidRPr="00AF684A">
              <w:rPr>
                <w:rFonts w:ascii="Arabic Typesetting" w:hAnsi="Arabic Typesetting" w:cs="Arabic Typesetting"/>
                <w:sz w:val="28"/>
                <w:szCs w:val="28"/>
                <w:rtl/>
              </w:rPr>
              <w:t>جودة متوسطة عليا</w:t>
            </w:r>
          </w:p>
        </w:tc>
      </w:tr>
      <w:tr w:rsidR="00F44B4B" w:rsidTr="00DB79BC">
        <w:trPr>
          <w:tblCellSpacing w:w="15" w:type="dxa"/>
          <w:jc w:val="center"/>
        </w:trPr>
        <w:tc>
          <w:tcPr>
            <w:tcW w:w="0" w:type="auto"/>
            <w:shd w:val="clear" w:color="auto" w:fill="F08080"/>
            <w:tcMar>
              <w:top w:w="15" w:type="dxa"/>
              <w:left w:w="15" w:type="dxa"/>
              <w:bottom w:w="15" w:type="dxa"/>
              <w:right w:w="15" w:type="dxa"/>
            </w:tcMar>
            <w:vAlign w:val="center"/>
          </w:tcPr>
          <w:p w:rsidR="00F44B4B" w:rsidRDefault="00F44B4B" w:rsidP="00DB79BC">
            <w:pPr>
              <w:jc w:val="center"/>
            </w:pPr>
            <w:r>
              <w:t>A2</w:t>
            </w:r>
          </w:p>
        </w:tc>
        <w:tc>
          <w:tcPr>
            <w:tcW w:w="0" w:type="auto"/>
            <w:vMerge/>
            <w:vAlign w:val="center"/>
          </w:tcPr>
          <w:p w:rsidR="00F44B4B" w:rsidRDefault="00F44B4B" w:rsidP="00DB79BC"/>
        </w:tc>
        <w:tc>
          <w:tcPr>
            <w:tcW w:w="0" w:type="auto"/>
            <w:shd w:val="clear" w:color="auto" w:fill="FFFF00"/>
            <w:tcMar>
              <w:top w:w="15" w:type="dxa"/>
              <w:left w:w="15" w:type="dxa"/>
              <w:bottom w:w="15" w:type="dxa"/>
              <w:right w:w="15" w:type="dxa"/>
            </w:tcMar>
            <w:vAlign w:val="center"/>
          </w:tcPr>
          <w:p w:rsidR="00F44B4B" w:rsidRDefault="00F44B4B" w:rsidP="00DB79BC">
            <w:pPr>
              <w:jc w:val="center"/>
            </w:pPr>
            <w:r>
              <w:t>A</w:t>
            </w:r>
          </w:p>
        </w:tc>
        <w:tc>
          <w:tcPr>
            <w:tcW w:w="0" w:type="auto"/>
            <w:vMerge/>
            <w:vAlign w:val="center"/>
          </w:tcPr>
          <w:p w:rsidR="00F44B4B" w:rsidRDefault="00F44B4B" w:rsidP="00DB79BC"/>
        </w:tc>
        <w:tc>
          <w:tcPr>
            <w:tcW w:w="0" w:type="auto"/>
            <w:shd w:val="clear" w:color="auto" w:fill="1E90FF"/>
            <w:tcMar>
              <w:top w:w="15" w:type="dxa"/>
              <w:left w:w="15" w:type="dxa"/>
              <w:bottom w:w="15" w:type="dxa"/>
              <w:right w:w="15" w:type="dxa"/>
            </w:tcMar>
            <w:vAlign w:val="center"/>
          </w:tcPr>
          <w:p w:rsidR="00F44B4B" w:rsidRDefault="00F44B4B" w:rsidP="00DB79BC">
            <w:pPr>
              <w:jc w:val="center"/>
            </w:pPr>
            <w:r>
              <w:t>A</w:t>
            </w:r>
          </w:p>
        </w:tc>
        <w:tc>
          <w:tcPr>
            <w:tcW w:w="0" w:type="auto"/>
            <w:vMerge/>
            <w:vAlign w:val="center"/>
          </w:tcPr>
          <w:p w:rsidR="00F44B4B" w:rsidRDefault="00F44B4B" w:rsidP="00DB79BC"/>
        </w:tc>
        <w:tc>
          <w:tcPr>
            <w:tcW w:w="0" w:type="auto"/>
            <w:vMerge/>
            <w:vAlign w:val="center"/>
          </w:tcPr>
          <w:p w:rsidR="00F44B4B" w:rsidRPr="00AF684A" w:rsidRDefault="00F44B4B" w:rsidP="00DB79BC">
            <w:pPr>
              <w:bidi/>
              <w:rPr>
                <w:rFonts w:ascii="Arabic Typesetting" w:hAnsi="Arabic Typesetting" w:cs="Arabic Typesetting"/>
                <w:sz w:val="28"/>
                <w:szCs w:val="28"/>
              </w:rPr>
            </w:pPr>
          </w:p>
        </w:tc>
      </w:tr>
      <w:tr w:rsidR="00F44B4B" w:rsidTr="00DB79BC">
        <w:trPr>
          <w:tblCellSpacing w:w="15" w:type="dxa"/>
          <w:jc w:val="center"/>
        </w:trPr>
        <w:tc>
          <w:tcPr>
            <w:tcW w:w="0" w:type="auto"/>
            <w:shd w:val="clear" w:color="auto" w:fill="F08080"/>
            <w:tcMar>
              <w:top w:w="15" w:type="dxa"/>
              <w:left w:w="15" w:type="dxa"/>
              <w:bottom w:w="15" w:type="dxa"/>
              <w:right w:w="15" w:type="dxa"/>
            </w:tcMar>
            <w:vAlign w:val="center"/>
          </w:tcPr>
          <w:p w:rsidR="00F44B4B" w:rsidRDefault="00F44B4B" w:rsidP="00DB79BC">
            <w:pPr>
              <w:jc w:val="center"/>
            </w:pPr>
            <w:r>
              <w:t>A3</w:t>
            </w:r>
          </w:p>
        </w:tc>
        <w:tc>
          <w:tcPr>
            <w:tcW w:w="0" w:type="auto"/>
            <w:vMerge w:val="restart"/>
            <w:shd w:val="clear" w:color="auto" w:fill="FFC0CB"/>
            <w:tcMar>
              <w:top w:w="15" w:type="dxa"/>
              <w:left w:w="15" w:type="dxa"/>
              <w:bottom w:w="15" w:type="dxa"/>
              <w:right w:w="15" w:type="dxa"/>
            </w:tcMar>
            <w:vAlign w:val="center"/>
          </w:tcPr>
          <w:p w:rsidR="00F44B4B" w:rsidRDefault="00F44B4B" w:rsidP="00DB79BC">
            <w:pPr>
              <w:jc w:val="center"/>
            </w:pPr>
            <w:r>
              <w:t>P-2</w:t>
            </w:r>
          </w:p>
        </w:tc>
        <w:tc>
          <w:tcPr>
            <w:tcW w:w="0" w:type="auto"/>
            <w:shd w:val="clear" w:color="auto" w:fill="FFFF00"/>
            <w:tcMar>
              <w:top w:w="15" w:type="dxa"/>
              <w:left w:w="15" w:type="dxa"/>
              <w:bottom w:w="15" w:type="dxa"/>
              <w:right w:w="15" w:type="dxa"/>
            </w:tcMar>
            <w:vAlign w:val="center"/>
          </w:tcPr>
          <w:p w:rsidR="00F44B4B" w:rsidRDefault="00F44B4B" w:rsidP="00DB79BC">
            <w:pPr>
              <w:jc w:val="center"/>
            </w:pPr>
            <w:r>
              <w:t>A-</w:t>
            </w:r>
          </w:p>
        </w:tc>
        <w:tc>
          <w:tcPr>
            <w:tcW w:w="0" w:type="auto"/>
            <w:vMerge w:val="restart"/>
            <w:shd w:val="clear" w:color="auto" w:fill="F0E68C"/>
            <w:tcMar>
              <w:top w:w="15" w:type="dxa"/>
              <w:left w:w="15" w:type="dxa"/>
              <w:bottom w:w="15" w:type="dxa"/>
              <w:right w:w="15" w:type="dxa"/>
            </w:tcMar>
            <w:vAlign w:val="center"/>
          </w:tcPr>
          <w:p w:rsidR="00F44B4B" w:rsidRDefault="00F44B4B" w:rsidP="00DB79BC">
            <w:pPr>
              <w:jc w:val="center"/>
            </w:pPr>
            <w:r>
              <w:t>A-2</w:t>
            </w:r>
          </w:p>
        </w:tc>
        <w:tc>
          <w:tcPr>
            <w:tcW w:w="0" w:type="auto"/>
            <w:shd w:val="clear" w:color="auto" w:fill="1E90FF"/>
            <w:tcMar>
              <w:top w:w="15" w:type="dxa"/>
              <w:left w:w="15" w:type="dxa"/>
              <w:bottom w:w="15" w:type="dxa"/>
              <w:right w:w="15" w:type="dxa"/>
            </w:tcMar>
            <w:vAlign w:val="center"/>
          </w:tcPr>
          <w:p w:rsidR="00F44B4B" w:rsidRDefault="00F44B4B" w:rsidP="00DB79BC">
            <w:pPr>
              <w:jc w:val="center"/>
            </w:pPr>
            <w:r>
              <w:t>A-</w:t>
            </w:r>
          </w:p>
        </w:tc>
        <w:tc>
          <w:tcPr>
            <w:tcW w:w="0" w:type="auto"/>
            <w:vMerge w:val="restart"/>
            <w:shd w:val="clear" w:color="auto" w:fill="AFEEEE"/>
            <w:tcMar>
              <w:top w:w="15" w:type="dxa"/>
              <w:left w:w="15" w:type="dxa"/>
              <w:bottom w:w="15" w:type="dxa"/>
              <w:right w:w="15" w:type="dxa"/>
            </w:tcMar>
            <w:vAlign w:val="center"/>
          </w:tcPr>
          <w:p w:rsidR="00F44B4B" w:rsidRDefault="00F44B4B" w:rsidP="00DB79BC">
            <w:pPr>
              <w:jc w:val="center"/>
            </w:pPr>
            <w:r>
              <w:t>F2</w:t>
            </w:r>
          </w:p>
        </w:tc>
        <w:tc>
          <w:tcPr>
            <w:tcW w:w="0" w:type="auto"/>
            <w:vMerge/>
            <w:vAlign w:val="center"/>
          </w:tcPr>
          <w:p w:rsidR="00F44B4B" w:rsidRPr="00AF684A" w:rsidRDefault="00F44B4B" w:rsidP="00DB79BC">
            <w:pPr>
              <w:bidi/>
              <w:rPr>
                <w:rFonts w:ascii="Arabic Typesetting" w:hAnsi="Arabic Typesetting" w:cs="Arabic Typesetting"/>
                <w:sz w:val="28"/>
                <w:szCs w:val="28"/>
              </w:rPr>
            </w:pPr>
          </w:p>
        </w:tc>
      </w:tr>
      <w:tr w:rsidR="00F44B4B" w:rsidTr="00DB79BC">
        <w:trPr>
          <w:tblCellSpacing w:w="15" w:type="dxa"/>
          <w:jc w:val="center"/>
        </w:trPr>
        <w:tc>
          <w:tcPr>
            <w:tcW w:w="0" w:type="auto"/>
            <w:shd w:val="clear" w:color="auto" w:fill="F08080"/>
            <w:tcMar>
              <w:top w:w="15" w:type="dxa"/>
              <w:left w:w="15" w:type="dxa"/>
              <w:bottom w:w="15" w:type="dxa"/>
              <w:right w:w="15" w:type="dxa"/>
            </w:tcMar>
            <w:vAlign w:val="center"/>
          </w:tcPr>
          <w:p w:rsidR="00F44B4B" w:rsidRDefault="00F44B4B" w:rsidP="00DB79BC">
            <w:pPr>
              <w:jc w:val="center"/>
            </w:pPr>
            <w:r>
              <w:t>Baa1</w:t>
            </w:r>
          </w:p>
        </w:tc>
        <w:tc>
          <w:tcPr>
            <w:tcW w:w="0" w:type="auto"/>
            <w:vMerge/>
            <w:vAlign w:val="center"/>
          </w:tcPr>
          <w:p w:rsidR="00F44B4B" w:rsidRDefault="00F44B4B" w:rsidP="00DB79BC"/>
        </w:tc>
        <w:tc>
          <w:tcPr>
            <w:tcW w:w="0" w:type="auto"/>
            <w:shd w:val="clear" w:color="auto" w:fill="FFFF00"/>
            <w:tcMar>
              <w:top w:w="15" w:type="dxa"/>
              <w:left w:w="15" w:type="dxa"/>
              <w:bottom w:w="15" w:type="dxa"/>
              <w:right w:w="15" w:type="dxa"/>
            </w:tcMar>
            <w:vAlign w:val="center"/>
          </w:tcPr>
          <w:p w:rsidR="00F44B4B" w:rsidRDefault="00F44B4B" w:rsidP="00DB79BC">
            <w:pPr>
              <w:jc w:val="center"/>
            </w:pPr>
            <w:r>
              <w:t>BBB+</w:t>
            </w:r>
          </w:p>
        </w:tc>
        <w:tc>
          <w:tcPr>
            <w:tcW w:w="0" w:type="auto"/>
            <w:vMerge/>
            <w:vAlign w:val="center"/>
          </w:tcPr>
          <w:p w:rsidR="00F44B4B" w:rsidRDefault="00F44B4B" w:rsidP="00DB79BC"/>
        </w:tc>
        <w:tc>
          <w:tcPr>
            <w:tcW w:w="0" w:type="auto"/>
            <w:shd w:val="clear" w:color="auto" w:fill="1E90FF"/>
            <w:tcMar>
              <w:top w:w="15" w:type="dxa"/>
              <w:left w:w="15" w:type="dxa"/>
              <w:bottom w:w="15" w:type="dxa"/>
              <w:right w:w="15" w:type="dxa"/>
            </w:tcMar>
            <w:vAlign w:val="center"/>
          </w:tcPr>
          <w:p w:rsidR="00F44B4B" w:rsidRDefault="00F44B4B" w:rsidP="00DB79BC">
            <w:pPr>
              <w:jc w:val="center"/>
            </w:pPr>
            <w:r>
              <w:t>BBB+</w:t>
            </w:r>
          </w:p>
        </w:tc>
        <w:tc>
          <w:tcPr>
            <w:tcW w:w="0" w:type="auto"/>
            <w:vMerge/>
            <w:vAlign w:val="center"/>
          </w:tcPr>
          <w:p w:rsidR="00F44B4B" w:rsidRDefault="00F44B4B" w:rsidP="00DB79BC"/>
        </w:tc>
        <w:tc>
          <w:tcPr>
            <w:tcW w:w="0" w:type="auto"/>
            <w:vMerge w:val="restart"/>
            <w:shd w:val="clear" w:color="auto" w:fill="D2B48C"/>
            <w:tcMar>
              <w:top w:w="15" w:type="dxa"/>
              <w:left w:w="15" w:type="dxa"/>
              <w:bottom w:w="15" w:type="dxa"/>
              <w:right w:w="15" w:type="dxa"/>
            </w:tcMar>
            <w:vAlign w:val="center"/>
          </w:tcPr>
          <w:p w:rsidR="00F44B4B" w:rsidRPr="00AF684A" w:rsidRDefault="00F44B4B" w:rsidP="00DB79BC">
            <w:pPr>
              <w:bidi/>
              <w:jc w:val="center"/>
              <w:rPr>
                <w:rFonts w:ascii="Arabic Typesetting" w:hAnsi="Arabic Typesetting" w:cs="Arabic Typesetting"/>
                <w:sz w:val="28"/>
                <w:szCs w:val="28"/>
              </w:rPr>
            </w:pPr>
            <w:r w:rsidRPr="00AF684A">
              <w:rPr>
                <w:rFonts w:ascii="Arabic Typesetting" w:hAnsi="Arabic Typesetting" w:cs="Arabic Typesetting"/>
                <w:sz w:val="28"/>
                <w:szCs w:val="28"/>
                <w:rtl/>
              </w:rPr>
              <w:t>جودة متوسطة دنيا</w:t>
            </w:r>
          </w:p>
        </w:tc>
      </w:tr>
      <w:tr w:rsidR="00F44B4B" w:rsidTr="00DB79BC">
        <w:trPr>
          <w:tblCellSpacing w:w="15" w:type="dxa"/>
          <w:jc w:val="center"/>
        </w:trPr>
        <w:tc>
          <w:tcPr>
            <w:tcW w:w="0" w:type="auto"/>
            <w:shd w:val="clear" w:color="auto" w:fill="F08080"/>
            <w:tcMar>
              <w:top w:w="15" w:type="dxa"/>
              <w:left w:w="15" w:type="dxa"/>
              <w:bottom w:w="15" w:type="dxa"/>
              <w:right w:w="15" w:type="dxa"/>
            </w:tcMar>
            <w:vAlign w:val="center"/>
          </w:tcPr>
          <w:p w:rsidR="00F44B4B" w:rsidRDefault="00F44B4B" w:rsidP="00DB79BC">
            <w:pPr>
              <w:jc w:val="center"/>
            </w:pPr>
            <w:r>
              <w:t>Baa2</w:t>
            </w:r>
          </w:p>
        </w:tc>
        <w:tc>
          <w:tcPr>
            <w:tcW w:w="0" w:type="auto"/>
            <w:vMerge w:val="restart"/>
            <w:shd w:val="clear" w:color="auto" w:fill="FFC0CB"/>
            <w:tcMar>
              <w:top w:w="15" w:type="dxa"/>
              <w:left w:w="15" w:type="dxa"/>
              <w:bottom w:w="15" w:type="dxa"/>
              <w:right w:w="15" w:type="dxa"/>
            </w:tcMar>
            <w:vAlign w:val="center"/>
          </w:tcPr>
          <w:p w:rsidR="00F44B4B" w:rsidRDefault="00F44B4B" w:rsidP="00DB79BC">
            <w:pPr>
              <w:jc w:val="center"/>
            </w:pPr>
            <w:r>
              <w:t>P-3</w:t>
            </w:r>
          </w:p>
        </w:tc>
        <w:tc>
          <w:tcPr>
            <w:tcW w:w="0" w:type="auto"/>
            <w:shd w:val="clear" w:color="auto" w:fill="FFFF00"/>
            <w:tcMar>
              <w:top w:w="15" w:type="dxa"/>
              <w:left w:w="15" w:type="dxa"/>
              <w:bottom w:w="15" w:type="dxa"/>
              <w:right w:w="15" w:type="dxa"/>
            </w:tcMar>
            <w:vAlign w:val="center"/>
          </w:tcPr>
          <w:p w:rsidR="00F44B4B" w:rsidRDefault="00F44B4B" w:rsidP="00DB79BC">
            <w:pPr>
              <w:jc w:val="center"/>
            </w:pPr>
            <w:r>
              <w:t>BBB</w:t>
            </w:r>
          </w:p>
        </w:tc>
        <w:tc>
          <w:tcPr>
            <w:tcW w:w="0" w:type="auto"/>
            <w:vMerge w:val="restart"/>
            <w:shd w:val="clear" w:color="auto" w:fill="F0E68C"/>
            <w:tcMar>
              <w:top w:w="15" w:type="dxa"/>
              <w:left w:w="15" w:type="dxa"/>
              <w:bottom w:w="15" w:type="dxa"/>
              <w:right w:w="15" w:type="dxa"/>
            </w:tcMar>
            <w:vAlign w:val="center"/>
          </w:tcPr>
          <w:p w:rsidR="00F44B4B" w:rsidRDefault="00F44B4B" w:rsidP="00DB79BC">
            <w:pPr>
              <w:jc w:val="center"/>
            </w:pPr>
            <w:r>
              <w:t>A-3</w:t>
            </w:r>
          </w:p>
        </w:tc>
        <w:tc>
          <w:tcPr>
            <w:tcW w:w="0" w:type="auto"/>
            <w:shd w:val="clear" w:color="auto" w:fill="1E90FF"/>
            <w:tcMar>
              <w:top w:w="15" w:type="dxa"/>
              <w:left w:w="15" w:type="dxa"/>
              <w:bottom w:w="15" w:type="dxa"/>
              <w:right w:w="15" w:type="dxa"/>
            </w:tcMar>
            <w:vAlign w:val="center"/>
          </w:tcPr>
          <w:p w:rsidR="00F44B4B" w:rsidRDefault="00F44B4B" w:rsidP="00DB79BC">
            <w:pPr>
              <w:jc w:val="center"/>
            </w:pPr>
            <w:r>
              <w:t>BBB</w:t>
            </w:r>
          </w:p>
        </w:tc>
        <w:tc>
          <w:tcPr>
            <w:tcW w:w="0" w:type="auto"/>
            <w:vMerge w:val="restart"/>
            <w:shd w:val="clear" w:color="auto" w:fill="AFEEEE"/>
            <w:tcMar>
              <w:top w:w="15" w:type="dxa"/>
              <w:left w:w="15" w:type="dxa"/>
              <w:bottom w:w="15" w:type="dxa"/>
              <w:right w:w="15" w:type="dxa"/>
            </w:tcMar>
            <w:vAlign w:val="center"/>
          </w:tcPr>
          <w:p w:rsidR="00F44B4B" w:rsidRDefault="00F44B4B" w:rsidP="00DB79BC">
            <w:pPr>
              <w:jc w:val="center"/>
            </w:pPr>
            <w:r>
              <w:t>F3</w:t>
            </w:r>
          </w:p>
        </w:tc>
        <w:tc>
          <w:tcPr>
            <w:tcW w:w="0" w:type="auto"/>
            <w:vMerge/>
            <w:vAlign w:val="center"/>
          </w:tcPr>
          <w:p w:rsidR="00F44B4B" w:rsidRPr="00AF684A" w:rsidRDefault="00F44B4B" w:rsidP="00DB79BC">
            <w:pPr>
              <w:bidi/>
              <w:rPr>
                <w:rFonts w:ascii="Arabic Typesetting" w:hAnsi="Arabic Typesetting" w:cs="Arabic Typesetting"/>
                <w:sz w:val="28"/>
                <w:szCs w:val="28"/>
              </w:rPr>
            </w:pPr>
          </w:p>
        </w:tc>
      </w:tr>
      <w:tr w:rsidR="00F44B4B" w:rsidTr="00DB79BC">
        <w:trPr>
          <w:tblCellSpacing w:w="15" w:type="dxa"/>
          <w:jc w:val="center"/>
        </w:trPr>
        <w:tc>
          <w:tcPr>
            <w:tcW w:w="0" w:type="auto"/>
            <w:shd w:val="clear" w:color="auto" w:fill="F08080"/>
            <w:tcMar>
              <w:top w:w="15" w:type="dxa"/>
              <w:left w:w="15" w:type="dxa"/>
              <w:bottom w:w="15" w:type="dxa"/>
              <w:right w:w="15" w:type="dxa"/>
            </w:tcMar>
            <w:vAlign w:val="center"/>
          </w:tcPr>
          <w:p w:rsidR="00F44B4B" w:rsidRDefault="00F44B4B" w:rsidP="00DB79BC">
            <w:pPr>
              <w:jc w:val="center"/>
            </w:pPr>
            <w:r>
              <w:t>Baa3</w:t>
            </w:r>
          </w:p>
        </w:tc>
        <w:tc>
          <w:tcPr>
            <w:tcW w:w="0" w:type="auto"/>
            <w:vMerge/>
            <w:vAlign w:val="center"/>
          </w:tcPr>
          <w:p w:rsidR="00F44B4B" w:rsidRDefault="00F44B4B" w:rsidP="00DB79BC"/>
        </w:tc>
        <w:tc>
          <w:tcPr>
            <w:tcW w:w="0" w:type="auto"/>
            <w:shd w:val="clear" w:color="auto" w:fill="FFFF00"/>
            <w:tcMar>
              <w:top w:w="15" w:type="dxa"/>
              <w:left w:w="15" w:type="dxa"/>
              <w:bottom w:w="15" w:type="dxa"/>
              <w:right w:w="15" w:type="dxa"/>
            </w:tcMar>
            <w:vAlign w:val="center"/>
          </w:tcPr>
          <w:p w:rsidR="00F44B4B" w:rsidRDefault="00F44B4B" w:rsidP="00DB79BC">
            <w:pPr>
              <w:jc w:val="center"/>
            </w:pPr>
            <w:r>
              <w:t>BBB-</w:t>
            </w:r>
          </w:p>
        </w:tc>
        <w:tc>
          <w:tcPr>
            <w:tcW w:w="0" w:type="auto"/>
            <w:vMerge/>
            <w:vAlign w:val="center"/>
          </w:tcPr>
          <w:p w:rsidR="00F44B4B" w:rsidRDefault="00F44B4B" w:rsidP="00DB79BC"/>
        </w:tc>
        <w:tc>
          <w:tcPr>
            <w:tcW w:w="0" w:type="auto"/>
            <w:shd w:val="clear" w:color="auto" w:fill="1E90FF"/>
            <w:tcMar>
              <w:top w:w="15" w:type="dxa"/>
              <w:left w:w="15" w:type="dxa"/>
              <w:bottom w:w="15" w:type="dxa"/>
              <w:right w:w="15" w:type="dxa"/>
            </w:tcMar>
            <w:vAlign w:val="center"/>
          </w:tcPr>
          <w:p w:rsidR="00F44B4B" w:rsidRDefault="00F44B4B" w:rsidP="00DB79BC">
            <w:pPr>
              <w:jc w:val="center"/>
            </w:pPr>
            <w:r>
              <w:t>BBB-</w:t>
            </w:r>
          </w:p>
        </w:tc>
        <w:tc>
          <w:tcPr>
            <w:tcW w:w="0" w:type="auto"/>
            <w:vMerge/>
            <w:vAlign w:val="center"/>
          </w:tcPr>
          <w:p w:rsidR="00F44B4B" w:rsidRDefault="00F44B4B" w:rsidP="00DB79BC"/>
        </w:tc>
        <w:tc>
          <w:tcPr>
            <w:tcW w:w="0" w:type="auto"/>
            <w:vMerge/>
            <w:vAlign w:val="center"/>
          </w:tcPr>
          <w:p w:rsidR="00F44B4B" w:rsidRPr="00AF684A" w:rsidRDefault="00F44B4B" w:rsidP="00DB79BC">
            <w:pPr>
              <w:bidi/>
              <w:rPr>
                <w:rFonts w:ascii="Arabic Typesetting" w:hAnsi="Arabic Typesetting" w:cs="Arabic Typesetting"/>
                <w:sz w:val="28"/>
                <w:szCs w:val="28"/>
              </w:rPr>
            </w:pPr>
          </w:p>
        </w:tc>
      </w:tr>
      <w:tr w:rsidR="00F44B4B" w:rsidTr="00DB79BC">
        <w:trPr>
          <w:tblCellSpacing w:w="15" w:type="dxa"/>
          <w:jc w:val="center"/>
        </w:trPr>
        <w:tc>
          <w:tcPr>
            <w:tcW w:w="0" w:type="auto"/>
            <w:shd w:val="clear" w:color="auto" w:fill="F08080"/>
            <w:tcMar>
              <w:top w:w="15" w:type="dxa"/>
              <w:left w:w="15" w:type="dxa"/>
              <w:bottom w:w="15" w:type="dxa"/>
              <w:right w:w="15" w:type="dxa"/>
            </w:tcMar>
            <w:vAlign w:val="center"/>
          </w:tcPr>
          <w:p w:rsidR="00F44B4B" w:rsidRDefault="00F44B4B" w:rsidP="00DB79BC">
            <w:pPr>
              <w:jc w:val="center"/>
            </w:pPr>
            <w:r>
              <w:t>Ba1</w:t>
            </w:r>
          </w:p>
        </w:tc>
        <w:tc>
          <w:tcPr>
            <w:tcW w:w="0" w:type="auto"/>
            <w:vMerge w:val="restart"/>
            <w:shd w:val="clear" w:color="auto" w:fill="FFC0CB"/>
            <w:tcMar>
              <w:top w:w="15" w:type="dxa"/>
              <w:left w:w="15" w:type="dxa"/>
              <w:bottom w:w="15" w:type="dxa"/>
              <w:right w:w="15" w:type="dxa"/>
            </w:tcMar>
            <w:vAlign w:val="center"/>
          </w:tcPr>
          <w:p w:rsidR="00F44B4B" w:rsidRDefault="00F44B4B" w:rsidP="00DB79BC">
            <w:pPr>
              <w:jc w:val="center"/>
            </w:pPr>
            <w:r>
              <w:rPr>
                <w:rFonts w:hint="cs"/>
                <w:rtl/>
              </w:rPr>
              <w:t>غير مميز</w:t>
            </w:r>
          </w:p>
        </w:tc>
        <w:tc>
          <w:tcPr>
            <w:tcW w:w="0" w:type="auto"/>
            <w:shd w:val="clear" w:color="auto" w:fill="FFFF00"/>
            <w:tcMar>
              <w:top w:w="15" w:type="dxa"/>
              <w:left w:w="15" w:type="dxa"/>
              <w:bottom w:w="15" w:type="dxa"/>
              <w:right w:w="15" w:type="dxa"/>
            </w:tcMar>
            <w:vAlign w:val="center"/>
          </w:tcPr>
          <w:p w:rsidR="00F44B4B" w:rsidRDefault="00F44B4B" w:rsidP="00DB79BC">
            <w:pPr>
              <w:jc w:val="center"/>
            </w:pPr>
            <w:r>
              <w:t>BB+</w:t>
            </w:r>
          </w:p>
        </w:tc>
        <w:tc>
          <w:tcPr>
            <w:tcW w:w="0" w:type="auto"/>
            <w:vMerge w:val="restart"/>
            <w:shd w:val="clear" w:color="auto" w:fill="F0E68C"/>
            <w:tcMar>
              <w:top w:w="15" w:type="dxa"/>
              <w:left w:w="15" w:type="dxa"/>
              <w:bottom w:w="15" w:type="dxa"/>
              <w:right w:w="15" w:type="dxa"/>
            </w:tcMar>
            <w:vAlign w:val="center"/>
          </w:tcPr>
          <w:p w:rsidR="00F44B4B" w:rsidRDefault="00F44B4B" w:rsidP="00DB79BC">
            <w:pPr>
              <w:jc w:val="center"/>
            </w:pPr>
            <w:r>
              <w:t>B</w:t>
            </w:r>
          </w:p>
        </w:tc>
        <w:tc>
          <w:tcPr>
            <w:tcW w:w="0" w:type="auto"/>
            <w:shd w:val="clear" w:color="auto" w:fill="1E90FF"/>
            <w:tcMar>
              <w:top w:w="15" w:type="dxa"/>
              <w:left w:w="15" w:type="dxa"/>
              <w:bottom w:w="15" w:type="dxa"/>
              <w:right w:w="15" w:type="dxa"/>
            </w:tcMar>
            <w:vAlign w:val="center"/>
          </w:tcPr>
          <w:p w:rsidR="00F44B4B" w:rsidRDefault="00F44B4B" w:rsidP="00DB79BC">
            <w:pPr>
              <w:jc w:val="center"/>
            </w:pPr>
            <w:r>
              <w:t>BB+</w:t>
            </w:r>
          </w:p>
        </w:tc>
        <w:tc>
          <w:tcPr>
            <w:tcW w:w="0" w:type="auto"/>
            <w:vMerge w:val="restart"/>
            <w:shd w:val="clear" w:color="auto" w:fill="AFEEEE"/>
            <w:tcMar>
              <w:top w:w="15" w:type="dxa"/>
              <w:left w:w="15" w:type="dxa"/>
              <w:bottom w:w="15" w:type="dxa"/>
              <w:right w:w="15" w:type="dxa"/>
            </w:tcMar>
            <w:vAlign w:val="center"/>
          </w:tcPr>
          <w:p w:rsidR="00F44B4B" w:rsidRDefault="00F44B4B" w:rsidP="00DB79BC">
            <w:pPr>
              <w:jc w:val="center"/>
            </w:pPr>
            <w:r>
              <w:t>B</w:t>
            </w:r>
          </w:p>
        </w:tc>
        <w:tc>
          <w:tcPr>
            <w:tcW w:w="0" w:type="auto"/>
            <w:vMerge w:val="restart"/>
            <w:shd w:val="clear" w:color="auto" w:fill="D2B48C"/>
            <w:tcMar>
              <w:top w:w="15" w:type="dxa"/>
              <w:left w:w="15" w:type="dxa"/>
              <w:bottom w:w="15" w:type="dxa"/>
              <w:right w:w="15" w:type="dxa"/>
            </w:tcMar>
            <w:vAlign w:val="center"/>
          </w:tcPr>
          <w:p w:rsidR="00F44B4B" w:rsidRPr="00AF684A" w:rsidRDefault="00F44B4B" w:rsidP="00DB79BC">
            <w:pPr>
              <w:bidi/>
              <w:jc w:val="center"/>
              <w:rPr>
                <w:rFonts w:ascii="Arabic Typesetting" w:hAnsi="Arabic Typesetting" w:cs="Arabic Typesetting"/>
                <w:sz w:val="28"/>
                <w:szCs w:val="28"/>
                <w:rtl/>
              </w:rPr>
            </w:pPr>
            <w:r w:rsidRPr="00AF684A">
              <w:rPr>
                <w:rFonts w:ascii="Arabic Typesetting" w:hAnsi="Arabic Typesetting" w:cs="Arabic Typesetting"/>
                <w:sz w:val="28"/>
                <w:szCs w:val="28"/>
                <w:rtl/>
              </w:rPr>
              <w:t>جودة غير استثمارية</w:t>
            </w:r>
          </w:p>
          <w:p w:rsidR="00F44B4B" w:rsidRPr="00AF684A" w:rsidRDefault="00F44B4B" w:rsidP="00DB79BC">
            <w:pPr>
              <w:bidi/>
              <w:jc w:val="center"/>
              <w:rPr>
                <w:rFonts w:ascii="Arabic Typesetting" w:hAnsi="Arabic Typesetting" w:cs="Arabic Typesetting"/>
                <w:sz w:val="28"/>
                <w:szCs w:val="28"/>
              </w:rPr>
            </w:pPr>
            <w:r w:rsidRPr="00AF684A">
              <w:rPr>
                <w:rFonts w:ascii="Arabic Typesetting" w:hAnsi="Arabic Typesetting" w:cs="Arabic Typesetting"/>
                <w:sz w:val="28"/>
                <w:szCs w:val="28"/>
                <w:rtl/>
              </w:rPr>
              <w:t>مضاربة</w:t>
            </w:r>
          </w:p>
        </w:tc>
      </w:tr>
      <w:tr w:rsidR="00F44B4B" w:rsidTr="00DB79BC">
        <w:trPr>
          <w:tblCellSpacing w:w="15" w:type="dxa"/>
          <w:jc w:val="center"/>
        </w:trPr>
        <w:tc>
          <w:tcPr>
            <w:tcW w:w="0" w:type="auto"/>
            <w:shd w:val="clear" w:color="auto" w:fill="F08080"/>
            <w:tcMar>
              <w:top w:w="15" w:type="dxa"/>
              <w:left w:w="15" w:type="dxa"/>
              <w:bottom w:w="15" w:type="dxa"/>
              <w:right w:w="15" w:type="dxa"/>
            </w:tcMar>
            <w:vAlign w:val="center"/>
          </w:tcPr>
          <w:p w:rsidR="00F44B4B" w:rsidRDefault="00F44B4B" w:rsidP="00DB79BC">
            <w:pPr>
              <w:jc w:val="center"/>
            </w:pPr>
            <w:r>
              <w:t>Ba2</w:t>
            </w:r>
          </w:p>
        </w:tc>
        <w:tc>
          <w:tcPr>
            <w:tcW w:w="0" w:type="auto"/>
            <w:vMerge/>
            <w:vAlign w:val="center"/>
          </w:tcPr>
          <w:p w:rsidR="00F44B4B" w:rsidRDefault="00F44B4B" w:rsidP="00DB79BC"/>
        </w:tc>
        <w:tc>
          <w:tcPr>
            <w:tcW w:w="0" w:type="auto"/>
            <w:shd w:val="clear" w:color="auto" w:fill="FFFF00"/>
            <w:tcMar>
              <w:top w:w="15" w:type="dxa"/>
              <w:left w:w="15" w:type="dxa"/>
              <w:bottom w:w="15" w:type="dxa"/>
              <w:right w:w="15" w:type="dxa"/>
            </w:tcMar>
            <w:vAlign w:val="center"/>
          </w:tcPr>
          <w:p w:rsidR="00F44B4B" w:rsidRDefault="00F44B4B" w:rsidP="00DB79BC">
            <w:pPr>
              <w:jc w:val="center"/>
            </w:pPr>
            <w:r>
              <w:t>BB</w:t>
            </w:r>
          </w:p>
        </w:tc>
        <w:tc>
          <w:tcPr>
            <w:tcW w:w="0" w:type="auto"/>
            <w:vMerge/>
            <w:vAlign w:val="center"/>
          </w:tcPr>
          <w:p w:rsidR="00F44B4B" w:rsidRDefault="00F44B4B" w:rsidP="00DB79BC"/>
        </w:tc>
        <w:tc>
          <w:tcPr>
            <w:tcW w:w="0" w:type="auto"/>
            <w:shd w:val="clear" w:color="auto" w:fill="1E90FF"/>
            <w:tcMar>
              <w:top w:w="15" w:type="dxa"/>
              <w:left w:w="15" w:type="dxa"/>
              <w:bottom w:w="15" w:type="dxa"/>
              <w:right w:w="15" w:type="dxa"/>
            </w:tcMar>
            <w:vAlign w:val="center"/>
          </w:tcPr>
          <w:p w:rsidR="00F44B4B" w:rsidRDefault="00F44B4B" w:rsidP="00DB79BC">
            <w:pPr>
              <w:jc w:val="center"/>
            </w:pPr>
            <w:r>
              <w:t>BB</w:t>
            </w:r>
          </w:p>
        </w:tc>
        <w:tc>
          <w:tcPr>
            <w:tcW w:w="0" w:type="auto"/>
            <w:vMerge/>
            <w:vAlign w:val="center"/>
          </w:tcPr>
          <w:p w:rsidR="00F44B4B" w:rsidRDefault="00F44B4B" w:rsidP="00DB79BC"/>
        </w:tc>
        <w:tc>
          <w:tcPr>
            <w:tcW w:w="0" w:type="auto"/>
            <w:vMerge/>
            <w:vAlign w:val="center"/>
          </w:tcPr>
          <w:p w:rsidR="00F44B4B" w:rsidRPr="00AF684A" w:rsidRDefault="00F44B4B" w:rsidP="00DB79BC">
            <w:pPr>
              <w:bidi/>
              <w:rPr>
                <w:rFonts w:ascii="Arabic Typesetting" w:hAnsi="Arabic Typesetting" w:cs="Arabic Typesetting"/>
                <w:sz w:val="28"/>
                <w:szCs w:val="28"/>
              </w:rPr>
            </w:pPr>
          </w:p>
        </w:tc>
      </w:tr>
      <w:tr w:rsidR="00F44B4B" w:rsidTr="00DB79BC">
        <w:trPr>
          <w:tblCellSpacing w:w="15" w:type="dxa"/>
          <w:jc w:val="center"/>
        </w:trPr>
        <w:tc>
          <w:tcPr>
            <w:tcW w:w="0" w:type="auto"/>
            <w:shd w:val="clear" w:color="auto" w:fill="F08080"/>
            <w:tcMar>
              <w:top w:w="15" w:type="dxa"/>
              <w:left w:w="15" w:type="dxa"/>
              <w:bottom w:w="15" w:type="dxa"/>
              <w:right w:w="15" w:type="dxa"/>
            </w:tcMar>
            <w:vAlign w:val="center"/>
          </w:tcPr>
          <w:p w:rsidR="00F44B4B" w:rsidRDefault="00F44B4B" w:rsidP="00DB79BC">
            <w:pPr>
              <w:jc w:val="center"/>
            </w:pPr>
            <w:r>
              <w:t>Ba3</w:t>
            </w:r>
          </w:p>
        </w:tc>
        <w:tc>
          <w:tcPr>
            <w:tcW w:w="0" w:type="auto"/>
            <w:vMerge/>
            <w:vAlign w:val="center"/>
          </w:tcPr>
          <w:p w:rsidR="00F44B4B" w:rsidRDefault="00F44B4B" w:rsidP="00DB79BC"/>
        </w:tc>
        <w:tc>
          <w:tcPr>
            <w:tcW w:w="0" w:type="auto"/>
            <w:shd w:val="clear" w:color="auto" w:fill="FFFF00"/>
            <w:tcMar>
              <w:top w:w="15" w:type="dxa"/>
              <w:left w:w="15" w:type="dxa"/>
              <w:bottom w:w="15" w:type="dxa"/>
              <w:right w:w="15" w:type="dxa"/>
            </w:tcMar>
            <w:vAlign w:val="center"/>
          </w:tcPr>
          <w:p w:rsidR="00F44B4B" w:rsidRDefault="00F44B4B" w:rsidP="00DB79BC">
            <w:pPr>
              <w:jc w:val="center"/>
            </w:pPr>
            <w:r>
              <w:t>BB-</w:t>
            </w:r>
          </w:p>
        </w:tc>
        <w:tc>
          <w:tcPr>
            <w:tcW w:w="0" w:type="auto"/>
            <w:vMerge/>
            <w:vAlign w:val="center"/>
          </w:tcPr>
          <w:p w:rsidR="00F44B4B" w:rsidRDefault="00F44B4B" w:rsidP="00DB79BC"/>
        </w:tc>
        <w:tc>
          <w:tcPr>
            <w:tcW w:w="0" w:type="auto"/>
            <w:shd w:val="clear" w:color="auto" w:fill="1E90FF"/>
            <w:tcMar>
              <w:top w:w="15" w:type="dxa"/>
              <w:left w:w="15" w:type="dxa"/>
              <w:bottom w:w="15" w:type="dxa"/>
              <w:right w:w="15" w:type="dxa"/>
            </w:tcMar>
            <w:vAlign w:val="center"/>
          </w:tcPr>
          <w:p w:rsidR="00F44B4B" w:rsidRDefault="00F44B4B" w:rsidP="00DB79BC">
            <w:pPr>
              <w:jc w:val="center"/>
            </w:pPr>
            <w:r>
              <w:t>BB-</w:t>
            </w:r>
          </w:p>
        </w:tc>
        <w:tc>
          <w:tcPr>
            <w:tcW w:w="0" w:type="auto"/>
            <w:vMerge/>
            <w:vAlign w:val="center"/>
          </w:tcPr>
          <w:p w:rsidR="00F44B4B" w:rsidRDefault="00F44B4B" w:rsidP="00DB79BC"/>
        </w:tc>
        <w:tc>
          <w:tcPr>
            <w:tcW w:w="0" w:type="auto"/>
            <w:vMerge/>
            <w:vAlign w:val="center"/>
          </w:tcPr>
          <w:p w:rsidR="00F44B4B" w:rsidRPr="00AF684A" w:rsidRDefault="00F44B4B" w:rsidP="00DB79BC">
            <w:pPr>
              <w:bidi/>
              <w:rPr>
                <w:rFonts w:ascii="Arabic Typesetting" w:hAnsi="Arabic Typesetting" w:cs="Arabic Typesetting"/>
                <w:sz w:val="28"/>
                <w:szCs w:val="28"/>
              </w:rPr>
            </w:pPr>
          </w:p>
        </w:tc>
      </w:tr>
      <w:tr w:rsidR="00F44B4B" w:rsidTr="00DB79BC">
        <w:trPr>
          <w:tblCellSpacing w:w="15" w:type="dxa"/>
          <w:jc w:val="center"/>
        </w:trPr>
        <w:tc>
          <w:tcPr>
            <w:tcW w:w="0" w:type="auto"/>
            <w:shd w:val="clear" w:color="auto" w:fill="F08080"/>
            <w:tcMar>
              <w:top w:w="15" w:type="dxa"/>
              <w:left w:w="15" w:type="dxa"/>
              <w:bottom w:w="15" w:type="dxa"/>
              <w:right w:w="15" w:type="dxa"/>
            </w:tcMar>
            <w:vAlign w:val="center"/>
          </w:tcPr>
          <w:p w:rsidR="00F44B4B" w:rsidRDefault="00F44B4B" w:rsidP="00DB79BC">
            <w:pPr>
              <w:jc w:val="center"/>
            </w:pPr>
            <w:r>
              <w:t>B1</w:t>
            </w:r>
          </w:p>
        </w:tc>
        <w:tc>
          <w:tcPr>
            <w:tcW w:w="0" w:type="auto"/>
            <w:vMerge/>
            <w:vAlign w:val="center"/>
          </w:tcPr>
          <w:p w:rsidR="00F44B4B" w:rsidRDefault="00F44B4B" w:rsidP="00DB79BC"/>
        </w:tc>
        <w:tc>
          <w:tcPr>
            <w:tcW w:w="0" w:type="auto"/>
            <w:shd w:val="clear" w:color="auto" w:fill="FFFF00"/>
            <w:tcMar>
              <w:top w:w="15" w:type="dxa"/>
              <w:left w:w="15" w:type="dxa"/>
              <w:bottom w:w="15" w:type="dxa"/>
              <w:right w:w="15" w:type="dxa"/>
            </w:tcMar>
            <w:vAlign w:val="center"/>
          </w:tcPr>
          <w:p w:rsidR="00F44B4B" w:rsidRDefault="00F44B4B" w:rsidP="00DB79BC">
            <w:pPr>
              <w:jc w:val="center"/>
            </w:pPr>
            <w:r>
              <w:t>B+</w:t>
            </w:r>
          </w:p>
        </w:tc>
        <w:tc>
          <w:tcPr>
            <w:tcW w:w="0" w:type="auto"/>
            <w:vMerge/>
            <w:vAlign w:val="center"/>
          </w:tcPr>
          <w:p w:rsidR="00F44B4B" w:rsidRDefault="00F44B4B" w:rsidP="00DB79BC"/>
        </w:tc>
        <w:tc>
          <w:tcPr>
            <w:tcW w:w="0" w:type="auto"/>
            <w:shd w:val="clear" w:color="auto" w:fill="1E90FF"/>
            <w:tcMar>
              <w:top w:w="15" w:type="dxa"/>
              <w:left w:w="15" w:type="dxa"/>
              <w:bottom w:w="15" w:type="dxa"/>
              <w:right w:w="15" w:type="dxa"/>
            </w:tcMar>
            <w:vAlign w:val="center"/>
          </w:tcPr>
          <w:p w:rsidR="00F44B4B" w:rsidRDefault="00F44B4B" w:rsidP="00DB79BC">
            <w:pPr>
              <w:jc w:val="center"/>
            </w:pPr>
            <w:r>
              <w:t>B+</w:t>
            </w:r>
          </w:p>
        </w:tc>
        <w:tc>
          <w:tcPr>
            <w:tcW w:w="0" w:type="auto"/>
            <w:vMerge/>
            <w:vAlign w:val="center"/>
          </w:tcPr>
          <w:p w:rsidR="00F44B4B" w:rsidRDefault="00F44B4B" w:rsidP="00DB79BC"/>
        </w:tc>
        <w:tc>
          <w:tcPr>
            <w:tcW w:w="0" w:type="auto"/>
            <w:vMerge w:val="restart"/>
            <w:shd w:val="clear" w:color="auto" w:fill="D2B48C"/>
            <w:tcMar>
              <w:top w:w="15" w:type="dxa"/>
              <w:left w:w="15" w:type="dxa"/>
              <w:bottom w:w="15" w:type="dxa"/>
              <w:right w:w="15" w:type="dxa"/>
            </w:tcMar>
            <w:vAlign w:val="center"/>
          </w:tcPr>
          <w:p w:rsidR="00F44B4B" w:rsidRPr="00AF684A" w:rsidRDefault="00F44B4B" w:rsidP="00DB79BC">
            <w:pPr>
              <w:bidi/>
              <w:jc w:val="center"/>
              <w:rPr>
                <w:rFonts w:ascii="Arabic Typesetting" w:hAnsi="Arabic Typesetting" w:cs="Arabic Typesetting"/>
                <w:sz w:val="28"/>
                <w:szCs w:val="28"/>
              </w:rPr>
            </w:pPr>
            <w:r w:rsidRPr="00AF684A">
              <w:rPr>
                <w:rFonts w:ascii="Arabic Typesetting" w:hAnsi="Arabic Typesetting" w:cs="Arabic Typesetting"/>
                <w:sz w:val="28"/>
                <w:szCs w:val="28"/>
                <w:rtl/>
              </w:rPr>
              <w:t>مضاربة عالية</w:t>
            </w:r>
          </w:p>
        </w:tc>
      </w:tr>
      <w:tr w:rsidR="00F44B4B" w:rsidTr="00DB79BC">
        <w:trPr>
          <w:tblCellSpacing w:w="15" w:type="dxa"/>
          <w:jc w:val="center"/>
        </w:trPr>
        <w:tc>
          <w:tcPr>
            <w:tcW w:w="0" w:type="auto"/>
            <w:shd w:val="clear" w:color="auto" w:fill="F08080"/>
            <w:tcMar>
              <w:top w:w="15" w:type="dxa"/>
              <w:left w:w="15" w:type="dxa"/>
              <w:bottom w:w="15" w:type="dxa"/>
              <w:right w:w="15" w:type="dxa"/>
            </w:tcMar>
            <w:vAlign w:val="center"/>
          </w:tcPr>
          <w:p w:rsidR="00F44B4B" w:rsidRDefault="00F44B4B" w:rsidP="00DB79BC">
            <w:pPr>
              <w:jc w:val="center"/>
            </w:pPr>
            <w:r>
              <w:t>B2</w:t>
            </w:r>
          </w:p>
        </w:tc>
        <w:tc>
          <w:tcPr>
            <w:tcW w:w="0" w:type="auto"/>
            <w:vMerge/>
            <w:vAlign w:val="center"/>
          </w:tcPr>
          <w:p w:rsidR="00F44B4B" w:rsidRDefault="00F44B4B" w:rsidP="00DB79BC"/>
        </w:tc>
        <w:tc>
          <w:tcPr>
            <w:tcW w:w="0" w:type="auto"/>
            <w:shd w:val="clear" w:color="auto" w:fill="FFFF00"/>
            <w:tcMar>
              <w:top w:w="15" w:type="dxa"/>
              <w:left w:w="15" w:type="dxa"/>
              <w:bottom w:w="15" w:type="dxa"/>
              <w:right w:w="15" w:type="dxa"/>
            </w:tcMar>
            <w:vAlign w:val="center"/>
          </w:tcPr>
          <w:p w:rsidR="00F44B4B" w:rsidRDefault="00F44B4B" w:rsidP="00DB79BC">
            <w:pPr>
              <w:jc w:val="center"/>
            </w:pPr>
            <w:r>
              <w:t>B</w:t>
            </w:r>
          </w:p>
        </w:tc>
        <w:tc>
          <w:tcPr>
            <w:tcW w:w="0" w:type="auto"/>
            <w:vMerge/>
            <w:vAlign w:val="center"/>
          </w:tcPr>
          <w:p w:rsidR="00F44B4B" w:rsidRDefault="00F44B4B" w:rsidP="00DB79BC"/>
        </w:tc>
        <w:tc>
          <w:tcPr>
            <w:tcW w:w="0" w:type="auto"/>
            <w:shd w:val="clear" w:color="auto" w:fill="1E90FF"/>
            <w:tcMar>
              <w:top w:w="15" w:type="dxa"/>
              <w:left w:w="15" w:type="dxa"/>
              <w:bottom w:w="15" w:type="dxa"/>
              <w:right w:w="15" w:type="dxa"/>
            </w:tcMar>
            <w:vAlign w:val="center"/>
          </w:tcPr>
          <w:p w:rsidR="00F44B4B" w:rsidRDefault="00F44B4B" w:rsidP="00DB79BC">
            <w:pPr>
              <w:jc w:val="center"/>
            </w:pPr>
            <w:r>
              <w:t>B</w:t>
            </w:r>
          </w:p>
        </w:tc>
        <w:tc>
          <w:tcPr>
            <w:tcW w:w="0" w:type="auto"/>
            <w:vMerge/>
            <w:vAlign w:val="center"/>
          </w:tcPr>
          <w:p w:rsidR="00F44B4B" w:rsidRDefault="00F44B4B" w:rsidP="00DB79BC"/>
        </w:tc>
        <w:tc>
          <w:tcPr>
            <w:tcW w:w="0" w:type="auto"/>
            <w:vMerge/>
            <w:vAlign w:val="center"/>
          </w:tcPr>
          <w:p w:rsidR="00F44B4B" w:rsidRPr="00AF684A" w:rsidRDefault="00F44B4B" w:rsidP="00DB79BC">
            <w:pPr>
              <w:bidi/>
              <w:rPr>
                <w:rFonts w:ascii="Arabic Typesetting" w:hAnsi="Arabic Typesetting" w:cs="Arabic Typesetting"/>
                <w:sz w:val="28"/>
                <w:szCs w:val="28"/>
              </w:rPr>
            </w:pPr>
          </w:p>
        </w:tc>
      </w:tr>
      <w:tr w:rsidR="00F44B4B" w:rsidTr="00DB79BC">
        <w:trPr>
          <w:tblCellSpacing w:w="15" w:type="dxa"/>
          <w:jc w:val="center"/>
        </w:trPr>
        <w:tc>
          <w:tcPr>
            <w:tcW w:w="0" w:type="auto"/>
            <w:shd w:val="clear" w:color="auto" w:fill="F08080"/>
            <w:tcMar>
              <w:top w:w="15" w:type="dxa"/>
              <w:left w:w="15" w:type="dxa"/>
              <w:bottom w:w="15" w:type="dxa"/>
              <w:right w:w="15" w:type="dxa"/>
            </w:tcMar>
            <w:vAlign w:val="center"/>
          </w:tcPr>
          <w:p w:rsidR="00F44B4B" w:rsidRDefault="00F44B4B" w:rsidP="00DB79BC">
            <w:pPr>
              <w:jc w:val="center"/>
            </w:pPr>
            <w:r>
              <w:t>B3</w:t>
            </w:r>
          </w:p>
        </w:tc>
        <w:tc>
          <w:tcPr>
            <w:tcW w:w="0" w:type="auto"/>
            <w:vMerge/>
            <w:vAlign w:val="center"/>
          </w:tcPr>
          <w:p w:rsidR="00F44B4B" w:rsidRDefault="00F44B4B" w:rsidP="00DB79BC"/>
        </w:tc>
        <w:tc>
          <w:tcPr>
            <w:tcW w:w="0" w:type="auto"/>
            <w:shd w:val="clear" w:color="auto" w:fill="FFFF00"/>
            <w:tcMar>
              <w:top w:w="15" w:type="dxa"/>
              <w:left w:w="15" w:type="dxa"/>
              <w:bottom w:w="15" w:type="dxa"/>
              <w:right w:w="15" w:type="dxa"/>
            </w:tcMar>
            <w:vAlign w:val="center"/>
          </w:tcPr>
          <w:p w:rsidR="00F44B4B" w:rsidRDefault="00F44B4B" w:rsidP="00DB79BC">
            <w:pPr>
              <w:jc w:val="center"/>
            </w:pPr>
            <w:r>
              <w:t>B-</w:t>
            </w:r>
          </w:p>
        </w:tc>
        <w:tc>
          <w:tcPr>
            <w:tcW w:w="0" w:type="auto"/>
            <w:vMerge/>
            <w:vAlign w:val="center"/>
          </w:tcPr>
          <w:p w:rsidR="00F44B4B" w:rsidRDefault="00F44B4B" w:rsidP="00DB79BC"/>
        </w:tc>
        <w:tc>
          <w:tcPr>
            <w:tcW w:w="0" w:type="auto"/>
            <w:shd w:val="clear" w:color="auto" w:fill="1E90FF"/>
            <w:tcMar>
              <w:top w:w="15" w:type="dxa"/>
              <w:left w:w="15" w:type="dxa"/>
              <w:bottom w:w="15" w:type="dxa"/>
              <w:right w:w="15" w:type="dxa"/>
            </w:tcMar>
            <w:vAlign w:val="center"/>
          </w:tcPr>
          <w:p w:rsidR="00F44B4B" w:rsidRDefault="00F44B4B" w:rsidP="00DB79BC">
            <w:pPr>
              <w:jc w:val="center"/>
            </w:pPr>
            <w:r>
              <w:t>B-</w:t>
            </w:r>
          </w:p>
        </w:tc>
        <w:tc>
          <w:tcPr>
            <w:tcW w:w="0" w:type="auto"/>
            <w:vMerge/>
            <w:vAlign w:val="center"/>
          </w:tcPr>
          <w:p w:rsidR="00F44B4B" w:rsidRDefault="00F44B4B" w:rsidP="00DB79BC"/>
        </w:tc>
        <w:tc>
          <w:tcPr>
            <w:tcW w:w="0" w:type="auto"/>
            <w:vMerge/>
            <w:vAlign w:val="center"/>
          </w:tcPr>
          <w:p w:rsidR="00F44B4B" w:rsidRPr="00AF684A" w:rsidRDefault="00F44B4B" w:rsidP="00DB79BC">
            <w:pPr>
              <w:bidi/>
              <w:rPr>
                <w:rFonts w:ascii="Arabic Typesetting" w:hAnsi="Arabic Typesetting" w:cs="Arabic Typesetting"/>
                <w:sz w:val="28"/>
                <w:szCs w:val="28"/>
              </w:rPr>
            </w:pPr>
          </w:p>
        </w:tc>
      </w:tr>
      <w:tr w:rsidR="00F44B4B" w:rsidTr="00DB79BC">
        <w:trPr>
          <w:tblCellSpacing w:w="15" w:type="dxa"/>
          <w:jc w:val="center"/>
        </w:trPr>
        <w:tc>
          <w:tcPr>
            <w:tcW w:w="0" w:type="auto"/>
            <w:shd w:val="clear" w:color="auto" w:fill="F08080"/>
            <w:vAlign w:val="center"/>
          </w:tcPr>
          <w:p w:rsidR="00F44B4B" w:rsidRDefault="00F44B4B" w:rsidP="00DB79BC">
            <w:pPr>
              <w:jc w:val="center"/>
            </w:pPr>
            <w:r>
              <w:t>Caa1</w:t>
            </w:r>
          </w:p>
        </w:tc>
        <w:tc>
          <w:tcPr>
            <w:tcW w:w="0" w:type="auto"/>
            <w:vMerge/>
            <w:vAlign w:val="center"/>
          </w:tcPr>
          <w:p w:rsidR="00F44B4B" w:rsidRDefault="00F44B4B" w:rsidP="00DB79BC"/>
        </w:tc>
        <w:tc>
          <w:tcPr>
            <w:tcW w:w="0" w:type="auto"/>
            <w:shd w:val="clear" w:color="auto" w:fill="FFFF00"/>
            <w:tcMar>
              <w:top w:w="15" w:type="dxa"/>
              <w:left w:w="15" w:type="dxa"/>
              <w:bottom w:w="15" w:type="dxa"/>
              <w:right w:w="15" w:type="dxa"/>
            </w:tcMar>
            <w:vAlign w:val="center"/>
          </w:tcPr>
          <w:p w:rsidR="00F44B4B" w:rsidRDefault="00F44B4B" w:rsidP="00DB79BC">
            <w:pPr>
              <w:jc w:val="center"/>
            </w:pPr>
            <w:r>
              <w:t>CCC+</w:t>
            </w:r>
          </w:p>
        </w:tc>
        <w:tc>
          <w:tcPr>
            <w:tcW w:w="0" w:type="auto"/>
            <w:vMerge w:val="restart"/>
            <w:shd w:val="clear" w:color="auto" w:fill="F0E68C"/>
            <w:tcMar>
              <w:top w:w="15" w:type="dxa"/>
              <w:left w:w="15" w:type="dxa"/>
              <w:bottom w:w="15" w:type="dxa"/>
              <w:right w:w="15" w:type="dxa"/>
            </w:tcMar>
            <w:vAlign w:val="center"/>
          </w:tcPr>
          <w:p w:rsidR="00F44B4B" w:rsidRDefault="00F44B4B" w:rsidP="00DB79BC">
            <w:pPr>
              <w:jc w:val="center"/>
            </w:pPr>
            <w:r>
              <w:t>C</w:t>
            </w:r>
          </w:p>
        </w:tc>
        <w:tc>
          <w:tcPr>
            <w:tcW w:w="0" w:type="auto"/>
            <w:vMerge w:val="restart"/>
            <w:shd w:val="clear" w:color="auto" w:fill="1E90FF"/>
            <w:tcMar>
              <w:top w:w="15" w:type="dxa"/>
              <w:left w:w="15" w:type="dxa"/>
              <w:bottom w:w="15" w:type="dxa"/>
              <w:right w:w="15" w:type="dxa"/>
            </w:tcMar>
            <w:vAlign w:val="center"/>
          </w:tcPr>
          <w:p w:rsidR="00F44B4B" w:rsidRDefault="00F44B4B" w:rsidP="00DB79BC">
            <w:pPr>
              <w:jc w:val="center"/>
            </w:pPr>
            <w:r>
              <w:t>CCC</w:t>
            </w:r>
          </w:p>
        </w:tc>
        <w:tc>
          <w:tcPr>
            <w:tcW w:w="0" w:type="auto"/>
            <w:vMerge w:val="restart"/>
            <w:shd w:val="clear" w:color="auto" w:fill="AFEEEE"/>
            <w:tcMar>
              <w:top w:w="15" w:type="dxa"/>
              <w:left w:w="15" w:type="dxa"/>
              <w:bottom w:w="15" w:type="dxa"/>
              <w:right w:w="15" w:type="dxa"/>
            </w:tcMar>
            <w:vAlign w:val="center"/>
          </w:tcPr>
          <w:p w:rsidR="00F44B4B" w:rsidRDefault="00F44B4B" w:rsidP="00DB79BC">
            <w:pPr>
              <w:jc w:val="center"/>
            </w:pPr>
            <w:r>
              <w:t>C</w:t>
            </w:r>
          </w:p>
        </w:tc>
        <w:tc>
          <w:tcPr>
            <w:tcW w:w="0" w:type="auto"/>
            <w:shd w:val="clear" w:color="auto" w:fill="D2B48C"/>
            <w:tcMar>
              <w:top w:w="15" w:type="dxa"/>
              <w:left w:w="15" w:type="dxa"/>
              <w:bottom w:w="15" w:type="dxa"/>
              <w:right w:w="15" w:type="dxa"/>
            </w:tcMar>
            <w:vAlign w:val="center"/>
          </w:tcPr>
          <w:p w:rsidR="00F44B4B" w:rsidRPr="00AF684A" w:rsidRDefault="00F44B4B" w:rsidP="00DB79BC">
            <w:pPr>
              <w:bidi/>
              <w:jc w:val="center"/>
              <w:rPr>
                <w:rFonts w:ascii="Arabic Typesetting" w:hAnsi="Arabic Typesetting" w:cs="Arabic Typesetting"/>
                <w:sz w:val="28"/>
                <w:szCs w:val="28"/>
              </w:rPr>
            </w:pPr>
            <w:r w:rsidRPr="00AF684A">
              <w:rPr>
                <w:rFonts w:ascii="Arabic Typesetting" w:hAnsi="Arabic Typesetting" w:cs="Arabic Typesetting"/>
                <w:sz w:val="28"/>
                <w:szCs w:val="28"/>
                <w:rtl/>
              </w:rPr>
              <w:t>مخاطر جسيمة</w:t>
            </w:r>
          </w:p>
        </w:tc>
      </w:tr>
      <w:tr w:rsidR="00F44B4B" w:rsidTr="00DB79BC">
        <w:trPr>
          <w:tblCellSpacing w:w="15" w:type="dxa"/>
          <w:jc w:val="center"/>
        </w:trPr>
        <w:tc>
          <w:tcPr>
            <w:tcW w:w="0" w:type="auto"/>
            <w:shd w:val="clear" w:color="auto" w:fill="F08080"/>
            <w:tcMar>
              <w:top w:w="15" w:type="dxa"/>
              <w:left w:w="15" w:type="dxa"/>
              <w:bottom w:w="15" w:type="dxa"/>
              <w:right w:w="15" w:type="dxa"/>
            </w:tcMar>
            <w:vAlign w:val="center"/>
          </w:tcPr>
          <w:p w:rsidR="00F44B4B" w:rsidRDefault="00F44B4B" w:rsidP="00DB79BC">
            <w:pPr>
              <w:jc w:val="center"/>
            </w:pPr>
            <w:r>
              <w:t>Caa2</w:t>
            </w:r>
          </w:p>
        </w:tc>
        <w:tc>
          <w:tcPr>
            <w:tcW w:w="0" w:type="auto"/>
            <w:vMerge/>
            <w:vAlign w:val="center"/>
          </w:tcPr>
          <w:p w:rsidR="00F44B4B" w:rsidRDefault="00F44B4B" w:rsidP="00DB79BC"/>
        </w:tc>
        <w:tc>
          <w:tcPr>
            <w:tcW w:w="0" w:type="auto"/>
            <w:shd w:val="clear" w:color="auto" w:fill="FFFF00"/>
            <w:tcMar>
              <w:top w:w="15" w:type="dxa"/>
              <w:left w:w="15" w:type="dxa"/>
              <w:bottom w:w="15" w:type="dxa"/>
              <w:right w:w="15" w:type="dxa"/>
            </w:tcMar>
            <w:vAlign w:val="center"/>
          </w:tcPr>
          <w:p w:rsidR="00F44B4B" w:rsidRDefault="00F44B4B" w:rsidP="00DB79BC">
            <w:pPr>
              <w:jc w:val="center"/>
            </w:pPr>
            <w:r>
              <w:t>CCC</w:t>
            </w:r>
          </w:p>
        </w:tc>
        <w:tc>
          <w:tcPr>
            <w:tcW w:w="0" w:type="auto"/>
            <w:vMerge/>
            <w:vAlign w:val="center"/>
          </w:tcPr>
          <w:p w:rsidR="00F44B4B" w:rsidRDefault="00F44B4B" w:rsidP="00DB79BC"/>
        </w:tc>
        <w:tc>
          <w:tcPr>
            <w:tcW w:w="0" w:type="auto"/>
            <w:vMerge/>
            <w:vAlign w:val="center"/>
          </w:tcPr>
          <w:p w:rsidR="00F44B4B" w:rsidRDefault="00F44B4B" w:rsidP="00DB79BC"/>
        </w:tc>
        <w:tc>
          <w:tcPr>
            <w:tcW w:w="0" w:type="auto"/>
            <w:vMerge/>
            <w:vAlign w:val="center"/>
          </w:tcPr>
          <w:p w:rsidR="00F44B4B" w:rsidRDefault="00F44B4B" w:rsidP="00DB79BC"/>
        </w:tc>
        <w:tc>
          <w:tcPr>
            <w:tcW w:w="0" w:type="auto"/>
            <w:shd w:val="clear" w:color="auto" w:fill="D2B48C"/>
            <w:tcMar>
              <w:top w:w="15" w:type="dxa"/>
              <w:left w:w="15" w:type="dxa"/>
              <w:bottom w:w="15" w:type="dxa"/>
              <w:right w:w="15" w:type="dxa"/>
            </w:tcMar>
            <w:vAlign w:val="center"/>
          </w:tcPr>
          <w:p w:rsidR="00F44B4B" w:rsidRPr="00AF684A" w:rsidRDefault="00F44B4B" w:rsidP="00DB79BC">
            <w:pPr>
              <w:bidi/>
              <w:jc w:val="center"/>
              <w:rPr>
                <w:rFonts w:ascii="Arabic Typesetting" w:hAnsi="Arabic Typesetting" w:cs="Arabic Typesetting"/>
                <w:sz w:val="28"/>
                <w:szCs w:val="28"/>
              </w:rPr>
            </w:pPr>
            <w:r>
              <w:rPr>
                <w:rFonts w:ascii="Arabic Typesetting" w:hAnsi="Arabic Typesetting" w:cs="Arabic Typesetting"/>
                <w:sz w:val="28"/>
                <w:szCs w:val="28"/>
                <w:rtl/>
              </w:rPr>
              <w:t>مضاربة ق</w:t>
            </w:r>
            <w:r w:rsidRPr="00AF684A">
              <w:rPr>
                <w:rFonts w:ascii="Arabic Typesetting" w:hAnsi="Arabic Typesetting" w:cs="Arabic Typesetting"/>
                <w:sz w:val="28"/>
                <w:szCs w:val="28"/>
                <w:rtl/>
              </w:rPr>
              <w:t>ص</w:t>
            </w:r>
            <w:r>
              <w:rPr>
                <w:rFonts w:ascii="Arabic Typesetting" w:hAnsi="Arabic Typesetting" w:cs="Arabic Typesetting" w:hint="cs"/>
                <w:sz w:val="28"/>
                <w:szCs w:val="28"/>
                <w:rtl/>
              </w:rPr>
              <w:t>و</w:t>
            </w:r>
            <w:r w:rsidRPr="00AF684A">
              <w:rPr>
                <w:rFonts w:ascii="Arabic Typesetting" w:hAnsi="Arabic Typesetting" w:cs="Arabic Typesetting"/>
                <w:sz w:val="28"/>
                <w:szCs w:val="28"/>
                <w:rtl/>
              </w:rPr>
              <w:t>ى</w:t>
            </w:r>
          </w:p>
        </w:tc>
      </w:tr>
      <w:tr w:rsidR="00F44B4B" w:rsidTr="00DB79BC">
        <w:trPr>
          <w:tblCellSpacing w:w="15" w:type="dxa"/>
          <w:jc w:val="center"/>
        </w:trPr>
        <w:tc>
          <w:tcPr>
            <w:tcW w:w="0" w:type="auto"/>
            <w:shd w:val="clear" w:color="auto" w:fill="F08080"/>
            <w:tcMar>
              <w:top w:w="15" w:type="dxa"/>
              <w:left w:w="15" w:type="dxa"/>
              <w:bottom w:w="15" w:type="dxa"/>
              <w:right w:w="15" w:type="dxa"/>
            </w:tcMar>
            <w:vAlign w:val="center"/>
          </w:tcPr>
          <w:p w:rsidR="00F44B4B" w:rsidRDefault="00F44B4B" w:rsidP="00DB79BC">
            <w:pPr>
              <w:jc w:val="center"/>
            </w:pPr>
            <w:r>
              <w:t>Caa3</w:t>
            </w:r>
          </w:p>
        </w:tc>
        <w:tc>
          <w:tcPr>
            <w:tcW w:w="0" w:type="auto"/>
            <w:vMerge/>
            <w:vAlign w:val="center"/>
          </w:tcPr>
          <w:p w:rsidR="00F44B4B" w:rsidRDefault="00F44B4B" w:rsidP="00DB79BC"/>
        </w:tc>
        <w:tc>
          <w:tcPr>
            <w:tcW w:w="0" w:type="auto"/>
            <w:shd w:val="clear" w:color="auto" w:fill="FFFF00"/>
            <w:tcMar>
              <w:top w:w="15" w:type="dxa"/>
              <w:left w:w="15" w:type="dxa"/>
              <w:bottom w:w="15" w:type="dxa"/>
              <w:right w:w="15" w:type="dxa"/>
            </w:tcMar>
            <w:vAlign w:val="center"/>
          </w:tcPr>
          <w:p w:rsidR="00F44B4B" w:rsidRDefault="00F44B4B" w:rsidP="00DB79BC">
            <w:pPr>
              <w:jc w:val="center"/>
            </w:pPr>
            <w:r>
              <w:t>CCC-</w:t>
            </w:r>
          </w:p>
        </w:tc>
        <w:tc>
          <w:tcPr>
            <w:tcW w:w="0" w:type="auto"/>
            <w:vMerge/>
            <w:vAlign w:val="center"/>
          </w:tcPr>
          <w:p w:rsidR="00F44B4B" w:rsidRDefault="00F44B4B" w:rsidP="00DB79BC"/>
        </w:tc>
        <w:tc>
          <w:tcPr>
            <w:tcW w:w="0" w:type="auto"/>
            <w:vMerge/>
            <w:vAlign w:val="center"/>
          </w:tcPr>
          <w:p w:rsidR="00F44B4B" w:rsidRDefault="00F44B4B" w:rsidP="00DB79BC"/>
        </w:tc>
        <w:tc>
          <w:tcPr>
            <w:tcW w:w="0" w:type="auto"/>
            <w:vMerge/>
            <w:vAlign w:val="center"/>
          </w:tcPr>
          <w:p w:rsidR="00F44B4B" w:rsidRDefault="00F44B4B" w:rsidP="00DB79BC"/>
        </w:tc>
        <w:tc>
          <w:tcPr>
            <w:tcW w:w="0" w:type="auto"/>
            <w:vMerge w:val="restart"/>
            <w:shd w:val="clear" w:color="auto" w:fill="D2B48C"/>
            <w:tcMar>
              <w:top w:w="15" w:type="dxa"/>
              <w:left w:w="15" w:type="dxa"/>
              <w:bottom w:w="15" w:type="dxa"/>
              <w:right w:w="15" w:type="dxa"/>
            </w:tcMar>
            <w:vAlign w:val="center"/>
          </w:tcPr>
          <w:p w:rsidR="00F44B4B" w:rsidRPr="00AF684A" w:rsidRDefault="00F44B4B" w:rsidP="00DB79BC">
            <w:pPr>
              <w:bidi/>
              <w:jc w:val="center"/>
              <w:rPr>
                <w:rFonts w:ascii="Arabic Typesetting" w:hAnsi="Arabic Typesetting" w:cs="Arabic Typesetting"/>
                <w:sz w:val="28"/>
                <w:szCs w:val="28"/>
                <w:rtl/>
              </w:rPr>
            </w:pPr>
            <w:r w:rsidRPr="00AF684A">
              <w:rPr>
                <w:rFonts w:ascii="Arabic Typesetting" w:hAnsi="Arabic Typesetting" w:cs="Arabic Typesetting"/>
                <w:sz w:val="28"/>
                <w:szCs w:val="28"/>
                <w:rtl/>
              </w:rPr>
              <w:t>متعثر</w:t>
            </w:r>
          </w:p>
          <w:p w:rsidR="00F44B4B" w:rsidRPr="00AF684A" w:rsidRDefault="00F44B4B" w:rsidP="00DB79BC">
            <w:pPr>
              <w:bidi/>
              <w:jc w:val="center"/>
              <w:rPr>
                <w:rFonts w:ascii="Arabic Typesetting" w:hAnsi="Arabic Typesetting" w:cs="Arabic Typesetting"/>
                <w:sz w:val="28"/>
                <w:szCs w:val="28"/>
              </w:rPr>
            </w:pPr>
            <w:r w:rsidRPr="00AF684A">
              <w:rPr>
                <w:rFonts w:ascii="Arabic Typesetting" w:hAnsi="Arabic Typesetting" w:cs="Arabic Typesetting"/>
                <w:sz w:val="28"/>
                <w:szCs w:val="28"/>
                <w:rtl/>
              </w:rPr>
              <w:t>باحتمال ضئيل للتعافي</w:t>
            </w:r>
          </w:p>
        </w:tc>
      </w:tr>
      <w:tr w:rsidR="00F44B4B" w:rsidTr="00DB79BC">
        <w:trPr>
          <w:tblCellSpacing w:w="15" w:type="dxa"/>
          <w:jc w:val="center"/>
        </w:trPr>
        <w:tc>
          <w:tcPr>
            <w:tcW w:w="0" w:type="auto"/>
            <w:vMerge w:val="restart"/>
            <w:shd w:val="clear" w:color="auto" w:fill="F08080"/>
            <w:tcMar>
              <w:top w:w="15" w:type="dxa"/>
              <w:left w:w="15" w:type="dxa"/>
              <w:bottom w:w="15" w:type="dxa"/>
              <w:right w:w="15" w:type="dxa"/>
            </w:tcMar>
            <w:vAlign w:val="center"/>
          </w:tcPr>
          <w:p w:rsidR="00F44B4B" w:rsidRDefault="00F44B4B" w:rsidP="00DB79BC">
            <w:pPr>
              <w:jc w:val="center"/>
            </w:pPr>
            <w:r>
              <w:t>Ca</w:t>
            </w:r>
          </w:p>
        </w:tc>
        <w:tc>
          <w:tcPr>
            <w:tcW w:w="0" w:type="auto"/>
            <w:vMerge/>
            <w:vAlign w:val="center"/>
          </w:tcPr>
          <w:p w:rsidR="00F44B4B" w:rsidRDefault="00F44B4B" w:rsidP="00DB79BC"/>
        </w:tc>
        <w:tc>
          <w:tcPr>
            <w:tcW w:w="0" w:type="auto"/>
            <w:shd w:val="clear" w:color="auto" w:fill="FFFF00"/>
            <w:tcMar>
              <w:top w:w="15" w:type="dxa"/>
              <w:left w:w="15" w:type="dxa"/>
              <w:bottom w:w="15" w:type="dxa"/>
              <w:right w:w="15" w:type="dxa"/>
            </w:tcMar>
            <w:vAlign w:val="center"/>
          </w:tcPr>
          <w:p w:rsidR="00F44B4B" w:rsidRDefault="00F44B4B" w:rsidP="00DB79BC">
            <w:pPr>
              <w:jc w:val="center"/>
            </w:pPr>
            <w:r>
              <w:t>CC</w:t>
            </w:r>
          </w:p>
        </w:tc>
        <w:tc>
          <w:tcPr>
            <w:tcW w:w="0" w:type="auto"/>
            <w:vMerge/>
            <w:vAlign w:val="center"/>
          </w:tcPr>
          <w:p w:rsidR="00F44B4B" w:rsidRDefault="00F44B4B" w:rsidP="00DB79BC"/>
        </w:tc>
        <w:tc>
          <w:tcPr>
            <w:tcW w:w="0" w:type="auto"/>
            <w:vMerge/>
            <w:vAlign w:val="center"/>
          </w:tcPr>
          <w:p w:rsidR="00F44B4B" w:rsidRDefault="00F44B4B" w:rsidP="00DB79BC"/>
        </w:tc>
        <w:tc>
          <w:tcPr>
            <w:tcW w:w="0" w:type="auto"/>
            <w:vMerge/>
            <w:vAlign w:val="center"/>
          </w:tcPr>
          <w:p w:rsidR="00F44B4B" w:rsidRDefault="00F44B4B" w:rsidP="00DB79BC"/>
        </w:tc>
        <w:tc>
          <w:tcPr>
            <w:tcW w:w="0" w:type="auto"/>
            <w:vMerge/>
            <w:vAlign w:val="center"/>
          </w:tcPr>
          <w:p w:rsidR="00F44B4B" w:rsidRPr="00AF684A" w:rsidRDefault="00F44B4B" w:rsidP="00DB79BC">
            <w:pPr>
              <w:bidi/>
              <w:rPr>
                <w:rFonts w:ascii="Arabic Typesetting" w:hAnsi="Arabic Typesetting" w:cs="Arabic Typesetting"/>
                <w:sz w:val="28"/>
                <w:szCs w:val="28"/>
              </w:rPr>
            </w:pPr>
          </w:p>
        </w:tc>
      </w:tr>
      <w:tr w:rsidR="00F44B4B" w:rsidTr="00DB79BC">
        <w:trPr>
          <w:tblCellSpacing w:w="15" w:type="dxa"/>
          <w:jc w:val="center"/>
        </w:trPr>
        <w:tc>
          <w:tcPr>
            <w:tcW w:w="0" w:type="auto"/>
            <w:vMerge/>
            <w:vAlign w:val="center"/>
          </w:tcPr>
          <w:p w:rsidR="00F44B4B" w:rsidRDefault="00F44B4B" w:rsidP="00DB79BC"/>
        </w:tc>
        <w:tc>
          <w:tcPr>
            <w:tcW w:w="0" w:type="auto"/>
            <w:vMerge/>
            <w:vAlign w:val="center"/>
          </w:tcPr>
          <w:p w:rsidR="00F44B4B" w:rsidRDefault="00F44B4B" w:rsidP="00DB79BC"/>
        </w:tc>
        <w:tc>
          <w:tcPr>
            <w:tcW w:w="0" w:type="auto"/>
            <w:shd w:val="clear" w:color="auto" w:fill="FFFF00"/>
            <w:tcMar>
              <w:top w:w="15" w:type="dxa"/>
              <w:left w:w="15" w:type="dxa"/>
              <w:bottom w:w="15" w:type="dxa"/>
              <w:right w:w="15" w:type="dxa"/>
            </w:tcMar>
            <w:vAlign w:val="center"/>
          </w:tcPr>
          <w:p w:rsidR="00F44B4B" w:rsidRDefault="00F44B4B" w:rsidP="00DB79BC">
            <w:pPr>
              <w:jc w:val="center"/>
            </w:pPr>
            <w:r>
              <w:t>C</w:t>
            </w:r>
          </w:p>
        </w:tc>
        <w:tc>
          <w:tcPr>
            <w:tcW w:w="0" w:type="auto"/>
            <w:vMerge/>
            <w:vAlign w:val="center"/>
          </w:tcPr>
          <w:p w:rsidR="00F44B4B" w:rsidRDefault="00F44B4B" w:rsidP="00DB79BC"/>
        </w:tc>
        <w:tc>
          <w:tcPr>
            <w:tcW w:w="0" w:type="auto"/>
            <w:vMerge/>
            <w:vAlign w:val="center"/>
          </w:tcPr>
          <w:p w:rsidR="00F44B4B" w:rsidRDefault="00F44B4B" w:rsidP="00DB79BC"/>
        </w:tc>
        <w:tc>
          <w:tcPr>
            <w:tcW w:w="0" w:type="auto"/>
            <w:vMerge/>
            <w:vAlign w:val="center"/>
          </w:tcPr>
          <w:p w:rsidR="00F44B4B" w:rsidRDefault="00F44B4B" w:rsidP="00DB79BC"/>
        </w:tc>
        <w:tc>
          <w:tcPr>
            <w:tcW w:w="0" w:type="auto"/>
            <w:vMerge/>
            <w:vAlign w:val="center"/>
          </w:tcPr>
          <w:p w:rsidR="00F44B4B" w:rsidRPr="00AF684A" w:rsidRDefault="00F44B4B" w:rsidP="00DB79BC">
            <w:pPr>
              <w:bidi/>
              <w:rPr>
                <w:rFonts w:ascii="Arabic Typesetting" w:hAnsi="Arabic Typesetting" w:cs="Arabic Typesetting"/>
                <w:sz w:val="28"/>
                <w:szCs w:val="28"/>
              </w:rPr>
            </w:pPr>
          </w:p>
        </w:tc>
      </w:tr>
      <w:tr w:rsidR="00F44B4B" w:rsidTr="00DB79BC">
        <w:trPr>
          <w:tblCellSpacing w:w="15" w:type="dxa"/>
          <w:jc w:val="center"/>
        </w:trPr>
        <w:tc>
          <w:tcPr>
            <w:tcW w:w="0" w:type="auto"/>
            <w:shd w:val="clear" w:color="auto" w:fill="F08080"/>
            <w:vAlign w:val="center"/>
          </w:tcPr>
          <w:p w:rsidR="00F44B4B" w:rsidRDefault="00F44B4B" w:rsidP="00DB79BC">
            <w:pPr>
              <w:jc w:val="center"/>
            </w:pPr>
            <w:r>
              <w:t>C</w:t>
            </w:r>
          </w:p>
        </w:tc>
        <w:tc>
          <w:tcPr>
            <w:tcW w:w="0" w:type="auto"/>
            <w:vMerge/>
            <w:vAlign w:val="center"/>
          </w:tcPr>
          <w:p w:rsidR="00F44B4B" w:rsidRDefault="00F44B4B" w:rsidP="00DB79BC"/>
        </w:tc>
        <w:tc>
          <w:tcPr>
            <w:tcW w:w="0" w:type="auto"/>
            <w:vMerge w:val="restart"/>
            <w:shd w:val="clear" w:color="auto" w:fill="FFFF00"/>
            <w:tcMar>
              <w:top w:w="15" w:type="dxa"/>
              <w:left w:w="15" w:type="dxa"/>
              <w:bottom w:w="15" w:type="dxa"/>
              <w:right w:w="15" w:type="dxa"/>
            </w:tcMar>
            <w:vAlign w:val="center"/>
          </w:tcPr>
          <w:p w:rsidR="00F44B4B" w:rsidRDefault="00F44B4B" w:rsidP="00DB79BC">
            <w:pPr>
              <w:jc w:val="center"/>
            </w:pPr>
            <w:r>
              <w:t>D</w:t>
            </w:r>
          </w:p>
        </w:tc>
        <w:tc>
          <w:tcPr>
            <w:tcW w:w="0" w:type="auto"/>
            <w:vMerge w:val="restart"/>
            <w:shd w:val="clear" w:color="auto" w:fill="F0E68C"/>
            <w:tcMar>
              <w:top w:w="15" w:type="dxa"/>
              <w:left w:w="15" w:type="dxa"/>
              <w:bottom w:w="15" w:type="dxa"/>
              <w:right w:w="15" w:type="dxa"/>
            </w:tcMar>
            <w:vAlign w:val="center"/>
          </w:tcPr>
          <w:p w:rsidR="00F44B4B" w:rsidRDefault="00F44B4B" w:rsidP="00DB79BC">
            <w:pPr>
              <w:jc w:val="center"/>
            </w:pPr>
            <w:r>
              <w:t>/</w:t>
            </w:r>
          </w:p>
        </w:tc>
        <w:tc>
          <w:tcPr>
            <w:tcW w:w="0" w:type="auto"/>
            <w:shd w:val="clear" w:color="auto" w:fill="1E90FF"/>
            <w:tcMar>
              <w:top w:w="15" w:type="dxa"/>
              <w:left w:w="15" w:type="dxa"/>
              <w:bottom w:w="15" w:type="dxa"/>
              <w:right w:w="15" w:type="dxa"/>
            </w:tcMar>
            <w:vAlign w:val="center"/>
          </w:tcPr>
          <w:p w:rsidR="00F44B4B" w:rsidRDefault="00F44B4B" w:rsidP="00DB79BC">
            <w:pPr>
              <w:jc w:val="center"/>
            </w:pPr>
            <w:r>
              <w:t>DDD</w:t>
            </w:r>
          </w:p>
        </w:tc>
        <w:tc>
          <w:tcPr>
            <w:tcW w:w="0" w:type="auto"/>
            <w:vMerge w:val="restart"/>
            <w:shd w:val="clear" w:color="auto" w:fill="AFEEEE"/>
            <w:tcMar>
              <w:top w:w="15" w:type="dxa"/>
              <w:left w:w="15" w:type="dxa"/>
              <w:bottom w:w="15" w:type="dxa"/>
              <w:right w:w="15" w:type="dxa"/>
            </w:tcMar>
            <w:vAlign w:val="center"/>
          </w:tcPr>
          <w:p w:rsidR="00F44B4B" w:rsidRDefault="00F44B4B" w:rsidP="00DB79BC">
            <w:pPr>
              <w:jc w:val="center"/>
            </w:pPr>
            <w:r>
              <w:t>/</w:t>
            </w:r>
          </w:p>
        </w:tc>
        <w:tc>
          <w:tcPr>
            <w:tcW w:w="0" w:type="auto"/>
            <w:vMerge w:val="restart"/>
            <w:shd w:val="clear" w:color="auto" w:fill="D2B48C"/>
            <w:tcMar>
              <w:top w:w="15" w:type="dxa"/>
              <w:left w:w="15" w:type="dxa"/>
              <w:bottom w:w="15" w:type="dxa"/>
              <w:right w:w="15" w:type="dxa"/>
            </w:tcMar>
            <w:vAlign w:val="center"/>
          </w:tcPr>
          <w:p w:rsidR="00F44B4B" w:rsidRPr="00AF684A" w:rsidRDefault="00F44B4B" w:rsidP="00DB79BC">
            <w:pPr>
              <w:bidi/>
              <w:jc w:val="center"/>
              <w:rPr>
                <w:rFonts w:ascii="Arabic Typesetting" w:hAnsi="Arabic Typesetting" w:cs="Arabic Typesetting"/>
                <w:sz w:val="28"/>
                <w:szCs w:val="28"/>
              </w:rPr>
            </w:pPr>
            <w:r w:rsidRPr="00AF684A">
              <w:rPr>
                <w:rFonts w:ascii="Arabic Typesetting" w:hAnsi="Arabic Typesetting" w:cs="Arabic Typesetting"/>
                <w:sz w:val="28"/>
                <w:szCs w:val="28"/>
                <w:rtl/>
              </w:rPr>
              <w:t>متعثر</w:t>
            </w:r>
          </w:p>
        </w:tc>
      </w:tr>
      <w:tr w:rsidR="00F44B4B" w:rsidTr="00DB79BC">
        <w:trPr>
          <w:tblCellSpacing w:w="15" w:type="dxa"/>
          <w:jc w:val="center"/>
        </w:trPr>
        <w:tc>
          <w:tcPr>
            <w:tcW w:w="0" w:type="auto"/>
            <w:shd w:val="clear" w:color="auto" w:fill="FF7C80"/>
            <w:tcMar>
              <w:top w:w="15" w:type="dxa"/>
              <w:left w:w="15" w:type="dxa"/>
              <w:bottom w:w="15" w:type="dxa"/>
              <w:right w:w="15" w:type="dxa"/>
            </w:tcMar>
            <w:vAlign w:val="center"/>
          </w:tcPr>
          <w:p w:rsidR="00F44B4B" w:rsidRDefault="00F44B4B" w:rsidP="00DB79BC">
            <w:pPr>
              <w:jc w:val="center"/>
            </w:pPr>
          </w:p>
        </w:tc>
        <w:tc>
          <w:tcPr>
            <w:tcW w:w="0" w:type="auto"/>
            <w:vMerge/>
            <w:vAlign w:val="center"/>
          </w:tcPr>
          <w:p w:rsidR="00F44B4B" w:rsidRDefault="00F44B4B" w:rsidP="00DB79BC"/>
        </w:tc>
        <w:tc>
          <w:tcPr>
            <w:tcW w:w="0" w:type="auto"/>
            <w:vMerge/>
            <w:vAlign w:val="center"/>
          </w:tcPr>
          <w:p w:rsidR="00F44B4B" w:rsidRDefault="00F44B4B" w:rsidP="00DB79BC"/>
        </w:tc>
        <w:tc>
          <w:tcPr>
            <w:tcW w:w="0" w:type="auto"/>
            <w:vMerge/>
            <w:vAlign w:val="center"/>
          </w:tcPr>
          <w:p w:rsidR="00F44B4B" w:rsidRDefault="00F44B4B" w:rsidP="00DB79BC"/>
        </w:tc>
        <w:tc>
          <w:tcPr>
            <w:tcW w:w="0" w:type="auto"/>
            <w:shd w:val="clear" w:color="auto" w:fill="3399FF"/>
            <w:tcMar>
              <w:top w:w="15" w:type="dxa"/>
              <w:left w:w="15" w:type="dxa"/>
              <w:bottom w:w="15" w:type="dxa"/>
              <w:right w:w="15" w:type="dxa"/>
            </w:tcMar>
            <w:vAlign w:val="center"/>
          </w:tcPr>
          <w:p w:rsidR="00F44B4B" w:rsidRDefault="00F44B4B" w:rsidP="00DB79BC"/>
        </w:tc>
        <w:tc>
          <w:tcPr>
            <w:tcW w:w="0" w:type="auto"/>
            <w:vMerge/>
            <w:vAlign w:val="center"/>
          </w:tcPr>
          <w:p w:rsidR="00F44B4B" w:rsidRDefault="00F44B4B" w:rsidP="00DB79BC"/>
        </w:tc>
        <w:tc>
          <w:tcPr>
            <w:tcW w:w="0" w:type="auto"/>
            <w:vMerge/>
            <w:vAlign w:val="center"/>
          </w:tcPr>
          <w:p w:rsidR="00F44B4B" w:rsidRDefault="00F44B4B" w:rsidP="00DB79BC"/>
        </w:tc>
      </w:tr>
    </w:tbl>
    <w:p w:rsidR="00F44B4B" w:rsidRDefault="00F44B4B" w:rsidP="00F44B4B">
      <w:pPr>
        <w:pStyle w:val="EndofDocumentAR"/>
        <w:rPr>
          <w:rtl/>
        </w:rPr>
        <w:sectPr w:rsidR="00F44B4B" w:rsidSect="002F23DC">
          <w:headerReference w:type="first" r:id="rId16"/>
          <w:pgSz w:w="16840" w:h="11907" w:orient="landscape" w:code="9"/>
          <w:pgMar w:top="1134" w:right="567" w:bottom="1418" w:left="1418" w:header="510" w:footer="1021" w:gutter="0"/>
          <w:cols w:space="720"/>
          <w:titlePg/>
          <w:docGrid w:linePitch="299"/>
        </w:sectPr>
      </w:pPr>
      <w:r>
        <w:rPr>
          <w:rFonts w:hint="cs"/>
          <w:rtl/>
        </w:rPr>
        <w:t>[يلي ذلك المرفق الثالث]</w:t>
      </w:r>
    </w:p>
    <w:p w:rsidR="00F44B4B" w:rsidRPr="00C55B9E" w:rsidRDefault="00C55B9E" w:rsidP="00472E92">
      <w:pPr>
        <w:pStyle w:val="NormalParaAR"/>
        <w:rPr>
          <w:rFonts w:hint="cs"/>
          <w:b/>
          <w:bCs/>
          <w:sz w:val="40"/>
          <w:szCs w:val="40"/>
          <w:rtl/>
        </w:rPr>
      </w:pPr>
      <w:r w:rsidRPr="00C55B9E">
        <w:rPr>
          <w:rFonts w:hint="cs"/>
          <w:b/>
          <w:bCs/>
          <w:sz w:val="40"/>
          <w:szCs w:val="40"/>
          <w:rtl/>
        </w:rPr>
        <w:t>إنشاء محفظة مثالية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559"/>
        <w:gridCol w:w="2694"/>
        <w:gridCol w:w="2976"/>
        <w:gridCol w:w="2977"/>
      </w:tblGrid>
      <w:tr w:rsidR="00C55B9E" w:rsidRPr="00D74D10" w:rsidTr="000F23F9">
        <w:trPr>
          <w:trHeight w:hRule="exact" w:val="664"/>
        </w:trPr>
        <w:tc>
          <w:tcPr>
            <w:tcW w:w="3652" w:type="dxa"/>
            <w:shd w:val="pct10" w:color="auto" w:fill="auto"/>
          </w:tcPr>
          <w:p w:rsidR="00C55B9E" w:rsidRPr="00D74D10" w:rsidRDefault="00DB79BC" w:rsidP="00DB79BC">
            <w:pPr>
              <w:bidi/>
              <w:spacing w:after="120"/>
              <w:rPr>
                <w:rFonts w:ascii="Arabic Typesetting" w:eastAsia="SimSun" w:hAnsi="Arabic Typesetting" w:cs="Arabic Typesetting"/>
                <w:bCs/>
                <w:sz w:val="28"/>
                <w:szCs w:val="28"/>
                <w:lang w:eastAsia="zh-CN"/>
              </w:rPr>
            </w:pPr>
            <w:r w:rsidRPr="00D74D10">
              <w:rPr>
                <w:rFonts w:ascii="Arabic Typesetting" w:eastAsia="SimSun" w:hAnsi="Arabic Typesetting" w:cs="Arabic Typesetting" w:hint="cs"/>
                <w:bCs/>
                <w:sz w:val="28"/>
                <w:szCs w:val="28"/>
                <w:rtl/>
                <w:lang w:eastAsia="zh-CN"/>
              </w:rPr>
              <w:t>فئة الأصول</w:t>
            </w:r>
          </w:p>
        </w:tc>
        <w:tc>
          <w:tcPr>
            <w:tcW w:w="1559" w:type="dxa"/>
            <w:shd w:val="pct10" w:color="auto" w:fill="auto"/>
          </w:tcPr>
          <w:p w:rsidR="00C55B9E" w:rsidRPr="00D74D10" w:rsidRDefault="00DB79BC" w:rsidP="00DB79BC">
            <w:pPr>
              <w:bidi/>
              <w:spacing w:after="120"/>
              <w:jc w:val="right"/>
              <w:rPr>
                <w:rFonts w:ascii="Arabic Typesetting" w:eastAsia="SimSun" w:hAnsi="Arabic Typesetting" w:cs="Arabic Typesetting"/>
                <w:bCs/>
                <w:sz w:val="28"/>
                <w:szCs w:val="28"/>
                <w:lang w:eastAsia="zh-CN"/>
              </w:rPr>
            </w:pPr>
            <w:r w:rsidRPr="00D74D10">
              <w:rPr>
                <w:rFonts w:ascii="Arabic Typesetting" w:eastAsia="SimSun" w:hAnsi="Arabic Typesetting" w:cs="Arabic Typesetting" w:hint="cs"/>
                <w:bCs/>
                <w:sz w:val="28"/>
                <w:szCs w:val="28"/>
                <w:rtl/>
                <w:lang w:eastAsia="zh-CN"/>
              </w:rPr>
              <w:t>المحفظة</w:t>
            </w:r>
          </w:p>
          <w:p w:rsidR="00C55B9E" w:rsidRPr="00667739" w:rsidRDefault="00C55B9E" w:rsidP="00DB79BC">
            <w:pPr>
              <w:bidi/>
              <w:spacing w:after="120"/>
              <w:jc w:val="right"/>
              <w:rPr>
                <w:rFonts w:ascii="Arabic Typesetting" w:eastAsia="SimSun" w:hAnsi="Arabic Typesetting" w:cs="Arabic Typesetting"/>
                <w:b/>
                <w:sz w:val="28"/>
                <w:szCs w:val="28"/>
                <w:lang w:eastAsia="zh-CN"/>
              </w:rPr>
            </w:pPr>
            <w:r w:rsidRPr="00667739">
              <w:rPr>
                <w:rFonts w:ascii="Arabic Typesetting" w:eastAsia="SimSun" w:hAnsi="Arabic Typesetting" w:cs="Arabic Typesetting"/>
                <w:b/>
                <w:sz w:val="28"/>
                <w:szCs w:val="28"/>
                <w:lang w:eastAsia="zh-CN"/>
              </w:rPr>
              <w:t>%</w:t>
            </w:r>
          </w:p>
        </w:tc>
        <w:tc>
          <w:tcPr>
            <w:tcW w:w="2694" w:type="dxa"/>
            <w:shd w:val="pct10" w:color="auto" w:fill="auto"/>
          </w:tcPr>
          <w:p w:rsidR="00C55B9E" w:rsidRPr="00D74D10" w:rsidRDefault="00DB79BC" w:rsidP="00DB79BC">
            <w:pPr>
              <w:bidi/>
              <w:spacing w:after="120"/>
              <w:jc w:val="right"/>
              <w:rPr>
                <w:rFonts w:ascii="Arabic Typesetting" w:eastAsia="SimSun" w:hAnsi="Arabic Typesetting" w:cs="Arabic Typesetting"/>
                <w:bCs/>
                <w:sz w:val="28"/>
                <w:szCs w:val="28"/>
                <w:lang w:eastAsia="zh-CN"/>
              </w:rPr>
            </w:pPr>
            <w:r w:rsidRPr="00D74D10">
              <w:rPr>
                <w:rFonts w:ascii="Arabic Typesetting" w:eastAsia="SimSun" w:hAnsi="Arabic Typesetting" w:cs="Arabic Typesetting" w:hint="cs"/>
                <w:bCs/>
                <w:sz w:val="28"/>
                <w:szCs w:val="28"/>
                <w:rtl/>
                <w:lang w:eastAsia="zh-CN"/>
              </w:rPr>
              <w:t>الاستراتيجية ألف</w:t>
            </w:r>
          </w:p>
          <w:p w:rsidR="00C55B9E" w:rsidRPr="00667739" w:rsidRDefault="00C55B9E" w:rsidP="00DB79BC">
            <w:pPr>
              <w:bidi/>
              <w:spacing w:after="120"/>
              <w:jc w:val="right"/>
              <w:rPr>
                <w:rFonts w:ascii="Arabic Typesetting" w:eastAsia="SimSun" w:hAnsi="Arabic Typesetting" w:cs="Arabic Typesetting"/>
                <w:b/>
                <w:sz w:val="28"/>
                <w:szCs w:val="28"/>
                <w:lang w:eastAsia="zh-CN"/>
              </w:rPr>
            </w:pPr>
            <w:r w:rsidRPr="00667739">
              <w:rPr>
                <w:rFonts w:ascii="Arabic Typesetting" w:eastAsia="SimSun" w:hAnsi="Arabic Typesetting" w:cs="Arabic Typesetting"/>
                <w:b/>
                <w:sz w:val="28"/>
                <w:szCs w:val="28"/>
                <w:lang w:eastAsia="zh-CN"/>
              </w:rPr>
              <w:t>%</w:t>
            </w:r>
          </w:p>
        </w:tc>
        <w:tc>
          <w:tcPr>
            <w:tcW w:w="2976" w:type="dxa"/>
            <w:shd w:val="pct10" w:color="auto" w:fill="auto"/>
          </w:tcPr>
          <w:p w:rsidR="00C55B9E" w:rsidRPr="00D74D10" w:rsidRDefault="00DB79BC" w:rsidP="00DB79BC">
            <w:pPr>
              <w:bidi/>
              <w:spacing w:after="120"/>
              <w:jc w:val="right"/>
              <w:rPr>
                <w:rFonts w:ascii="Arabic Typesetting" w:eastAsia="SimSun" w:hAnsi="Arabic Typesetting" w:cs="Arabic Typesetting"/>
                <w:bCs/>
                <w:sz w:val="28"/>
                <w:szCs w:val="28"/>
                <w:lang w:eastAsia="zh-CN"/>
              </w:rPr>
            </w:pPr>
            <w:r w:rsidRPr="00D74D10">
              <w:rPr>
                <w:rFonts w:ascii="Arabic Typesetting" w:eastAsia="SimSun" w:hAnsi="Arabic Typesetting" w:cs="Arabic Typesetting" w:hint="cs"/>
                <w:bCs/>
                <w:sz w:val="28"/>
                <w:szCs w:val="28"/>
                <w:rtl/>
                <w:lang w:eastAsia="zh-CN"/>
              </w:rPr>
              <w:t>الاستراتيجية باء</w:t>
            </w:r>
          </w:p>
          <w:p w:rsidR="00C55B9E" w:rsidRPr="00667739" w:rsidRDefault="00C55B9E" w:rsidP="00DB79BC">
            <w:pPr>
              <w:bidi/>
              <w:spacing w:after="120"/>
              <w:jc w:val="right"/>
              <w:rPr>
                <w:rFonts w:ascii="Arabic Typesetting" w:eastAsia="SimSun" w:hAnsi="Arabic Typesetting" w:cs="Arabic Typesetting"/>
                <w:b/>
                <w:sz w:val="28"/>
                <w:szCs w:val="28"/>
                <w:lang w:eastAsia="zh-CN"/>
              </w:rPr>
            </w:pPr>
            <w:r w:rsidRPr="00667739">
              <w:rPr>
                <w:rFonts w:ascii="Arabic Typesetting" w:eastAsia="SimSun" w:hAnsi="Arabic Typesetting" w:cs="Arabic Typesetting"/>
                <w:b/>
                <w:sz w:val="28"/>
                <w:szCs w:val="28"/>
                <w:lang w:eastAsia="zh-CN"/>
              </w:rPr>
              <w:t>%</w:t>
            </w:r>
          </w:p>
        </w:tc>
        <w:tc>
          <w:tcPr>
            <w:tcW w:w="2977" w:type="dxa"/>
            <w:shd w:val="pct10" w:color="auto" w:fill="auto"/>
          </w:tcPr>
          <w:p w:rsidR="00C55B9E" w:rsidRPr="00D74D10" w:rsidRDefault="00DB79BC" w:rsidP="00DB79BC">
            <w:pPr>
              <w:bidi/>
              <w:spacing w:after="120"/>
              <w:jc w:val="right"/>
              <w:rPr>
                <w:rFonts w:ascii="Arabic Typesetting" w:eastAsia="SimSun" w:hAnsi="Arabic Typesetting" w:cs="Arabic Typesetting"/>
                <w:bCs/>
                <w:sz w:val="28"/>
                <w:szCs w:val="28"/>
                <w:lang w:eastAsia="zh-CN"/>
              </w:rPr>
            </w:pPr>
            <w:r w:rsidRPr="00D74D10">
              <w:rPr>
                <w:rFonts w:ascii="Arabic Typesetting" w:eastAsia="SimSun" w:hAnsi="Arabic Typesetting" w:cs="Arabic Typesetting" w:hint="cs"/>
                <w:bCs/>
                <w:sz w:val="28"/>
                <w:szCs w:val="28"/>
                <w:rtl/>
                <w:lang w:eastAsia="zh-CN"/>
              </w:rPr>
              <w:t>الاستراتيجية جيم</w:t>
            </w:r>
          </w:p>
          <w:p w:rsidR="00C55B9E" w:rsidRPr="00667739" w:rsidRDefault="00C55B9E" w:rsidP="00DB79BC">
            <w:pPr>
              <w:bidi/>
              <w:spacing w:after="120"/>
              <w:jc w:val="right"/>
              <w:rPr>
                <w:rFonts w:ascii="Arabic Typesetting" w:eastAsia="SimSun" w:hAnsi="Arabic Typesetting" w:cs="Arabic Typesetting"/>
                <w:b/>
                <w:sz w:val="28"/>
                <w:szCs w:val="28"/>
                <w:lang w:eastAsia="zh-CN"/>
              </w:rPr>
            </w:pPr>
            <w:r w:rsidRPr="00667739">
              <w:rPr>
                <w:rFonts w:ascii="Arabic Typesetting" w:eastAsia="SimSun" w:hAnsi="Arabic Typesetting" w:cs="Arabic Typesetting"/>
                <w:b/>
                <w:sz w:val="28"/>
                <w:szCs w:val="28"/>
                <w:lang w:eastAsia="zh-CN"/>
              </w:rPr>
              <w:t>%</w:t>
            </w:r>
          </w:p>
        </w:tc>
      </w:tr>
      <w:tr w:rsidR="00C55B9E" w:rsidRPr="00C55B9E" w:rsidTr="00C55B9E">
        <w:tc>
          <w:tcPr>
            <w:tcW w:w="3652" w:type="dxa"/>
            <w:shd w:val="clear" w:color="auto" w:fill="auto"/>
          </w:tcPr>
          <w:p w:rsidR="00C55B9E" w:rsidRPr="00C55B9E" w:rsidRDefault="00DB79BC" w:rsidP="00667739">
            <w:pPr>
              <w:bidi/>
              <w:spacing w:after="120" w:line="240" w:lineRule="exact"/>
              <w:rPr>
                <w:rFonts w:ascii="Arabic Typesetting" w:eastAsia="SimSun" w:hAnsi="Arabic Typesetting" w:cs="Arabic Typesetting"/>
                <w:sz w:val="28"/>
                <w:szCs w:val="28"/>
                <w:lang w:eastAsia="zh-CN"/>
              </w:rPr>
            </w:pPr>
            <w:r w:rsidRPr="00DB79BC">
              <w:rPr>
                <w:rFonts w:ascii="Arabic Typesetting" w:eastAsia="SimSun" w:hAnsi="Arabic Typesetting" w:cs="Arabic Typesetting"/>
                <w:sz w:val="28"/>
                <w:szCs w:val="28"/>
                <w:rtl/>
                <w:lang w:eastAsia="zh-CN"/>
              </w:rPr>
              <w:t>سوق مالية</w:t>
            </w:r>
            <w:r>
              <w:rPr>
                <w:rFonts w:ascii="Arabic Typesetting" w:eastAsia="SimSun" w:hAnsi="Arabic Typesetting" w:cs="Arabic Typesetting" w:hint="cs"/>
                <w:sz w:val="28"/>
                <w:szCs w:val="28"/>
                <w:rtl/>
                <w:lang w:eastAsia="zh-CN"/>
              </w:rPr>
              <w:t xml:space="preserve"> بالفرنك السويسري</w:t>
            </w:r>
          </w:p>
        </w:tc>
        <w:tc>
          <w:tcPr>
            <w:tcW w:w="1559"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100</w:t>
            </w:r>
          </w:p>
        </w:tc>
        <w:tc>
          <w:tcPr>
            <w:tcW w:w="2694"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50</w:t>
            </w:r>
          </w:p>
        </w:tc>
        <w:tc>
          <w:tcPr>
            <w:tcW w:w="2976"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50</w:t>
            </w:r>
          </w:p>
        </w:tc>
        <w:tc>
          <w:tcPr>
            <w:tcW w:w="2977"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10</w:t>
            </w:r>
          </w:p>
        </w:tc>
      </w:tr>
      <w:tr w:rsidR="00C55B9E" w:rsidRPr="00C55B9E" w:rsidTr="00C55B9E">
        <w:tc>
          <w:tcPr>
            <w:tcW w:w="3652" w:type="dxa"/>
            <w:shd w:val="clear" w:color="auto" w:fill="auto"/>
          </w:tcPr>
          <w:p w:rsidR="00C55B9E" w:rsidRPr="00C55B9E" w:rsidRDefault="00DB79BC" w:rsidP="00667739">
            <w:pPr>
              <w:bidi/>
              <w:spacing w:after="120" w:line="240" w:lineRule="exact"/>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سندات بالفرنك السويسري</w:t>
            </w:r>
          </w:p>
        </w:tc>
        <w:tc>
          <w:tcPr>
            <w:tcW w:w="1559"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0</w:t>
            </w:r>
          </w:p>
        </w:tc>
        <w:tc>
          <w:tcPr>
            <w:tcW w:w="2694"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50</w:t>
            </w:r>
          </w:p>
        </w:tc>
        <w:tc>
          <w:tcPr>
            <w:tcW w:w="2976"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25</w:t>
            </w:r>
          </w:p>
        </w:tc>
        <w:tc>
          <w:tcPr>
            <w:tcW w:w="2977"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25</w:t>
            </w:r>
          </w:p>
        </w:tc>
      </w:tr>
      <w:tr w:rsidR="00C55B9E" w:rsidRPr="00C55B9E" w:rsidTr="00C55B9E">
        <w:tc>
          <w:tcPr>
            <w:tcW w:w="3652" w:type="dxa"/>
            <w:shd w:val="clear" w:color="auto" w:fill="auto"/>
          </w:tcPr>
          <w:p w:rsidR="00C55B9E" w:rsidRPr="00C55B9E" w:rsidRDefault="00DB79BC" w:rsidP="00667739">
            <w:pPr>
              <w:bidi/>
              <w:spacing w:after="120" w:line="240" w:lineRule="exact"/>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 xml:space="preserve">سندات شركات بعملات أجنبية (خاضعة للتحوّط </w:t>
            </w:r>
            <w:r w:rsidR="00E13EDA">
              <w:rPr>
                <w:rFonts w:ascii="Arabic Typesetting" w:eastAsia="SimSun" w:hAnsi="Arabic Typesetting" w:cs="Arabic Typesetting" w:hint="cs"/>
                <w:sz w:val="28"/>
                <w:szCs w:val="28"/>
                <w:rtl/>
                <w:lang w:eastAsia="zh-CN"/>
              </w:rPr>
              <w:t>ب</w:t>
            </w:r>
            <w:r>
              <w:rPr>
                <w:rFonts w:ascii="Arabic Typesetting" w:eastAsia="SimSun" w:hAnsi="Arabic Typesetting" w:cs="Arabic Typesetting" w:hint="cs"/>
                <w:sz w:val="28"/>
                <w:szCs w:val="28"/>
                <w:rtl/>
                <w:lang w:eastAsia="zh-CN"/>
              </w:rPr>
              <w:t>الفرنك السويسري)</w:t>
            </w:r>
          </w:p>
        </w:tc>
        <w:tc>
          <w:tcPr>
            <w:tcW w:w="1559"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0</w:t>
            </w:r>
          </w:p>
        </w:tc>
        <w:tc>
          <w:tcPr>
            <w:tcW w:w="2694"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0</w:t>
            </w:r>
          </w:p>
        </w:tc>
        <w:tc>
          <w:tcPr>
            <w:tcW w:w="2976"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25</w:t>
            </w:r>
          </w:p>
        </w:tc>
        <w:tc>
          <w:tcPr>
            <w:tcW w:w="2977"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20</w:t>
            </w:r>
          </w:p>
        </w:tc>
      </w:tr>
      <w:tr w:rsidR="00C55B9E" w:rsidRPr="00C55B9E" w:rsidTr="00C55B9E">
        <w:tc>
          <w:tcPr>
            <w:tcW w:w="3652" w:type="dxa"/>
            <w:shd w:val="clear" w:color="auto" w:fill="auto"/>
          </w:tcPr>
          <w:p w:rsidR="00C55B9E" w:rsidRPr="00E13EDA" w:rsidRDefault="00E13EDA" w:rsidP="00667739">
            <w:pPr>
              <w:bidi/>
              <w:spacing w:after="120" w:line="240" w:lineRule="exact"/>
              <w:rPr>
                <w:rFonts w:ascii="Arabic Typesetting" w:eastAsia="SimSun" w:hAnsi="Arabic Typesetting" w:cs="Arabic Typesetting"/>
                <w:bCs/>
                <w:sz w:val="28"/>
                <w:szCs w:val="28"/>
                <w:lang w:eastAsia="zh-CN"/>
              </w:rPr>
            </w:pPr>
            <w:r>
              <w:rPr>
                <w:rFonts w:ascii="Arabic Typesetting" w:eastAsia="SimSun" w:hAnsi="Arabic Typesetting" w:cs="Arabic Typesetting" w:hint="cs"/>
                <w:bCs/>
                <w:sz w:val="28"/>
                <w:szCs w:val="28"/>
                <w:rtl/>
                <w:lang w:eastAsia="zh-CN"/>
              </w:rPr>
              <w:t>مجموع القيم الإسمية</w:t>
            </w:r>
          </w:p>
        </w:tc>
        <w:tc>
          <w:tcPr>
            <w:tcW w:w="1559"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100</w:t>
            </w:r>
          </w:p>
        </w:tc>
        <w:tc>
          <w:tcPr>
            <w:tcW w:w="2694"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100</w:t>
            </w:r>
          </w:p>
        </w:tc>
        <w:tc>
          <w:tcPr>
            <w:tcW w:w="2976"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100</w:t>
            </w:r>
          </w:p>
        </w:tc>
        <w:tc>
          <w:tcPr>
            <w:tcW w:w="2977"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55</w:t>
            </w:r>
          </w:p>
        </w:tc>
      </w:tr>
      <w:tr w:rsidR="00C55B9E" w:rsidRPr="00C55B9E" w:rsidTr="00C55B9E">
        <w:tc>
          <w:tcPr>
            <w:tcW w:w="3652" w:type="dxa"/>
            <w:shd w:val="clear" w:color="auto" w:fill="auto"/>
          </w:tcPr>
          <w:p w:rsidR="00C55B9E" w:rsidRPr="00C55B9E" w:rsidRDefault="00E13EDA" w:rsidP="00667739">
            <w:pPr>
              <w:bidi/>
              <w:spacing w:after="120" w:line="240" w:lineRule="exact"/>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أسهم سويسرية</w:t>
            </w:r>
          </w:p>
        </w:tc>
        <w:tc>
          <w:tcPr>
            <w:tcW w:w="1559"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0</w:t>
            </w:r>
          </w:p>
        </w:tc>
        <w:tc>
          <w:tcPr>
            <w:tcW w:w="2694"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0</w:t>
            </w:r>
          </w:p>
        </w:tc>
        <w:tc>
          <w:tcPr>
            <w:tcW w:w="2976"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0</w:t>
            </w:r>
          </w:p>
        </w:tc>
        <w:tc>
          <w:tcPr>
            <w:tcW w:w="2977"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10</w:t>
            </w:r>
          </w:p>
        </w:tc>
      </w:tr>
      <w:tr w:rsidR="00C55B9E" w:rsidRPr="00C55B9E" w:rsidTr="00C55B9E">
        <w:tc>
          <w:tcPr>
            <w:tcW w:w="3652" w:type="dxa"/>
            <w:shd w:val="clear" w:color="auto" w:fill="auto"/>
          </w:tcPr>
          <w:p w:rsidR="00C55B9E" w:rsidRPr="00C55B9E" w:rsidRDefault="00E13EDA" w:rsidP="00667739">
            <w:pPr>
              <w:bidi/>
              <w:spacing w:after="120" w:line="240" w:lineRule="exact"/>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أسهم أجنبية</w:t>
            </w:r>
          </w:p>
        </w:tc>
        <w:tc>
          <w:tcPr>
            <w:tcW w:w="1559"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0</w:t>
            </w:r>
          </w:p>
        </w:tc>
        <w:tc>
          <w:tcPr>
            <w:tcW w:w="2694"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0</w:t>
            </w:r>
          </w:p>
        </w:tc>
        <w:tc>
          <w:tcPr>
            <w:tcW w:w="2976"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0</w:t>
            </w:r>
          </w:p>
        </w:tc>
        <w:tc>
          <w:tcPr>
            <w:tcW w:w="2977"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15</w:t>
            </w:r>
          </w:p>
        </w:tc>
      </w:tr>
      <w:tr w:rsidR="00C55B9E" w:rsidRPr="00C55B9E" w:rsidTr="00C55B9E">
        <w:tc>
          <w:tcPr>
            <w:tcW w:w="3652" w:type="dxa"/>
            <w:shd w:val="clear" w:color="auto" w:fill="auto"/>
          </w:tcPr>
          <w:p w:rsidR="00C55B9E" w:rsidRPr="00E13EDA" w:rsidRDefault="00E13EDA" w:rsidP="00667739">
            <w:pPr>
              <w:bidi/>
              <w:spacing w:after="120" w:line="240" w:lineRule="exact"/>
              <w:rPr>
                <w:rFonts w:ascii="Arabic Typesetting" w:eastAsia="SimSun" w:hAnsi="Arabic Typesetting" w:cs="Arabic Typesetting"/>
                <w:bCs/>
                <w:sz w:val="28"/>
                <w:szCs w:val="28"/>
                <w:lang w:eastAsia="zh-CN"/>
              </w:rPr>
            </w:pPr>
            <w:r w:rsidRPr="00E13EDA">
              <w:rPr>
                <w:rFonts w:ascii="Arabic Typesetting" w:eastAsia="SimSun" w:hAnsi="Arabic Typesetting" w:cs="Arabic Typesetting" w:hint="cs"/>
                <w:bCs/>
                <w:sz w:val="28"/>
                <w:szCs w:val="28"/>
                <w:rtl/>
                <w:lang w:eastAsia="zh-CN"/>
              </w:rPr>
              <w:t>مجموع الأسهم</w:t>
            </w:r>
          </w:p>
        </w:tc>
        <w:tc>
          <w:tcPr>
            <w:tcW w:w="1559"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0</w:t>
            </w:r>
          </w:p>
        </w:tc>
        <w:tc>
          <w:tcPr>
            <w:tcW w:w="2694"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b/>
                <w:sz w:val="28"/>
                <w:szCs w:val="28"/>
                <w:lang w:eastAsia="zh-CN"/>
              </w:rPr>
              <w:t>0</w:t>
            </w:r>
          </w:p>
        </w:tc>
        <w:tc>
          <w:tcPr>
            <w:tcW w:w="2976"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b/>
                <w:sz w:val="28"/>
                <w:szCs w:val="28"/>
                <w:lang w:eastAsia="zh-CN"/>
              </w:rPr>
              <w:t>0</w:t>
            </w:r>
          </w:p>
        </w:tc>
        <w:tc>
          <w:tcPr>
            <w:tcW w:w="2977"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25</w:t>
            </w:r>
          </w:p>
        </w:tc>
      </w:tr>
      <w:tr w:rsidR="00C55B9E" w:rsidRPr="00C55B9E" w:rsidTr="00C55B9E">
        <w:tc>
          <w:tcPr>
            <w:tcW w:w="3652" w:type="dxa"/>
            <w:shd w:val="clear" w:color="auto" w:fill="auto"/>
          </w:tcPr>
          <w:p w:rsidR="00C55B9E" w:rsidRPr="00C55B9E" w:rsidRDefault="00E13EDA" w:rsidP="00667739">
            <w:pPr>
              <w:bidi/>
              <w:spacing w:after="120" w:line="240" w:lineRule="exact"/>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عقارات سويسرية (أموال)</w:t>
            </w:r>
          </w:p>
        </w:tc>
        <w:tc>
          <w:tcPr>
            <w:tcW w:w="1559"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0</w:t>
            </w:r>
          </w:p>
        </w:tc>
        <w:tc>
          <w:tcPr>
            <w:tcW w:w="2694"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0</w:t>
            </w:r>
          </w:p>
        </w:tc>
        <w:tc>
          <w:tcPr>
            <w:tcW w:w="2976"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0</w:t>
            </w:r>
          </w:p>
        </w:tc>
        <w:tc>
          <w:tcPr>
            <w:tcW w:w="2977"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10</w:t>
            </w:r>
          </w:p>
        </w:tc>
      </w:tr>
      <w:tr w:rsidR="00C55B9E" w:rsidRPr="00C55B9E" w:rsidTr="00C55B9E">
        <w:tc>
          <w:tcPr>
            <w:tcW w:w="3652" w:type="dxa"/>
            <w:shd w:val="clear" w:color="auto" w:fill="auto"/>
          </w:tcPr>
          <w:p w:rsidR="00C55B9E" w:rsidRPr="00E13EDA" w:rsidRDefault="00E13EDA" w:rsidP="00667739">
            <w:pPr>
              <w:bidi/>
              <w:spacing w:after="120" w:line="240" w:lineRule="exact"/>
              <w:rPr>
                <w:rFonts w:ascii="Arabic Typesetting" w:eastAsia="SimSun" w:hAnsi="Arabic Typesetting" w:cs="Arabic Typesetting"/>
                <w:bCs/>
                <w:sz w:val="28"/>
                <w:szCs w:val="28"/>
                <w:lang w:eastAsia="zh-CN"/>
              </w:rPr>
            </w:pPr>
            <w:r w:rsidRPr="00E13EDA">
              <w:rPr>
                <w:rFonts w:ascii="Arabic Typesetting" w:eastAsia="SimSun" w:hAnsi="Arabic Typesetting" w:cs="Arabic Typesetting" w:hint="cs"/>
                <w:bCs/>
                <w:sz w:val="28"/>
                <w:szCs w:val="28"/>
                <w:rtl/>
                <w:lang w:eastAsia="zh-CN"/>
              </w:rPr>
              <w:t>مجموع العقارات</w:t>
            </w:r>
          </w:p>
        </w:tc>
        <w:tc>
          <w:tcPr>
            <w:tcW w:w="1559"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0</w:t>
            </w:r>
          </w:p>
        </w:tc>
        <w:tc>
          <w:tcPr>
            <w:tcW w:w="2694"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b/>
                <w:sz w:val="28"/>
                <w:szCs w:val="28"/>
                <w:lang w:eastAsia="zh-CN"/>
              </w:rPr>
              <w:t>0</w:t>
            </w:r>
          </w:p>
        </w:tc>
        <w:tc>
          <w:tcPr>
            <w:tcW w:w="2976"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b/>
                <w:sz w:val="28"/>
                <w:szCs w:val="28"/>
                <w:lang w:eastAsia="zh-CN"/>
              </w:rPr>
              <w:t>0</w:t>
            </w:r>
          </w:p>
        </w:tc>
        <w:tc>
          <w:tcPr>
            <w:tcW w:w="2977"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10</w:t>
            </w:r>
          </w:p>
        </w:tc>
      </w:tr>
      <w:tr w:rsidR="00C55B9E" w:rsidRPr="00C55B9E" w:rsidTr="00C55B9E">
        <w:tc>
          <w:tcPr>
            <w:tcW w:w="3652" w:type="dxa"/>
            <w:shd w:val="clear" w:color="auto" w:fill="auto"/>
          </w:tcPr>
          <w:p w:rsidR="00C55B9E" w:rsidRPr="00C55B9E" w:rsidRDefault="00E13EDA" w:rsidP="00667739">
            <w:pPr>
              <w:bidi/>
              <w:spacing w:after="120" w:line="240" w:lineRule="exact"/>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أوراق مالية مرتبطة بتأمين (</w:t>
            </w:r>
            <w:r>
              <w:rPr>
                <w:rFonts w:ascii="Arabic Typesetting" w:eastAsia="SimSun" w:hAnsi="Arabic Typesetting" w:cs="Arabic Typesetting" w:hint="cs"/>
                <w:sz w:val="28"/>
                <w:szCs w:val="28"/>
                <w:rtl/>
                <w:lang w:eastAsia="zh-CN"/>
              </w:rPr>
              <w:t xml:space="preserve">خاضعة للتحوّط </w:t>
            </w:r>
            <w:r>
              <w:rPr>
                <w:rFonts w:ascii="Arabic Typesetting" w:eastAsia="SimSun" w:hAnsi="Arabic Typesetting" w:cs="Arabic Typesetting" w:hint="cs"/>
                <w:sz w:val="28"/>
                <w:szCs w:val="28"/>
                <w:rtl/>
                <w:lang w:eastAsia="zh-CN"/>
              </w:rPr>
              <w:t>ب</w:t>
            </w:r>
            <w:r>
              <w:rPr>
                <w:rFonts w:ascii="Arabic Typesetting" w:eastAsia="SimSun" w:hAnsi="Arabic Typesetting" w:cs="Arabic Typesetting" w:hint="cs"/>
                <w:sz w:val="28"/>
                <w:szCs w:val="28"/>
                <w:rtl/>
                <w:lang w:eastAsia="zh-CN"/>
              </w:rPr>
              <w:t>الفرنك السويسري</w:t>
            </w:r>
            <w:r>
              <w:rPr>
                <w:rFonts w:ascii="Arabic Typesetting" w:eastAsia="SimSun" w:hAnsi="Arabic Typesetting" w:cs="Arabic Typesetting" w:hint="cs"/>
                <w:sz w:val="28"/>
                <w:szCs w:val="28"/>
                <w:rtl/>
                <w:lang w:eastAsia="zh-CN"/>
              </w:rPr>
              <w:t>)</w:t>
            </w:r>
          </w:p>
        </w:tc>
        <w:tc>
          <w:tcPr>
            <w:tcW w:w="1559"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0</w:t>
            </w:r>
          </w:p>
        </w:tc>
        <w:tc>
          <w:tcPr>
            <w:tcW w:w="2694"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0</w:t>
            </w:r>
          </w:p>
        </w:tc>
        <w:tc>
          <w:tcPr>
            <w:tcW w:w="2976"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0</w:t>
            </w:r>
          </w:p>
        </w:tc>
        <w:tc>
          <w:tcPr>
            <w:tcW w:w="2977"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5</w:t>
            </w:r>
          </w:p>
        </w:tc>
      </w:tr>
      <w:tr w:rsidR="00C55B9E" w:rsidRPr="00C55B9E" w:rsidTr="00C55B9E">
        <w:tc>
          <w:tcPr>
            <w:tcW w:w="3652" w:type="dxa"/>
            <w:shd w:val="clear" w:color="auto" w:fill="auto"/>
          </w:tcPr>
          <w:p w:rsidR="00C55B9E" w:rsidRPr="00C55B9E" w:rsidRDefault="00E13EDA" w:rsidP="00667739">
            <w:pPr>
              <w:bidi/>
              <w:spacing w:after="120" w:line="240" w:lineRule="exact"/>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صناديق التحوّط (خاضعة للتحوّط بالفرنك السويسري)</w:t>
            </w:r>
          </w:p>
        </w:tc>
        <w:tc>
          <w:tcPr>
            <w:tcW w:w="1559"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0</w:t>
            </w:r>
          </w:p>
        </w:tc>
        <w:tc>
          <w:tcPr>
            <w:tcW w:w="2694"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0</w:t>
            </w:r>
          </w:p>
        </w:tc>
        <w:tc>
          <w:tcPr>
            <w:tcW w:w="2976"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0</w:t>
            </w:r>
          </w:p>
        </w:tc>
        <w:tc>
          <w:tcPr>
            <w:tcW w:w="2977"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sz w:val="28"/>
                <w:szCs w:val="28"/>
                <w:lang w:eastAsia="zh-CN"/>
              </w:rPr>
            </w:pPr>
            <w:r w:rsidRPr="00C55B9E">
              <w:rPr>
                <w:rFonts w:ascii="Arabic Typesetting" w:eastAsia="SimSun" w:hAnsi="Arabic Typesetting" w:cs="Arabic Typesetting"/>
                <w:sz w:val="28"/>
                <w:szCs w:val="28"/>
                <w:lang w:eastAsia="zh-CN"/>
              </w:rPr>
              <w:t>5</w:t>
            </w:r>
          </w:p>
        </w:tc>
      </w:tr>
      <w:tr w:rsidR="00C55B9E" w:rsidRPr="00C55B9E" w:rsidTr="00C55B9E">
        <w:tc>
          <w:tcPr>
            <w:tcW w:w="3652" w:type="dxa"/>
            <w:shd w:val="clear" w:color="auto" w:fill="auto"/>
          </w:tcPr>
          <w:p w:rsidR="00C55B9E" w:rsidRPr="00E13EDA" w:rsidRDefault="00E13EDA" w:rsidP="00667739">
            <w:pPr>
              <w:bidi/>
              <w:spacing w:after="120" w:line="240" w:lineRule="exact"/>
              <w:rPr>
                <w:rFonts w:ascii="Arabic Typesetting" w:eastAsia="SimSun" w:hAnsi="Arabic Typesetting" w:cs="Arabic Typesetting"/>
                <w:bCs/>
                <w:sz w:val="28"/>
                <w:szCs w:val="28"/>
                <w:lang w:eastAsia="zh-CN"/>
              </w:rPr>
            </w:pPr>
            <w:r w:rsidRPr="00E13EDA">
              <w:rPr>
                <w:rFonts w:ascii="Arabic Typesetting" w:eastAsia="SimSun" w:hAnsi="Arabic Typesetting" w:cs="Arabic Typesetting" w:hint="cs"/>
                <w:bCs/>
                <w:sz w:val="28"/>
                <w:szCs w:val="28"/>
                <w:rtl/>
                <w:lang w:eastAsia="zh-CN"/>
              </w:rPr>
              <w:t>مجموع الاستثمارات البديلة</w:t>
            </w:r>
          </w:p>
        </w:tc>
        <w:tc>
          <w:tcPr>
            <w:tcW w:w="1559"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0</w:t>
            </w:r>
          </w:p>
        </w:tc>
        <w:tc>
          <w:tcPr>
            <w:tcW w:w="2694"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0</w:t>
            </w:r>
          </w:p>
        </w:tc>
        <w:tc>
          <w:tcPr>
            <w:tcW w:w="2976"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0</w:t>
            </w:r>
          </w:p>
        </w:tc>
        <w:tc>
          <w:tcPr>
            <w:tcW w:w="2977"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10</w:t>
            </w:r>
          </w:p>
        </w:tc>
      </w:tr>
      <w:tr w:rsidR="00C55B9E" w:rsidRPr="00C55B9E" w:rsidTr="00C55B9E">
        <w:tc>
          <w:tcPr>
            <w:tcW w:w="3652" w:type="dxa"/>
            <w:shd w:val="clear" w:color="auto" w:fill="auto"/>
          </w:tcPr>
          <w:p w:rsidR="00C55B9E" w:rsidRPr="00C55B9E" w:rsidRDefault="00E13EDA" w:rsidP="00667739">
            <w:pPr>
              <w:bidi/>
              <w:spacing w:after="120" w:line="240" w:lineRule="exact"/>
              <w:rPr>
                <w:rFonts w:ascii="Arabic Typesetting" w:eastAsia="SimSun" w:hAnsi="Arabic Typesetting" w:cs="Arabic Typesetting"/>
                <w:b/>
                <w:sz w:val="28"/>
                <w:szCs w:val="28"/>
                <w:lang w:eastAsia="zh-CN"/>
              </w:rPr>
            </w:pPr>
            <w:r>
              <w:rPr>
                <w:rFonts w:ascii="Arabic Typesetting" w:eastAsia="SimSun" w:hAnsi="Arabic Typesetting" w:cs="Arabic Typesetting" w:hint="cs"/>
                <w:b/>
                <w:sz w:val="28"/>
                <w:szCs w:val="28"/>
                <w:rtl/>
                <w:lang w:eastAsia="zh-CN"/>
              </w:rPr>
              <w:t>مجموع الأصول الملموسة</w:t>
            </w:r>
          </w:p>
        </w:tc>
        <w:tc>
          <w:tcPr>
            <w:tcW w:w="1559"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0</w:t>
            </w:r>
          </w:p>
        </w:tc>
        <w:tc>
          <w:tcPr>
            <w:tcW w:w="2694"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0</w:t>
            </w:r>
          </w:p>
        </w:tc>
        <w:tc>
          <w:tcPr>
            <w:tcW w:w="2976"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0</w:t>
            </w:r>
          </w:p>
        </w:tc>
        <w:tc>
          <w:tcPr>
            <w:tcW w:w="2977"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45</w:t>
            </w:r>
          </w:p>
        </w:tc>
      </w:tr>
      <w:tr w:rsidR="00C55B9E" w:rsidRPr="00C55B9E" w:rsidTr="00E13EDA">
        <w:trPr>
          <w:trHeight w:val="277"/>
        </w:trPr>
        <w:tc>
          <w:tcPr>
            <w:tcW w:w="3652" w:type="dxa"/>
            <w:shd w:val="pct10" w:color="auto" w:fill="auto"/>
          </w:tcPr>
          <w:p w:rsidR="00C55B9E" w:rsidRPr="00E13EDA" w:rsidRDefault="00E13EDA" w:rsidP="00667739">
            <w:pPr>
              <w:bidi/>
              <w:spacing w:after="120" w:line="240" w:lineRule="exact"/>
              <w:rPr>
                <w:rFonts w:ascii="Arabic Typesetting" w:eastAsia="SimSun" w:hAnsi="Arabic Typesetting" w:cs="Arabic Typesetting"/>
                <w:bCs/>
                <w:color w:val="FFFFFF" w:themeColor="background1"/>
                <w:sz w:val="28"/>
                <w:szCs w:val="28"/>
                <w:lang w:eastAsia="zh-CN"/>
              </w:rPr>
            </w:pPr>
            <w:r w:rsidRPr="00E13EDA">
              <w:rPr>
                <w:rFonts w:ascii="Arabic Typesetting" w:eastAsia="SimSun" w:hAnsi="Arabic Typesetting" w:cs="Arabic Typesetting" w:hint="cs"/>
                <w:bCs/>
                <w:sz w:val="28"/>
                <w:szCs w:val="28"/>
                <w:rtl/>
                <w:lang w:eastAsia="zh-CN"/>
              </w:rPr>
              <w:t>المجموع</w:t>
            </w:r>
          </w:p>
        </w:tc>
        <w:tc>
          <w:tcPr>
            <w:tcW w:w="1559" w:type="dxa"/>
            <w:shd w:val="pct10"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100</w:t>
            </w:r>
          </w:p>
        </w:tc>
        <w:tc>
          <w:tcPr>
            <w:tcW w:w="2694" w:type="dxa"/>
            <w:shd w:val="pct10"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100</w:t>
            </w:r>
          </w:p>
        </w:tc>
        <w:tc>
          <w:tcPr>
            <w:tcW w:w="2976" w:type="dxa"/>
            <w:shd w:val="pct10"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100</w:t>
            </w:r>
          </w:p>
        </w:tc>
        <w:tc>
          <w:tcPr>
            <w:tcW w:w="2977" w:type="dxa"/>
            <w:shd w:val="pct10"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100</w:t>
            </w:r>
          </w:p>
        </w:tc>
      </w:tr>
      <w:tr w:rsidR="00C55B9E" w:rsidRPr="00C55B9E" w:rsidTr="00C55B9E">
        <w:tc>
          <w:tcPr>
            <w:tcW w:w="3652" w:type="dxa"/>
            <w:shd w:val="clear" w:color="auto" w:fill="auto"/>
          </w:tcPr>
          <w:p w:rsidR="00C55B9E" w:rsidRPr="000F23F9" w:rsidRDefault="00E13EDA" w:rsidP="00667739">
            <w:pPr>
              <w:bidi/>
              <w:spacing w:after="120" w:line="240" w:lineRule="exact"/>
              <w:rPr>
                <w:rFonts w:ascii="Arabic Typesetting" w:eastAsia="SimSun" w:hAnsi="Arabic Typesetting" w:cs="Arabic Typesetting"/>
                <w:bCs/>
                <w:sz w:val="28"/>
                <w:szCs w:val="28"/>
                <w:lang w:eastAsia="zh-CN"/>
              </w:rPr>
            </w:pPr>
            <w:r w:rsidRPr="000F23F9">
              <w:rPr>
                <w:rFonts w:ascii="Arabic Typesetting" w:eastAsia="SimSun" w:hAnsi="Arabic Typesetting" w:cs="Arabic Typesetting" w:hint="cs"/>
                <w:bCs/>
                <w:sz w:val="28"/>
                <w:szCs w:val="28"/>
                <w:rtl/>
                <w:lang w:eastAsia="zh-CN"/>
              </w:rPr>
              <w:t>التعرّض لتقلبات أسعار صرف العملات الأجنبية</w:t>
            </w:r>
          </w:p>
        </w:tc>
        <w:tc>
          <w:tcPr>
            <w:tcW w:w="1559"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0</w:t>
            </w:r>
          </w:p>
        </w:tc>
        <w:tc>
          <w:tcPr>
            <w:tcW w:w="2694"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0</w:t>
            </w:r>
          </w:p>
        </w:tc>
        <w:tc>
          <w:tcPr>
            <w:tcW w:w="2976"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0</w:t>
            </w:r>
          </w:p>
        </w:tc>
        <w:tc>
          <w:tcPr>
            <w:tcW w:w="2977" w:type="dxa"/>
            <w:shd w:val="clear" w:color="auto" w:fill="auto"/>
          </w:tcPr>
          <w:p w:rsidR="00C55B9E" w:rsidRPr="00C55B9E" w:rsidRDefault="00C55B9E" w:rsidP="00667739">
            <w:pPr>
              <w:bidi/>
              <w:spacing w:after="120" w:line="240" w:lineRule="exact"/>
              <w:jc w:val="right"/>
              <w:rPr>
                <w:rFonts w:ascii="Arabic Typesetting" w:eastAsia="SimSun" w:hAnsi="Arabic Typesetting" w:cs="Arabic Typesetting"/>
                <w:b/>
                <w:sz w:val="28"/>
                <w:szCs w:val="28"/>
                <w:lang w:eastAsia="zh-CN"/>
              </w:rPr>
            </w:pPr>
            <w:r w:rsidRPr="00C55B9E">
              <w:rPr>
                <w:rFonts w:ascii="Arabic Typesetting" w:eastAsia="SimSun" w:hAnsi="Arabic Typesetting" w:cs="Arabic Typesetting"/>
                <w:b/>
                <w:sz w:val="28"/>
                <w:szCs w:val="28"/>
                <w:lang w:eastAsia="zh-CN"/>
              </w:rPr>
              <w:t>15</w:t>
            </w:r>
          </w:p>
        </w:tc>
      </w:tr>
    </w:tbl>
    <w:p w:rsidR="00C55B9E" w:rsidRDefault="00535A7C" w:rsidP="000F23F9">
      <w:pPr>
        <w:pStyle w:val="NormalParaAR"/>
        <w:spacing w:after="0"/>
        <w:rPr>
          <w:rFonts w:hint="cs"/>
          <w:rtl/>
        </w:rPr>
      </w:pPr>
      <w:r>
        <w:rPr>
          <w:noProof/>
        </w:rPr>
        <w:drawing>
          <wp:inline distT="0" distB="0" distL="0" distR="0" wp14:anchorId="701713A0" wp14:editId="4058E1A1">
            <wp:extent cx="5742940" cy="2743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2940" cy="274320"/>
                    </a:xfrm>
                    <a:prstGeom prst="rect">
                      <a:avLst/>
                    </a:prstGeom>
                    <a:noFill/>
                    <a:scene3d>
                      <a:camera prst="orthographicFront">
                        <a:rot lat="0" lon="0" rev="10800000"/>
                      </a:camera>
                      <a:lightRig rig="threePt" dir="t"/>
                    </a:scene3d>
                  </pic:spPr>
                </pic:pic>
              </a:graphicData>
            </a:graphic>
          </wp:inline>
        </w:drawing>
      </w:r>
    </w:p>
    <w:p w:rsidR="000F23F9" w:rsidRDefault="00535A7C" w:rsidP="00535A7C">
      <w:pPr>
        <w:pStyle w:val="NormalParaAR"/>
        <w:spacing w:line="240" w:lineRule="auto"/>
        <w:ind w:left="2239"/>
        <w:rPr>
          <w:rtl/>
        </w:rPr>
      </w:pPr>
      <w:r>
        <w:rPr>
          <w:rFonts w:hint="cs"/>
          <w:rtl/>
        </w:rPr>
        <w:t>تنوع</w:t>
      </w:r>
      <w:r w:rsidR="00512520">
        <w:rPr>
          <w:rFonts w:hint="cs"/>
          <w:rtl/>
        </w:rPr>
        <w:t xml:space="preserve"> متزايد</w:t>
      </w:r>
    </w:p>
    <w:p w:rsidR="000F23F9" w:rsidRDefault="000F23F9">
      <w:pPr>
        <w:rPr>
          <w:rFonts w:ascii="Arabic Typesetting" w:hAnsi="Arabic Typesetting" w:cs="Arabic Typesetting"/>
          <w:sz w:val="36"/>
          <w:szCs w:val="36"/>
          <w:rtl/>
        </w:rPr>
      </w:pPr>
      <w:r>
        <w:rPr>
          <w:rtl/>
        </w:rPr>
        <w:br w:type="page"/>
      </w:r>
    </w:p>
    <w:tbl>
      <w:tblPr>
        <w:tblStyle w:val="TableGrid"/>
        <w:bidiVisual/>
        <w:tblW w:w="0" w:type="auto"/>
        <w:jc w:val="center"/>
        <w:tblLayout w:type="fixed"/>
        <w:tblLook w:val="04A0" w:firstRow="1" w:lastRow="0" w:firstColumn="1" w:lastColumn="0" w:noHBand="0" w:noVBand="1"/>
      </w:tblPr>
      <w:tblGrid>
        <w:gridCol w:w="5353"/>
        <w:gridCol w:w="1134"/>
        <w:gridCol w:w="1985"/>
        <w:gridCol w:w="2126"/>
        <w:gridCol w:w="2268"/>
      </w:tblGrid>
      <w:tr w:rsidR="00D74D10" w:rsidRPr="00D74D10" w:rsidTr="00D74D10">
        <w:trPr>
          <w:trHeight w:val="359"/>
          <w:jc w:val="center"/>
        </w:trPr>
        <w:tc>
          <w:tcPr>
            <w:tcW w:w="5353" w:type="dxa"/>
            <w:tcBorders>
              <w:top w:val="nil"/>
              <w:left w:val="nil"/>
              <w:bottom w:val="nil"/>
              <w:right w:val="nil"/>
            </w:tcBorders>
            <w:shd w:val="pct10" w:color="auto" w:fill="auto"/>
          </w:tcPr>
          <w:p w:rsidR="00D74D10" w:rsidRPr="00D74D10" w:rsidRDefault="00D74D10" w:rsidP="00667739">
            <w:pPr>
              <w:pStyle w:val="NormalParaAR"/>
              <w:spacing w:after="120" w:line="240" w:lineRule="exact"/>
              <w:rPr>
                <w:bCs/>
                <w:sz w:val="28"/>
                <w:szCs w:val="28"/>
              </w:rPr>
            </w:pPr>
            <w:r w:rsidRPr="00D74D10">
              <w:rPr>
                <w:rFonts w:hint="cs"/>
                <w:bCs/>
                <w:sz w:val="28"/>
                <w:szCs w:val="28"/>
                <w:rtl/>
              </w:rPr>
              <w:t>بيانات المخاطرة</w:t>
            </w:r>
            <w:r w:rsidRPr="00D74D10">
              <w:rPr>
                <w:bCs/>
                <w:sz w:val="28"/>
                <w:szCs w:val="28"/>
                <w:rtl/>
              </w:rPr>
              <w:t>–</w:t>
            </w:r>
            <w:r w:rsidRPr="00D74D10">
              <w:rPr>
                <w:rFonts w:hint="cs"/>
                <w:bCs/>
                <w:sz w:val="28"/>
                <w:szCs w:val="28"/>
                <w:rtl/>
              </w:rPr>
              <w:t>العائد لهياكل المحفظات</w:t>
            </w:r>
          </w:p>
        </w:tc>
        <w:tc>
          <w:tcPr>
            <w:tcW w:w="1134" w:type="dxa"/>
            <w:tcBorders>
              <w:top w:val="nil"/>
              <w:left w:val="nil"/>
              <w:bottom w:val="nil"/>
              <w:right w:val="nil"/>
            </w:tcBorders>
            <w:shd w:val="pct10" w:color="auto" w:fill="auto"/>
          </w:tcPr>
          <w:p w:rsidR="00D74D10" w:rsidRPr="00D74D10" w:rsidRDefault="00D74D10" w:rsidP="00667739">
            <w:pPr>
              <w:pStyle w:val="NormalParaAR"/>
              <w:spacing w:after="120" w:line="240" w:lineRule="exact"/>
              <w:rPr>
                <w:bCs/>
                <w:sz w:val="28"/>
                <w:szCs w:val="28"/>
              </w:rPr>
            </w:pPr>
            <w:r w:rsidRPr="00D74D10">
              <w:rPr>
                <w:rFonts w:hint="cs"/>
                <w:bCs/>
                <w:sz w:val="28"/>
                <w:szCs w:val="28"/>
                <w:rtl/>
              </w:rPr>
              <w:t>المحفظة</w:t>
            </w:r>
          </w:p>
        </w:tc>
        <w:tc>
          <w:tcPr>
            <w:tcW w:w="1985" w:type="dxa"/>
            <w:tcBorders>
              <w:top w:val="nil"/>
              <w:left w:val="nil"/>
              <w:bottom w:val="nil"/>
              <w:right w:val="nil"/>
            </w:tcBorders>
            <w:shd w:val="pct10" w:color="auto" w:fill="auto"/>
          </w:tcPr>
          <w:p w:rsidR="00D74D10" w:rsidRPr="00D74D10" w:rsidRDefault="00D74D10" w:rsidP="00667739">
            <w:pPr>
              <w:pStyle w:val="NormalParaAR"/>
              <w:spacing w:after="120" w:line="240" w:lineRule="exact"/>
              <w:rPr>
                <w:bCs/>
                <w:sz w:val="28"/>
                <w:szCs w:val="28"/>
              </w:rPr>
            </w:pPr>
            <w:r w:rsidRPr="00D74D10">
              <w:rPr>
                <w:rFonts w:hint="cs"/>
                <w:bCs/>
                <w:sz w:val="28"/>
                <w:szCs w:val="28"/>
                <w:rtl/>
              </w:rPr>
              <w:t>الاستراتيجية ألف</w:t>
            </w:r>
          </w:p>
        </w:tc>
        <w:tc>
          <w:tcPr>
            <w:tcW w:w="2126" w:type="dxa"/>
            <w:tcBorders>
              <w:top w:val="nil"/>
              <w:left w:val="nil"/>
              <w:bottom w:val="nil"/>
              <w:right w:val="nil"/>
            </w:tcBorders>
            <w:shd w:val="pct10" w:color="auto" w:fill="auto"/>
          </w:tcPr>
          <w:p w:rsidR="00D74D10" w:rsidRPr="00D74D10" w:rsidRDefault="00D74D10" w:rsidP="00667739">
            <w:pPr>
              <w:pStyle w:val="NormalParaAR"/>
              <w:spacing w:after="120" w:line="240" w:lineRule="exact"/>
              <w:rPr>
                <w:bCs/>
                <w:sz w:val="28"/>
                <w:szCs w:val="28"/>
              </w:rPr>
            </w:pPr>
            <w:r w:rsidRPr="00D74D10">
              <w:rPr>
                <w:rFonts w:hint="cs"/>
                <w:bCs/>
                <w:sz w:val="28"/>
                <w:szCs w:val="28"/>
                <w:rtl/>
              </w:rPr>
              <w:t>الاستراتيجية باء</w:t>
            </w:r>
          </w:p>
        </w:tc>
        <w:tc>
          <w:tcPr>
            <w:tcW w:w="2268" w:type="dxa"/>
            <w:tcBorders>
              <w:top w:val="nil"/>
              <w:left w:val="nil"/>
              <w:bottom w:val="nil"/>
              <w:right w:val="nil"/>
            </w:tcBorders>
            <w:shd w:val="pct10" w:color="auto" w:fill="auto"/>
          </w:tcPr>
          <w:p w:rsidR="00D74D10" w:rsidRPr="00D74D10" w:rsidRDefault="00D74D10" w:rsidP="00667739">
            <w:pPr>
              <w:pStyle w:val="NormalParaAR"/>
              <w:spacing w:after="120" w:line="240" w:lineRule="exact"/>
              <w:rPr>
                <w:bCs/>
                <w:sz w:val="28"/>
                <w:szCs w:val="28"/>
              </w:rPr>
            </w:pPr>
            <w:r w:rsidRPr="00D74D10">
              <w:rPr>
                <w:rFonts w:hint="cs"/>
                <w:bCs/>
                <w:sz w:val="28"/>
                <w:szCs w:val="28"/>
                <w:rtl/>
              </w:rPr>
              <w:t>الاستراتيجية جيم</w:t>
            </w:r>
          </w:p>
        </w:tc>
      </w:tr>
      <w:tr w:rsidR="00D74D10" w:rsidRPr="00D74D10" w:rsidTr="00D74D10">
        <w:trPr>
          <w:trHeight w:val="172"/>
          <w:jc w:val="center"/>
        </w:trPr>
        <w:tc>
          <w:tcPr>
            <w:tcW w:w="5353" w:type="dxa"/>
            <w:tcBorders>
              <w:top w:val="nil"/>
              <w:left w:val="nil"/>
              <w:bottom w:val="nil"/>
              <w:right w:val="nil"/>
            </w:tcBorders>
            <w:shd w:val="clear" w:color="auto" w:fill="auto"/>
          </w:tcPr>
          <w:p w:rsidR="00D74D10" w:rsidRPr="00D74D10" w:rsidRDefault="00D74D10" w:rsidP="00667739">
            <w:pPr>
              <w:pStyle w:val="NormalParaAR"/>
              <w:spacing w:after="120" w:line="240" w:lineRule="exact"/>
              <w:rPr>
                <w:bCs/>
                <w:sz w:val="28"/>
                <w:szCs w:val="28"/>
              </w:rPr>
            </w:pPr>
            <w:r w:rsidRPr="00D74D10">
              <w:rPr>
                <w:rFonts w:hint="cs"/>
                <w:bCs/>
                <w:sz w:val="28"/>
                <w:szCs w:val="28"/>
                <w:rtl/>
              </w:rPr>
              <w:t>السيناريوهات المتوسطة الأجل (20-15-2020)</w:t>
            </w:r>
          </w:p>
        </w:tc>
        <w:tc>
          <w:tcPr>
            <w:tcW w:w="1134"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p>
        </w:tc>
        <w:tc>
          <w:tcPr>
            <w:tcW w:w="1985"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p>
        </w:tc>
        <w:tc>
          <w:tcPr>
            <w:tcW w:w="2126"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p>
        </w:tc>
        <w:tc>
          <w:tcPr>
            <w:tcW w:w="2268"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p>
        </w:tc>
      </w:tr>
      <w:tr w:rsidR="00D74D10" w:rsidRPr="00D74D10" w:rsidTr="00D74D10">
        <w:trPr>
          <w:trHeight w:val="315"/>
          <w:jc w:val="center"/>
        </w:trPr>
        <w:tc>
          <w:tcPr>
            <w:tcW w:w="5353" w:type="dxa"/>
            <w:tcBorders>
              <w:top w:val="nil"/>
              <w:left w:val="nil"/>
              <w:bottom w:val="nil"/>
              <w:right w:val="nil"/>
            </w:tcBorders>
            <w:shd w:val="clear" w:color="auto" w:fill="auto"/>
          </w:tcPr>
          <w:p w:rsidR="00D74D10" w:rsidRPr="00D74D10" w:rsidRDefault="00D74D10" w:rsidP="00667739">
            <w:pPr>
              <w:pStyle w:val="NormalParaAR"/>
              <w:spacing w:after="120" w:line="240" w:lineRule="exact"/>
              <w:ind w:left="570"/>
              <w:rPr>
                <w:sz w:val="28"/>
                <w:szCs w:val="28"/>
              </w:rPr>
            </w:pPr>
            <w:r>
              <w:rPr>
                <w:rFonts w:hint="cs"/>
                <w:sz w:val="28"/>
                <w:szCs w:val="28"/>
                <w:rtl/>
              </w:rPr>
              <w:t>إمكانية تحقيق عائد</w:t>
            </w:r>
            <w:r>
              <w:rPr>
                <w:rFonts w:hint="cs"/>
                <w:sz w:val="28"/>
                <w:szCs w:val="28"/>
                <w:rtl/>
              </w:rPr>
              <w:t xml:space="preserve"> </w:t>
            </w:r>
            <w:r>
              <w:rPr>
                <w:sz w:val="28"/>
                <w:szCs w:val="28"/>
                <w:rtl/>
              </w:rPr>
              <w:t>–</w:t>
            </w:r>
            <w:r>
              <w:rPr>
                <w:rFonts w:hint="cs"/>
                <w:sz w:val="28"/>
                <w:szCs w:val="28"/>
                <w:rtl/>
              </w:rPr>
              <w:t xml:space="preserve"> "السيناريو الأساسي"</w:t>
            </w:r>
          </w:p>
        </w:tc>
        <w:tc>
          <w:tcPr>
            <w:tcW w:w="1134"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r w:rsidRPr="00D74D10">
              <w:rPr>
                <w:sz w:val="28"/>
                <w:szCs w:val="28"/>
              </w:rPr>
              <w:t>-0.5%</w:t>
            </w:r>
          </w:p>
        </w:tc>
        <w:tc>
          <w:tcPr>
            <w:tcW w:w="1985"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r w:rsidRPr="00D74D10">
              <w:rPr>
                <w:sz w:val="28"/>
                <w:szCs w:val="28"/>
              </w:rPr>
              <w:t>-0.1%</w:t>
            </w:r>
          </w:p>
        </w:tc>
        <w:tc>
          <w:tcPr>
            <w:tcW w:w="2126"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r w:rsidRPr="00D74D10">
              <w:rPr>
                <w:sz w:val="28"/>
                <w:szCs w:val="28"/>
              </w:rPr>
              <w:t>0.4%</w:t>
            </w:r>
          </w:p>
        </w:tc>
        <w:tc>
          <w:tcPr>
            <w:tcW w:w="2268"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r w:rsidRPr="00D74D10">
              <w:rPr>
                <w:sz w:val="28"/>
                <w:szCs w:val="28"/>
              </w:rPr>
              <w:t>3.1%</w:t>
            </w:r>
          </w:p>
        </w:tc>
      </w:tr>
      <w:tr w:rsidR="00D74D10" w:rsidRPr="00D74D10" w:rsidTr="00D74D10">
        <w:trPr>
          <w:jc w:val="center"/>
        </w:trPr>
        <w:tc>
          <w:tcPr>
            <w:tcW w:w="5353" w:type="dxa"/>
            <w:tcBorders>
              <w:top w:val="nil"/>
              <w:left w:val="nil"/>
              <w:bottom w:val="nil"/>
              <w:right w:val="nil"/>
            </w:tcBorders>
            <w:shd w:val="clear" w:color="auto" w:fill="auto"/>
          </w:tcPr>
          <w:p w:rsidR="00D74D10" w:rsidRPr="00D74D10" w:rsidRDefault="00D74D10" w:rsidP="00667739">
            <w:pPr>
              <w:pStyle w:val="NormalParaAR"/>
              <w:spacing w:after="120" w:line="240" w:lineRule="exact"/>
              <w:ind w:left="570"/>
              <w:rPr>
                <w:sz w:val="28"/>
                <w:szCs w:val="28"/>
              </w:rPr>
            </w:pPr>
            <w:r>
              <w:rPr>
                <w:rFonts w:hint="cs"/>
                <w:sz w:val="28"/>
                <w:szCs w:val="28"/>
                <w:rtl/>
              </w:rPr>
              <w:t xml:space="preserve">إمكانية تحقيق عائد </w:t>
            </w:r>
            <w:r>
              <w:rPr>
                <w:sz w:val="28"/>
                <w:szCs w:val="28"/>
                <w:rtl/>
              </w:rPr>
              <w:t>–</w:t>
            </w:r>
            <w:r>
              <w:rPr>
                <w:rFonts w:hint="cs"/>
                <w:sz w:val="28"/>
                <w:szCs w:val="28"/>
                <w:rtl/>
              </w:rPr>
              <w:t xml:space="preserve"> "نمو اقتصادي قوي"</w:t>
            </w:r>
          </w:p>
        </w:tc>
        <w:tc>
          <w:tcPr>
            <w:tcW w:w="1134"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r w:rsidRPr="00D74D10">
              <w:rPr>
                <w:sz w:val="28"/>
                <w:szCs w:val="28"/>
              </w:rPr>
              <w:t>0.2%</w:t>
            </w:r>
          </w:p>
        </w:tc>
        <w:tc>
          <w:tcPr>
            <w:tcW w:w="1985"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r w:rsidRPr="00D74D10">
              <w:rPr>
                <w:sz w:val="28"/>
                <w:szCs w:val="28"/>
              </w:rPr>
              <w:t>-0.1%</w:t>
            </w:r>
          </w:p>
        </w:tc>
        <w:tc>
          <w:tcPr>
            <w:tcW w:w="2126"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r w:rsidRPr="00D74D10">
              <w:rPr>
                <w:sz w:val="28"/>
                <w:szCs w:val="28"/>
              </w:rPr>
              <w:t>0.8%</w:t>
            </w:r>
          </w:p>
        </w:tc>
        <w:tc>
          <w:tcPr>
            <w:tcW w:w="2268"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r w:rsidRPr="00D74D10">
              <w:rPr>
                <w:sz w:val="28"/>
                <w:szCs w:val="28"/>
              </w:rPr>
              <w:t>3.7%</w:t>
            </w:r>
          </w:p>
        </w:tc>
      </w:tr>
      <w:tr w:rsidR="00D74D10" w:rsidRPr="00D74D10" w:rsidTr="00D74D10">
        <w:trPr>
          <w:jc w:val="center"/>
        </w:trPr>
        <w:tc>
          <w:tcPr>
            <w:tcW w:w="5353" w:type="dxa"/>
            <w:tcBorders>
              <w:top w:val="nil"/>
              <w:left w:val="nil"/>
              <w:bottom w:val="nil"/>
              <w:right w:val="nil"/>
            </w:tcBorders>
            <w:shd w:val="clear" w:color="auto" w:fill="auto"/>
          </w:tcPr>
          <w:p w:rsidR="00D74D10" w:rsidRPr="00D74D10" w:rsidRDefault="00D74D10" w:rsidP="00667739">
            <w:pPr>
              <w:pStyle w:val="NormalParaAR"/>
              <w:spacing w:after="120" w:line="240" w:lineRule="exact"/>
              <w:ind w:left="570"/>
              <w:rPr>
                <w:sz w:val="28"/>
                <w:szCs w:val="28"/>
              </w:rPr>
            </w:pPr>
            <w:r>
              <w:rPr>
                <w:rFonts w:hint="cs"/>
                <w:sz w:val="28"/>
                <w:szCs w:val="28"/>
                <w:rtl/>
              </w:rPr>
              <w:t xml:space="preserve">إمكانية تحقيق عائد </w:t>
            </w:r>
            <w:r>
              <w:rPr>
                <w:sz w:val="28"/>
                <w:szCs w:val="28"/>
                <w:rtl/>
              </w:rPr>
              <w:t>–</w:t>
            </w:r>
            <w:r>
              <w:rPr>
                <w:rFonts w:hint="cs"/>
                <w:sz w:val="28"/>
                <w:szCs w:val="28"/>
                <w:rtl/>
              </w:rPr>
              <w:t xml:space="preserve"> "نمو اقتصادي </w:t>
            </w:r>
            <w:r>
              <w:rPr>
                <w:rFonts w:hint="cs"/>
                <w:sz w:val="28"/>
                <w:szCs w:val="28"/>
                <w:rtl/>
              </w:rPr>
              <w:t>ضعيف</w:t>
            </w:r>
            <w:r>
              <w:rPr>
                <w:rFonts w:hint="cs"/>
                <w:sz w:val="28"/>
                <w:szCs w:val="28"/>
                <w:rtl/>
              </w:rPr>
              <w:t>"</w:t>
            </w:r>
          </w:p>
        </w:tc>
        <w:tc>
          <w:tcPr>
            <w:tcW w:w="1134"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r w:rsidRPr="00D74D10">
              <w:rPr>
                <w:sz w:val="28"/>
                <w:szCs w:val="28"/>
              </w:rPr>
              <w:t>-0.6%</w:t>
            </w:r>
          </w:p>
        </w:tc>
        <w:tc>
          <w:tcPr>
            <w:tcW w:w="1985"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r w:rsidRPr="00D74D10">
              <w:rPr>
                <w:sz w:val="28"/>
                <w:szCs w:val="28"/>
              </w:rPr>
              <w:t>0.1%</w:t>
            </w:r>
          </w:p>
        </w:tc>
        <w:tc>
          <w:tcPr>
            <w:tcW w:w="2126"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r w:rsidRPr="00D74D10">
              <w:rPr>
                <w:sz w:val="28"/>
                <w:szCs w:val="28"/>
              </w:rPr>
              <w:t>0.5%</w:t>
            </w:r>
          </w:p>
        </w:tc>
        <w:tc>
          <w:tcPr>
            <w:tcW w:w="2268"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r w:rsidRPr="00D74D10">
              <w:rPr>
                <w:sz w:val="28"/>
                <w:szCs w:val="28"/>
              </w:rPr>
              <w:t>2.2%</w:t>
            </w:r>
          </w:p>
        </w:tc>
      </w:tr>
      <w:tr w:rsidR="00D74D10" w:rsidRPr="00D74D10" w:rsidTr="00D74D10">
        <w:trPr>
          <w:jc w:val="center"/>
        </w:trPr>
        <w:tc>
          <w:tcPr>
            <w:tcW w:w="5353" w:type="dxa"/>
            <w:tcBorders>
              <w:top w:val="nil"/>
              <w:left w:val="nil"/>
              <w:bottom w:val="nil"/>
              <w:right w:val="nil"/>
            </w:tcBorders>
            <w:shd w:val="clear" w:color="auto" w:fill="auto"/>
          </w:tcPr>
          <w:p w:rsidR="00D74D10" w:rsidRPr="00B636CE" w:rsidRDefault="00B636CE" w:rsidP="00667739">
            <w:pPr>
              <w:pStyle w:val="NormalParaAR"/>
              <w:spacing w:after="120" w:line="240" w:lineRule="exact"/>
              <w:rPr>
                <w:bCs/>
                <w:sz w:val="28"/>
                <w:szCs w:val="28"/>
              </w:rPr>
            </w:pPr>
            <w:r w:rsidRPr="00B636CE">
              <w:rPr>
                <w:rFonts w:hint="cs"/>
                <w:bCs/>
                <w:sz w:val="28"/>
                <w:szCs w:val="28"/>
                <w:rtl/>
              </w:rPr>
              <w:t>السيناريوهات الطويلة الأجل</w:t>
            </w:r>
          </w:p>
        </w:tc>
        <w:tc>
          <w:tcPr>
            <w:tcW w:w="1134"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b/>
                <w:sz w:val="28"/>
                <w:szCs w:val="28"/>
              </w:rPr>
            </w:pPr>
          </w:p>
        </w:tc>
        <w:tc>
          <w:tcPr>
            <w:tcW w:w="1985"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b/>
                <w:sz w:val="28"/>
                <w:szCs w:val="28"/>
              </w:rPr>
            </w:pPr>
          </w:p>
        </w:tc>
        <w:tc>
          <w:tcPr>
            <w:tcW w:w="2126"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b/>
                <w:sz w:val="28"/>
                <w:szCs w:val="28"/>
              </w:rPr>
            </w:pPr>
          </w:p>
        </w:tc>
        <w:tc>
          <w:tcPr>
            <w:tcW w:w="2268"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b/>
                <w:sz w:val="28"/>
                <w:szCs w:val="28"/>
              </w:rPr>
            </w:pPr>
          </w:p>
        </w:tc>
      </w:tr>
      <w:tr w:rsidR="00D74D10" w:rsidRPr="00D74D10" w:rsidTr="00D74D10">
        <w:trPr>
          <w:jc w:val="center"/>
        </w:trPr>
        <w:tc>
          <w:tcPr>
            <w:tcW w:w="5353" w:type="dxa"/>
            <w:tcBorders>
              <w:top w:val="nil"/>
              <w:left w:val="nil"/>
              <w:bottom w:val="nil"/>
              <w:right w:val="nil"/>
            </w:tcBorders>
            <w:shd w:val="clear" w:color="auto" w:fill="auto"/>
          </w:tcPr>
          <w:p w:rsidR="00D74D10" w:rsidRPr="00B636CE" w:rsidRDefault="00B636CE" w:rsidP="00667739">
            <w:pPr>
              <w:pStyle w:val="NormalParaAR"/>
              <w:spacing w:after="120" w:line="240" w:lineRule="exact"/>
              <w:ind w:left="570"/>
              <w:rPr>
                <w:bCs/>
                <w:sz w:val="28"/>
                <w:szCs w:val="28"/>
              </w:rPr>
            </w:pPr>
            <w:r w:rsidRPr="00B636CE">
              <w:rPr>
                <w:rFonts w:hint="cs"/>
                <w:bCs/>
                <w:sz w:val="28"/>
                <w:szCs w:val="28"/>
                <w:rtl/>
              </w:rPr>
              <w:t>العائد المتوقّع</w:t>
            </w:r>
          </w:p>
        </w:tc>
        <w:tc>
          <w:tcPr>
            <w:tcW w:w="1134"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b/>
                <w:sz w:val="28"/>
                <w:szCs w:val="28"/>
              </w:rPr>
            </w:pPr>
            <w:r w:rsidRPr="00D74D10">
              <w:rPr>
                <w:b/>
                <w:sz w:val="28"/>
                <w:szCs w:val="28"/>
              </w:rPr>
              <w:t>-0.5%</w:t>
            </w:r>
          </w:p>
        </w:tc>
        <w:tc>
          <w:tcPr>
            <w:tcW w:w="1985"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b/>
                <w:sz w:val="28"/>
                <w:szCs w:val="28"/>
              </w:rPr>
            </w:pPr>
            <w:r w:rsidRPr="00D74D10">
              <w:rPr>
                <w:b/>
                <w:sz w:val="28"/>
                <w:szCs w:val="28"/>
              </w:rPr>
              <w:t>-0.3%</w:t>
            </w:r>
          </w:p>
        </w:tc>
        <w:tc>
          <w:tcPr>
            <w:tcW w:w="2126"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b/>
                <w:sz w:val="28"/>
                <w:szCs w:val="28"/>
              </w:rPr>
            </w:pPr>
            <w:r w:rsidRPr="00D74D10">
              <w:rPr>
                <w:b/>
                <w:sz w:val="28"/>
                <w:szCs w:val="28"/>
              </w:rPr>
              <w:t>0.3%</w:t>
            </w:r>
          </w:p>
        </w:tc>
        <w:tc>
          <w:tcPr>
            <w:tcW w:w="2268"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b/>
                <w:sz w:val="28"/>
                <w:szCs w:val="28"/>
              </w:rPr>
            </w:pPr>
            <w:r w:rsidRPr="00D74D10">
              <w:rPr>
                <w:b/>
                <w:sz w:val="28"/>
                <w:szCs w:val="28"/>
              </w:rPr>
              <w:t>2.3%</w:t>
            </w:r>
          </w:p>
        </w:tc>
      </w:tr>
      <w:tr w:rsidR="00D74D10" w:rsidRPr="00D74D10" w:rsidTr="00D74D10">
        <w:trPr>
          <w:jc w:val="center"/>
        </w:trPr>
        <w:tc>
          <w:tcPr>
            <w:tcW w:w="5353" w:type="dxa"/>
            <w:tcBorders>
              <w:top w:val="nil"/>
              <w:left w:val="nil"/>
              <w:bottom w:val="nil"/>
              <w:right w:val="nil"/>
            </w:tcBorders>
            <w:shd w:val="clear" w:color="auto" w:fill="auto"/>
          </w:tcPr>
          <w:p w:rsidR="00D74D10" w:rsidRPr="00D74D10" w:rsidRDefault="00B636CE" w:rsidP="004526B9">
            <w:pPr>
              <w:pStyle w:val="NormalParaAR"/>
              <w:spacing w:after="120" w:line="240" w:lineRule="exact"/>
              <w:ind w:left="570"/>
              <w:rPr>
                <w:sz w:val="28"/>
                <w:szCs w:val="28"/>
              </w:rPr>
            </w:pPr>
            <w:r>
              <w:rPr>
                <w:rFonts w:hint="cs"/>
                <w:sz w:val="28"/>
                <w:szCs w:val="28"/>
                <w:rtl/>
              </w:rPr>
              <w:t xml:space="preserve">العائدات </w:t>
            </w:r>
            <w:r w:rsidR="004526B9">
              <w:rPr>
                <w:rFonts w:hint="cs"/>
                <w:sz w:val="28"/>
                <w:szCs w:val="28"/>
                <w:rtl/>
              </w:rPr>
              <w:t>التاريخية</w:t>
            </w:r>
            <w:r>
              <w:rPr>
                <w:rFonts w:hint="cs"/>
                <w:sz w:val="28"/>
                <w:szCs w:val="28"/>
                <w:rtl/>
              </w:rPr>
              <w:t xml:space="preserve"> (يناير 2005 </w:t>
            </w:r>
            <w:r>
              <w:rPr>
                <w:sz w:val="28"/>
                <w:szCs w:val="28"/>
                <w:rtl/>
              </w:rPr>
              <w:t>–</w:t>
            </w:r>
            <w:r>
              <w:rPr>
                <w:rFonts w:hint="cs"/>
                <w:sz w:val="28"/>
                <w:szCs w:val="28"/>
                <w:rtl/>
              </w:rPr>
              <w:t xml:space="preserve"> ديسمبر 2014)</w:t>
            </w:r>
          </w:p>
        </w:tc>
        <w:tc>
          <w:tcPr>
            <w:tcW w:w="1134"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r w:rsidRPr="00D74D10">
              <w:rPr>
                <w:sz w:val="28"/>
                <w:szCs w:val="28"/>
              </w:rPr>
              <w:t>0.8%</w:t>
            </w:r>
          </w:p>
        </w:tc>
        <w:tc>
          <w:tcPr>
            <w:tcW w:w="1985"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r w:rsidRPr="00D74D10">
              <w:rPr>
                <w:sz w:val="28"/>
                <w:szCs w:val="28"/>
              </w:rPr>
              <w:t>1.9%</w:t>
            </w:r>
          </w:p>
        </w:tc>
        <w:tc>
          <w:tcPr>
            <w:tcW w:w="2126"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r w:rsidRPr="00D74D10">
              <w:rPr>
                <w:sz w:val="28"/>
                <w:szCs w:val="28"/>
              </w:rPr>
              <w:t>2.0%</w:t>
            </w:r>
          </w:p>
        </w:tc>
        <w:tc>
          <w:tcPr>
            <w:tcW w:w="2268" w:type="dxa"/>
            <w:tcBorders>
              <w:top w:val="nil"/>
              <w:left w:val="nil"/>
              <w:bottom w:val="nil"/>
              <w:right w:val="nil"/>
            </w:tcBorders>
            <w:shd w:val="clear" w:color="auto" w:fill="auto"/>
            <w:vAlign w:val="bottom"/>
          </w:tcPr>
          <w:p w:rsidR="00D74D10" w:rsidRPr="00D74D10" w:rsidRDefault="00D74D10" w:rsidP="00667739">
            <w:pPr>
              <w:pStyle w:val="NormalParaAR"/>
              <w:spacing w:after="120" w:line="240" w:lineRule="exact"/>
              <w:rPr>
                <w:sz w:val="28"/>
                <w:szCs w:val="28"/>
              </w:rPr>
            </w:pPr>
            <w:r w:rsidRPr="00D74D10">
              <w:rPr>
                <w:sz w:val="28"/>
                <w:szCs w:val="28"/>
              </w:rPr>
              <w:t>4.1%</w:t>
            </w:r>
          </w:p>
        </w:tc>
      </w:tr>
      <w:tr w:rsidR="00D74D10" w:rsidRPr="00D74D10" w:rsidTr="00D74D10">
        <w:trPr>
          <w:trHeight w:val="311"/>
          <w:jc w:val="center"/>
        </w:trPr>
        <w:tc>
          <w:tcPr>
            <w:tcW w:w="5353" w:type="dxa"/>
            <w:tcBorders>
              <w:top w:val="nil"/>
              <w:left w:val="nil"/>
              <w:bottom w:val="nil"/>
              <w:right w:val="nil"/>
            </w:tcBorders>
            <w:shd w:val="pct10" w:color="auto" w:fill="auto"/>
          </w:tcPr>
          <w:p w:rsidR="00D74D10" w:rsidRPr="00B636CE" w:rsidRDefault="00B636CE" w:rsidP="00667739">
            <w:pPr>
              <w:pStyle w:val="NormalParaAR"/>
              <w:spacing w:after="120" w:line="240" w:lineRule="exact"/>
              <w:rPr>
                <w:bCs/>
                <w:sz w:val="28"/>
                <w:szCs w:val="28"/>
              </w:rPr>
            </w:pPr>
            <w:r w:rsidRPr="00B636CE">
              <w:rPr>
                <w:rFonts w:hint="cs"/>
                <w:bCs/>
                <w:sz w:val="28"/>
                <w:szCs w:val="28"/>
                <w:rtl/>
              </w:rPr>
              <w:t xml:space="preserve">المخاطرة (التقلبات السنوية) (يناير 2005 </w:t>
            </w:r>
            <w:r w:rsidRPr="00B636CE">
              <w:rPr>
                <w:bCs/>
                <w:sz w:val="28"/>
                <w:szCs w:val="28"/>
                <w:rtl/>
              </w:rPr>
              <w:t>–</w:t>
            </w:r>
            <w:r w:rsidRPr="00B636CE">
              <w:rPr>
                <w:rFonts w:hint="cs"/>
                <w:bCs/>
                <w:sz w:val="28"/>
                <w:szCs w:val="28"/>
                <w:rtl/>
              </w:rPr>
              <w:t xml:space="preserve"> ديسمبر 2014)</w:t>
            </w:r>
          </w:p>
        </w:tc>
        <w:tc>
          <w:tcPr>
            <w:tcW w:w="1134" w:type="dxa"/>
            <w:tcBorders>
              <w:top w:val="nil"/>
              <w:left w:val="nil"/>
              <w:bottom w:val="nil"/>
              <w:right w:val="nil"/>
            </w:tcBorders>
            <w:shd w:val="pct10" w:color="auto" w:fill="auto"/>
          </w:tcPr>
          <w:p w:rsidR="00D74D10" w:rsidRPr="00D74D10" w:rsidRDefault="00D74D10" w:rsidP="00667739">
            <w:pPr>
              <w:pStyle w:val="NormalParaAR"/>
              <w:spacing w:after="120" w:line="240" w:lineRule="exact"/>
              <w:rPr>
                <w:b/>
                <w:sz w:val="28"/>
                <w:szCs w:val="28"/>
              </w:rPr>
            </w:pPr>
            <w:r w:rsidRPr="00D74D10">
              <w:rPr>
                <w:b/>
                <w:sz w:val="28"/>
                <w:szCs w:val="28"/>
              </w:rPr>
              <w:t>0.3%</w:t>
            </w:r>
          </w:p>
        </w:tc>
        <w:tc>
          <w:tcPr>
            <w:tcW w:w="1985" w:type="dxa"/>
            <w:tcBorders>
              <w:top w:val="nil"/>
              <w:left w:val="nil"/>
              <w:bottom w:val="nil"/>
              <w:right w:val="nil"/>
            </w:tcBorders>
            <w:shd w:val="pct10" w:color="auto" w:fill="auto"/>
          </w:tcPr>
          <w:p w:rsidR="00D74D10" w:rsidRPr="00D74D10" w:rsidRDefault="00D74D10" w:rsidP="00667739">
            <w:pPr>
              <w:pStyle w:val="NormalParaAR"/>
              <w:spacing w:after="120" w:line="240" w:lineRule="exact"/>
              <w:rPr>
                <w:b/>
                <w:sz w:val="28"/>
                <w:szCs w:val="28"/>
              </w:rPr>
            </w:pPr>
            <w:r w:rsidRPr="00D74D10">
              <w:rPr>
                <w:b/>
                <w:sz w:val="28"/>
                <w:szCs w:val="28"/>
              </w:rPr>
              <w:t>1.2%</w:t>
            </w:r>
          </w:p>
        </w:tc>
        <w:tc>
          <w:tcPr>
            <w:tcW w:w="2126" w:type="dxa"/>
            <w:tcBorders>
              <w:top w:val="nil"/>
              <w:left w:val="nil"/>
              <w:bottom w:val="nil"/>
              <w:right w:val="nil"/>
            </w:tcBorders>
            <w:shd w:val="pct10" w:color="auto" w:fill="auto"/>
          </w:tcPr>
          <w:p w:rsidR="00D74D10" w:rsidRPr="00D74D10" w:rsidRDefault="00D74D10" w:rsidP="00667739">
            <w:pPr>
              <w:pStyle w:val="NormalParaAR"/>
              <w:spacing w:after="120" w:line="240" w:lineRule="exact"/>
              <w:rPr>
                <w:b/>
                <w:sz w:val="28"/>
                <w:szCs w:val="28"/>
              </w:rPr>
            </w:pPr>
            <w:r w:rsidRPr="00D74D10">
              <w:rPr>
                <w:b/>
                <w:sz w:val="28"/>
                <w:szCs w:val="28"/>
              </w:rPr>
              <w:t>1.6%</w:t>
            </w:r>
          </w:p>
        </w:tc>
        <w:tc>
          <w:tcPr>
            <w:tcW w:w="2268" w:type="dxa"/>
            <w:tcBorders>
              <w:top w:val="nil"/>
              <w:left w:val="nil"/>
              <w:bottom w:val="nil"/>
              <w:right w:val="nil"/>
            </w:tcBorders>
            <w:shd w:val="pct10" w:color="auto" w:fill="auto"/>
          </w:tcPr>
          <w:p w:rsidR="00D74D10" w:rsidRPr="00D74D10" w:rsidRDefault="00D74D10" w:rsidP="00667739">
            <w:pPr>
              <w:pStyle w:val="NormalParaAR"/>
              <w:spacing w:after="120" w:line="240" w:lineRule="exact"/>
              <w:rPr>
                <w:b/>
                <w:sz w:val="28"/>
                <w:szCs w:val="28"/>
              </w:rPr>
            </w:pPr>
            <w:r w:rsidRPr="00D74D10">
              <w:rPr>
                <w:b/>
                <w:sz w:val="28"/>
                <w:szCs w:val="28"/>
              </w:rPr>
              <w:t>4.5%</w:t>
            </w:r>
          </w:p>
        </w:tc>
      </w:tr>
    </w:tbl>
    <w:p w:rsidR="00403969" w:rsidRPr="00403969" w:rsidRDefault="00403969" w:rsidP="00403969">
      <w:pPr>
        <w:pStyle w:val="NumberedParaAR"/>
        <w:numPr>
          <w:ilvl w:val="0"/>
          <w:numId w:val="0"/>
        </w:numPr>
        <w:rPr>
          <w:lang w:val="fr-CH"/>
        </w:rPr>
      </w:pPr>
    </w:p>
    <w:tbl>
      <w:tblPr>
        <w:tblStyle w:val="TableGrid"/>
        <w:bidiVisual/>
        <w:tblW w:w="0" w:type="auto"/>
        <w:jc w:val="center"/>
        <w:tblLayout w:type="fixed"/>
        <w:tblLook w:val="04A0" w:firstRow="1" w:lastRow="0" w:firstColumn="1" w:lastColumn="0" w:noHBand="0" w:noVBand="1"/>
      </w:tblPr>
      <w:tblGrid>
        <w:gridCol w:w="6487"/>
        <w:gridCol w:w="1985"/>
        <w:gridCol w:w="2126"/>
        <w:gridCol w:w="2268"/>
      </w:tblGrid>
      <w:tr w:rsidR="00403969" w:rsidRPr="005567A0" w:rsidTr="00403969">
        <w:trPr>
          <w:trHeight w:val="336"/>
          <w:jc w:val="center"/>
        </w:trPr>
        <w:tc>
          <w:tcPr>
            <w:tcW w:w="6487" w:type="dxa"/>
            <w:tcBorders>
              <w:top w:val="nil"/>
              <w:left w:val="nil"/>
              <w:bottom w:val="nil"/>
              <w:right w:val="nil"/>
            </w:tcBorders>
            <w:shd w:val="pct10" w:color="auto" w:fill="auto"/>
          </w:tcPr>
          <w:p w:rsidR="00403969" w:rsidRPr="005567A0" w:rsidRDefault="00403969" w:rsidP="00667739">
            <w:pPr>
              <w:pStyle w:val="ONUME"/>
              <w:bidi/>
              <w:spacing w:after="120" w:line="240" w:lineRule="exact"/>
              <w:jc w:val="center"/>
              <w:rPr>
                <w:rFonts w:ascii="Arabic Typesetting" w:hAnsi="Arabic Typesetting" w:cs="Arabic Typesetting"/>
                <w:bCs/>
                <w:sz w:val="28"/>
                <w:szCs w:val="28"/>
              </w:rPr>
            </w:pPr>
          </w:p>
        </w:tc>
        <w:tc>
          <w:tcPr>
            <w:tcW w:w="1985" w:type="dxa"/>
            <w:tcBorders>
              <w:top w:val="nil"/>
              <w:left w:val="nil"/>
              <w:bottom w:val="nil"/>
              <w:right w:val="nil"/>
            </w:tcBorders>
            <w:shd w:val="pct10" w:color="auto" w:fill="auto"/>
          </w:tcPr>
          <w:p w:rsidR="00403969" w:rsidRPr="005567A0" w:rsidRDefault="005567A0" w:rsidP="00667739">
            <w:pPr>
              <w:pStyle w:val="ONUME"/>
              <w:bidi/>
              <w:spacing w:after="120" w:line="240" w:lineRule="exact"/>
              <w:rPr>
                <w:rFonts w:ascii="Arabic Typesetting" w:hAnsi="Arabic Typesetting" w:cs="Arabic Typesetting"/>
                <w:bCs/>
                <w:sz w:val="28"/>
                <w:szCs w:val="28"/>
              </w:rPr>
            </w:pPr>
            <w:r w:rsidRPr="005567A0">
              <w:rPr>
                <w:rFonts w:ascii="Arabic Typesetting" w:hAnsi="Arabic Typesetting" w:cs="Arabic Typesetting" w:hint="cs"/>
                <w:bCs/>
                <w:sz w:val="28"/>
                <w:szCs w:val="28"/>
                <w:rtl/>
              </w:rPr>
              <w:t>الاستراتيجية ألف</w:t>
            </w:r>
          </w:p>
        </w:tc>
        <w:tc>
          <w:tcPr>
            <w:tcW w:w="2126" w:type="dxa"/>
            <w:tcBorders>
              <w:top w:val="nil"/>
              <w:left w:val="nil"/>
              <w:bottom w:val="nil"/>
              <w:right w:val="nil"/>
            </w:tcBorders>
            <w:shd w:val="pct10" w:color="auto" w:fill="auto"/>
          </w:tcPr>
          <w:p w:rsidR="00403969" w:rsidRPr="005567A0" w:rsidRDefault="005567A0" w:rsidP="00667739">
            <w:pPr>
              <w:pStyle w:val="ONUME"/>
              <w:bidi/>
              <w:spacing w:after="120" w:line="240" w:lineRule="exact"/>
              <w:rPr>
                <w:rFonts w:ascii="Arabic Typesetting" w:hAnsi="Arabic Typesetting" w:cs="Arabic Typesetting"/>
                <w:bCs/>
                <w:sz w:val="28"/>
                <w:szCs w:val="28"/>
              </w:rPr>
            </w:pPr>
            <w:r w:rsidRPr="005567A0">
              <w:rPr>
                <w:rFonts w:ascii="Arabic Typesetting" w:hAnsi="Arabic Typesetting" w:cs="Arabic Typesetting" w:hint="cs"/>
                <w:bCs/>
                <w:sz w:val="28"/>
                <w:szCs w:val="28"/>
                <w:rtl/>
              </w:rPr>
              <w:t>الاستراتيجية باء</w:t>
            </w:r>
          </w:p>
        </w:tc>
        <w:tc>
          <w:tcPr>
            <w:tcW w:w="2268" w:type="dxa"/>
            <w:tcBorders>
              <w:top w:val="nil"/>
              <w:left w:val="nil"/>
              <w:bottom w:val="nil"/>
              <w:right w:val="nil"/>
            </w:tcBorders>
            <w:shd w:val="pct10" w:color="auto" w:fill="auto"/>
          </w:tcPr>
          <w:p w:rsidR="00403969" w:rsidRPr="005567A0" w:rsidRDefault="005567A0" w:rsidP="00667739">
            <w:pPr>
              <w:pStyle w:val="ONUME"/>
              <w:bidi/>
              <w:spacing w:after="120" w:line="240" w:lineRule="exact"/>
              <w:rPr>
                <w:rFonts w:ascii="Arabic Typesetting" w:hAnsi="Arabic Typesetting" w:cs="Arabic Typesetting"/>
                <w:bCs/>
                <w:sz w:val="28"/>
                <w:szCs w:val="28"/>
              </w:rPr>
            </w:pPr>
            <w:r w:rsidRPr="005567A0">
              <w:rPr>
                <w:rFonts w:ascii="Arabic Typesetting" w:hAnsi="Arabic Typesetting" w:cs="Arabic Typesetting" w:hint="cs"/>
                <w:bCs/>
                <w:sz w:val="28"/>
                <w:szCs w:val="28"/>
                <w:rtl/>
              </w:rPr>
              <w:t>الاستراتيجية جيم</w:t>
            </w:r>
          </w:p>
        </w:tc>
      </w:tr>
      <w:tr w:rsidR="00403969" w:rsidRPr="00403969" w:rsidTr="00403969">
        <w:trPr>
          <w:trHeight w:val="172"/>
          <w:jc w:val="center"/>
        </w:trPr>
        <w:tc>
          <w:tcPr>
            <w:tcW w:w="6487" w:type="dxa"/>
            <w:tcBorders>
              <w:top w:val="nil"/>
              <w:left w:val="nil"/>
              <w:bottom w:val="nil"/>
              <w:right w:val="nil"/>
            </w:tcBorders>
            <w:shd w:val="clear" w:color="auto" w:fill="auto"/>
          </w:tcPr>
          <w:p w:rsidR="00403969" w:rsidRPr="00403969" w:rsidRDefault="005567A0" w:rsidP="00667739">
            <w:pPr>
              <w:pStyle w:val="ONUME"/>
              <w:bidi/>
              <w:spacing w:after="120" w:line="240" w:lineRule="exact"/>
              <w:rPr>
                <w:rFonts w:ascii="Arabic Typesetting" w:hAnsi="Arabic Typesetting" w:cs="Arabic Typesetting"/>
                <w:sz w:val="28"/>
                <w:szCs w:val="28"/>
              </w:rPr>
            </w:pPr>
            <w:r>
              <w:rPr>
                <w:rFonts w:ascii="Arabic Typesetting" w:hAnsi="Arabic Typesetting" w:cs="Arabic Typesetting" w:hint="cs"/>
                <w:sz w:val="28"/>
                <w:szCs w:val="28"/>
                <w:rtl/>
              </w:rPr>
              <w:t>أفضل سنة تقويمية</w:t>
            </w:r>
          </w:p>
        </w:tc>
        <w:tc>
          <w:tcPr>
            <w:tcW w:w="1985"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3.4%</w:t>
            </w:r>
          </w:p>
        </w:tc>
        <w:tc>
          <w:tcPr>
            <w:tcW w:w="2126"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5.7%</w:t>
            </w:r>
          </w:p>
        </w:tc>
        <w:tc>
          <w:tcPr>
            <w:tcW w:w="2268"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15.0%</w:t>
            </w:r>
          </w:p>
        </w:tc>
      </w:tr>
      <w:tr w:rsidR="00403969" w:rsidRPr="00403969" w:rsidTr="00403969">
        <w:trPr>
          <w:jc w:val="center"/>
        </w:trPr>
        <w:tc>
          <w:tcPr>
            <w:tcW w:w="6487" w:type="dxa"/>
            <w:tcBorders>
              <w:top w:val="nil"/>
              <w:left w:val="nil"/>
              <w:bottom w:val="nil"/>
              <w:right w:val="nil"/>
            </w:tcBorders>
            <w:shd w:val="clear" w:color="auto" w:fill="auto"/>
          </w:tcPr>
          <w:p w:rsidR="00403969" w:rsidRPr="00403969" w:rsidRDefault="005567A0" w:rsidP="00667739">
            <w:pPr>
              <w:pStyle w:val="ONUME"/>
              <w:bidi/>
              <w:spacing w:after="120" w:line="240" w:lineRule="exact"/>
              <w:rPr>
                <w:rFonts w:ascii="Arabic Typesetting" w:hAnsi="Arabic Typesetting" w:cs="Arabic Typesetting"/>
                <w:sz w:val="28"/>
                <w:szCs w:val="28"/>
              </w:rPr>
            </w:pPr>
            <w:r>
              <w:rPr>
                <w:rFonts w:ascii="Arabic Typesetting" w:hAnsi="Arabic Typesetting" w:cs="Arabic Typesetting" w:hint="cs"/>
                <w:sz w:val="28"/>
                <w:szCs w:val="28"/>
                <w:rtl/>
              </w:rPr>
              <w:t>المتوسط</w:t>
            </w:r>
          </w:p>
        </w:tc>
        <w:tc>
          <w:tcPr>
            <w:tcW w:w="1985"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1.9%</w:t>
            </w:r>
          </w:p>
        </w:tc>
        <w:tc>
          <w:tcPr>
            <w:tcW w:w="2126"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2.0%</w:t>
            </w:r>
          </w:p>
        </w:tc>
        <w:tc>
          <w:tcPr>
            <w:tcW w:w="2268"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4.1%</w:t>
            </w:r>
          </w:p>
        </w:tc>
      </w:tr>
      <w:tr w:rsidR="00403969" w:rsidRPr="00403969" w:rsidTr="00403969">
        <w:trPr>
          <w:jc w:val="center"/>
        </w:trPr>
        <w:tc>
          <w:tcPr>
            <w:tcW w:w="6487" w:type="dxa"/>
            <w:tcBorders>
              <w:top w:val="nil"/>
              <w:left w:val="nil"/>
              <w:bottom w:val="nil"/>
              <w:right w:val="nil"/>
            </w:tcBorders>
            <w:shd w:val="clear" w:color="auto" w:fill="auto"/>
          </w:tcPr>
          <w:p w:rsidR="00403969" w:rsidRPr="00403969" w:rsidRDefault="005567A0" w:rsidP="00667739">
            <w:pPr>
              <w:pStyle w:val="ONUME"/>
              <w:bidi/>
              <w:spacing w:after="120" w:line="240" w:lineRule="exact"/>
              <w:rPr>
                <w:rFonts w:ascii="Arabic Typesetting" w:hAnsi="Arabic Typesetting" w:cs="Arabic Typesetting"/>
                <w:sz w:val="28"/>
                <w:szCs w:val="28"/>
              </w:rPr>
            </w:pPr>
            <w:r>
              <w:rPr>
                <w:rFonts w:ascii="Arabic Typesetting" w:hAnsi="Arabic Typesetting" w:cs="Arabic Typesetting" w:hint="cs"/>
                <w:sz w:val="28"/>
                <w:szCs w:val="28"/>
                <w:rtl/>
              </w:rPr>
              <w:t>أسوأ سنة تقويمية</w:t>
            </w:r>
          </w:p>
        </w:tc>
        <w:tc>
          <w:tcPr>
            <w:tcW w:w="1985"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0.1%</w:t>
            </w:r>
          </w:p>
        </w:tc>
        <w:tc>
          <w:tcPr>
            <w:tcW w:w="2126"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-0.1%</w:t>
            </w:r>
          </w:p>
        </w:tc>
        <w:tc>
          <w:tcPr>
            <w:tcW w:w="2268"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-13.1%</w:t>
            </w:r>
          </w:p>
        </w:tc>
      </w:tr>
      <w:tr w:rsidR="00403969" w:rsidRPr="00403969" w:rsidTr="00403969">
        <w:trPr>
          <w:trHeight w:val="376"/>
          <w:jc w:val="center"/>
        </w:trPr>
        <w:tc>
          <w:tcPr>
            <w:tcW w:w="6487" w:type="dxa"/>
            <w:tcBorders>
              <w:top w:val="nil"/>
              <w:left w:val="nil"/>
              <w:bottom w:val="nil"/>
              <w:right w:val="nil"/>
            </w:tcBorders>
            <w:shd w:val="clear" w:color="auto" w:fill="auto"/>
          </w:tcPr>
          <w:p w:rsidR="00403969" w:rsidRPr="00403969" w:rsidRDefault="005567A0" w:rsidP="00667739">
            <w:pPr>
              <w:pStyle w:val="ONUME"/>
              <w:bidi/>
              <w:spacing w:after="120" w:line="240" w:lineRule="exact"/>
              <w:rPr>
                <w:rFonts w:ascii="Arabic Typesetting" w:hAnsi="Arabic Typesetting" w:cs="Arabic Typesetting"/>
                <w:sz w:val="28"/>
                <w:szCs w:val="28"/>
              </w:rPr>
            </w:pPr>
            <w:r>
              <w:rPr>
                <w:rFonts w:ascii="Arabic Typesetting" w:hAnsi="Arabic Typesetting" w:cs="Arabic Typesetting" w:hint="cs"/>
                <w:sz w:val="28"/>
                <w:szCs w:val="28"/>
                <w:rtl/>
              </w:rPr>
              <w:t>أفضل عائد على مدى 12 شهرا</w:t>
            </w:r>
          </w:p>
        </w:tc>
        <w:tc>
          <w:tcPr>
            <w:tcW w:w="1985"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5.6%</w:t>
            </w:r>
          </w:p>
        </w:tc>
        <w:tc>
          <w:tcPr>
            <w:tcW w:w="2126"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8.1%</w:t>
            </w:r>
          </w:p>
        </w:tc>
        <w:tc>
          <w:tcPr>
            <w:tcW w:w="2268"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19.9%</w:t>
            </w:r>
          </w:p>
        </w:tc>
      </w:tr>
      <w:tr w:rsidR="00403969" w:rsidRPr="00403969" w:rsidTr="00403969">
        <w:trPr>
          <w:trHeight w:val="339"/>
          <w:jc w:val="center"/>
        </w:trPr>
        <w:tc>
          <w:tcPr>
            <w:tcW w:w="6487" w:type="dxa"/>
            <w:tcBorders>
              <w:top w:val="nil"/>
              <w:left w:val="nil"/>
              <w:bottom w:val="nil"/>
              <w:right w:val="nil"/>
            </w:tcBorders>
            <w:shd w:val="clear" w:color="auto" w:fill="auto"/>
          </w:tcPr>
          <w:p w:rsidR="00403969" w:rsidRPr="00403969" w:rsidRDefault="00667739" w:rsidP="00667739">
            <w:pPr>
              <w:pStyle w:val="ONUME"/>
              <w:bidi/>
              <w:spacing w:after="120" w:line="240" w:lineRule="exact"/>
              <w:rPr>
                <w:rFonts w:ascii="Arabic Typesetting" w:hAnsi="Arabic Typesetting" w:cs="Arabic Typesetting"/>
                <w:sz w:val="28"/>
                <w:szCs w:val="28"/>
              </w:rPr>
            </w:pPr>
            <w:r>
              <w:rPr>
                <w:rFonts w:ascii="Arabic Typesetting" w:hAnsi="Arabic Typesetting" w:cs="Arabic Typesetting" w:hint="cs"/>
                <w:sz w:val="28"/>
                <w:szCs w:val="28"/>
                <w:rtl/>
              </w:rPr>
              <w:t>أسوأ</w:t>
            </w:r>
            <w:r>
              <w:rPr>
                <w:rFonts w:ascii="Arabic Typesetting" w:hAnsi="Arabic Typesetting" w:cs="Arabic Typesetting" w:hint="cs"/>
                <w:sz w:val="28"/>
                <w:szCs w:val="28"/>
                <w:rtl/>
              </w:rPr>
              <w:t xml:space="preserve"> عائد على مدى 12 شهرا</w:t>
            </w:r>
          </w:p>
        </w:tc>
        <w:tc>
          <w:tcPr>
            <w:tcW w:w="1985"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-1.0%</w:t>
            </w:r>
          </w:p>
        </w:tc>
        <w:tc>
          <w:tcPr>
            <w:tcW w:w="2126"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-1.6%</w:t>
            </w:r>
          </w:p>
        </w:tc>
        <w:tc>
          <w:tcPr>
            <w:tcW w:w="2268"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-14.3%</w:t>
            </w:r>
          </w:p>
        </w:tc>
      </w:tr>
      <w:tr w:rsidR="00403969" w:rsidRPr="00403969" w:rsidTr="00403969">
        <w:trPr>
          <w:trHeight w:val="175"/>
          <w:jc w:val="center"/>
        </w:trPr>
        <w:tc>
          <w:tcPr>
            <w:tcW w:w="6487" w:type="dxa"/>
            <w:tcBorders>
              <w:top w:val="nil"/>
              <w:left w:val="nil"/>
              <w:bottom w:val="nil"/>
              <w:right w:val="nil"/>
            </w:tcBorders>
            <w:shd w:val="clear" w:color="auto" w:fill="auto"/>
          </w:tcPr>
          <w:p w:rsidR="00403969" w:rsidRPr="00066FB3" w:rsidRDefault="00667739" w:rsidP="00667739">
            <w:pPr>
              <w:pStyle w:val="ONUME"/>
              <w:bidi/>
              <w:spacing w:after="120" w:line="240" w:lineRule="exact"/>
              <w:ind w:firstLine="426"/>
              <w:jc w:val="center"/>
              <w:rPr>
                <w:rFonts w:ascii="Arabic Typesetting" w:hAnsi="Arabic Typesetting" w:cs="Arabic Typesetting"/>
                <w:bCs/>
                <w:sz w:val="28"/>
                <w:szCs w:val="28"/>
              </w:rPr>
            </w:pPr>
            <w:r w:rsidRPr="00066FB3">
              <w:rPr>
                <w:rFonts w:ascii="Arabic Typesetting" w:hAnsi="Arabic Typesetting" w:cs="Arabic Typesetting" w:hint="cs"/>
                <w:bCs/>
                <w:sz w:val="28"/>
                <w:szCs w:val="28"/>
                <w:rtl/>
              </w:rPr>
              <w:t>السيناريوهات التاريخية</w:t>
            </w:r>
          </w:p>
        </w:tc>
        <w:tc>
          <w:tcPr>
            <w:tcW w:w="1985"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b/>
                <w:sz w:val="28"/>
                <w:szCs w:val="28"/>
              </w:rPr>
            </w:pPr>
          </w:p>
        </w:tc>
        <w:tc>
          <w:tcPr>
            <w:tcW w:w="2126"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b/>
                <w:sz w:val="28"/>
                <w:szCs w:val="28"/>
              </w:rPr>
            </w:pPr>
          </w:p>
        </w:tc>
        <w:tc>
          <w:tcPr>
            <w:tcW w:w="2268"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b/>
                <w:sz w:val="28"/>
                <w:szCs w:val="28"/>
              </w:rPr>
            </w:pPr>
          </w:p>
        </w:tc>
      </w:tr>
      <w:tr w:rsidR="00403969" w:rsidRPr="00403969" w:rsidTr="00403969">
        <w:trPr>
          <w:trHeight w:val="294"/>
          <w:jc w:val="center"/>
        </w:trPr>
        <w:tc>
          <w:tcPr>
            <w:tcW w:w="6487" w:type="dxa"/>
            <w:tcBorders>
              <w:top w:val="nil"/>
              <w:left w:val="nil"/>
              <w:bottom w:val="nil"/>
              <w:right w:val="nil"/>
            </w:tcBorders>
            <w:shd w:val="clear" w:color="auto" w:fill="auto"/>
          </w:tcPr>
          <w:p w:rsidR="00403969" w:rsidRPr="00403969" w:rsidRDefault="009C520D" w:rsidP="00667739">
            <w:pPr>
              <w:pStyle w:val="ONUME"/>
              <w:bidi/>
              <w:spacing w:after="120" w:line="240" w:lineRule="exact"/>
              <w:rPr>
                <w:rFonts w:ascii="Arabic Typesetting" w:hAnsi="Arabic Typesetting" w:cs="Arabic Typesetting"/>
                <w:sz w:val="28"/>
                <w:szCs w:val="28"/>
              </w:rPr>
            </w:pPr>
            <w:r>
              <w:rPr>
                <w:rFonts w:ascii="Arabic Typesetting" w:hAnsi="Arabic Typesetting" w:cs="Arabic Typesetting" w:hint="cs"/>
                <w:sz w:val="28"/>
                <w:szCs w:val="28"/>
                <w:rtl/>
              </w:rPr>
              <w:t xml:space="preserve">الأزمة المالية (يونيو 2007 </w:t>
            </w:r>
            <w:r>
              <w:rPr>
                <w:rFonts w:ascii="Arabic Typesetting" w:hAnsi="Arabic Typesetting" w:cs="Arabic Typesetting"/>
                <w:sz w:val="28"/>
                <w:szCs w:val="28"/>
                <w:rtl/>
              </w:rPr>
              <w:t>–</w:t>
            </w:r>
            <w:r>
              <w:rPr>
                <w:rFonts w:ascii="Arabic Typesetting" w:hAnsi="Arabic Typesetting" w:cs="Arabic Typesetting" w:hint="cs"/>
                <w:sz w:val="28"/>
                <w:szCs w:val="28"/>
                <w:rtl/>
              </w:rPr>
              <w:t xml:space="preserve"> فبراير 2009)</w:t>
            </w:r>
          </w:p>
        </w:tc>
        <w:tc>
          <w:tcPr>
            <w:tcW w:w="1985"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5.3%</w:t>
            </w:r>
          </w:p>
        </w:tc>
        <w:tc>
          <w:tcPr>
            <w:tcW w:w="2126"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1.8%</w:t>
            </w:r>
          </w:p>
        </w:tc>
        <w:tc>
          <w:tcPr>
            <w:tcW w:w="2268"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-15.2%</w:t>
            </w:r>
          </w:p>
        </w:tc>
      </w:tr>
      <w:tr w:rsidR="00403969" w:rsidRPr="00403969" w:rsidTr="00403969">
        <w:trPr>
          <w:trHeight w:val="131"/>
          <w:jc w:val="center"/>
        </w:trPr>
        <w:tc>
          <w:tcPr>
            <w:tcW w:w="6487" w:type="dxa"/>
            <w:tcBorders>
              <w:top w:val="nil"/>
              <w:left w:val="nil"/>
              <w:bottom w:val="nil"/>
              <w:right w:val="nil"/>
            </w:tcBorders>
            <w:shd w:val="clear" w:color="auto" w:fill="auto"/>
          </w:tcPr>
          <w:p w:rsidR="00403969" w:rsidRPr="00403969" w:rsidRDefault="00066FB3" w:rsidP="00667739">
            <w:pPr>
              <w:pStyle w:val="ONUME"/>
              <w:bidi/>
              <w:spacing w:after="120" w:line="240" w:lineRule="exact"/>
              <w:rPr>
                <w:rFonts w:ascii="Arabic Typesetting" w:hAnsi="Arabic Typesetting" w:cs="Arabic Typesetting"/>
                <w:sz w:val="28"/>
                <w:szCs w:val="28"/>
              </w:rPr>
            </w:pPr>
            <w:r>
              <w:rPr>
                <w:rFonts w:ascii="Arabic Typesetting" w:hAnsi="Arabic Typesetting" w:cs="Arabic Typesetting" w:hint="cs"/>
                <w:sz w:val="28"/>
                <w:szCs w:val="28"/>
                <w:rtl/>
              </w:rPr>
              <w:t xml:space="preserve">سند رالي (يوليو 2008 </w:t>
            </w:r>
            <w:r>
              <w:rPr>
                <w:rFonts w:ascii="Arabic Typesetting" w:hAnsi="Arabic Typesetting" w:cs="Arabic Typesetting"/>
                <w:sz w:val="28"/>
                <w:szCs w:val="28"/>
                <w:rtl/>
              </w:rPr>
              <w:t>–</w:t>
            </w:r>
            <w:r>
              <w:rPr>
                <w:rFonts w:ascii="Arabic Typesetting" w:hAnsi="Arabic Typesetting" w:cs="Arabic Typesetting" w:hint="cs"/>
                <w:sz w:val="28"/>
                <w:szCs w:val="28"/>
                <w:rtl/>
              </w:rPr>
              <w:t xml:space="preserve"> أغسطس 2010)</w:t>
            </w:r>
          </w:p>
        </w:tc>
        <w:tc>
          <w:tcPr>
            <w:tcW w:w="1985"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9.1%</w:t>
            </w:r>
          </w:p>
        </w:tc>
        <w:tc>
          <w:tcPr>
            <w:tcW w:w="2126"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9.7%</w:t>
            </w:r>
          </w:p>
        </w:tc>
        <w:tc>
          <w:tcPr>
            <w:tcW w:w="2268" w:type="dxa"/>
            <w:tcBorders>
              <w:top w:val="nil"/>
              <w:left w:val="nil"/>
              <w:bottom w:val="nil"/>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6.7%</w:t>
            </w:r>
          </w:p>
        </w:tc>
      </w:tr>
      <w:tr w:rsidR="00403969" w:rsidRPr="00403969" w:rsidTr="00403969">
        <w:trPr>
          <w:trHeight w:val="237"/>
          <w:jc w:val="center"/>
        </w:trPr>
        <w:tc>
          <w:tcPr>
            <w:tcW w:w="6487" w:type="dxa"/>
            <w:tcBorders>
              <w:top w:val="nil"/>
              <w:left w:val="nil"/>
              <w:bottom w:val="single" w:sz="4" w:space="0" w:color="auto"/>
              <w:right w:val="nil"/>
            </w:tcBorders>
            <w:shd w:val="clear" w:color="auto" w:fill="auto"/>
          </w:tcPr>
          <w:p w:rsidR="00403969" w:rsidRPr="00403969" w:rsidRDefault="00066FB3" w:rsidP="00667739">
            <w:pPr>
              <w:pStyle w:val="ONUME"/>
              <w:bidi/>
              <w:spacing w:after="120" w:line="240" w:lineRule="exact"/>
              <w:rPr>
                <w:rFonts w:ascii="Arabic Typesetting" w:hAnsi="Arabic Typesetting" w:cs="Arabic Typesetting"/>
                <w:sz w:val="28"/>
                <w:szCs w:val="28"/>
              </w:rPr>
            </w:pPr>
            <w:r>
              <w:rPr>
                <w:rFonts w:ascii="Arabic Typesetting" w:hAnsi="Arabic Typesetting" w:cs="Arabic Typesetting" w:hint="cs"/>
                <w:sz w:val="28"/>
                <w:szCs w:val="28"/>
                <w:rtl/>
              </w:rPr>
              <w:t xml:space="preserve">أزمة اليورو (أبريل 2001 </w:t>
            </w:r>
            <w:r>
              <w:rPr>
                <w:rFonts w:ascii="Arabic Typesetting" w:hAnsi="Arabic Typesetting" w:cs="Arabic Typesetting"/>
                <w:sz w:val="28"/>
                <w:szCs w:val="28"/>
                <w:rtl/>
              </w:rPr>
              <w:t>–</w:t>
            </w:r>
            <w:r>
              <w:rPr>
                <w:rFonts w:ascii="Arabic Typesetting" w:hAnsi="Arabic Typesetting" w:cs="Arabic Typesetting" w:hint="cs"/>
                <w:sz w:val="28"/>
                <w:szCs w:val="28"/>
                <w:rtl/>
              </w:rPr>
              <w:t xml:space="preserve"> سبتمبر 2012)</w:t>
            </w:r>
          </w:p>
        </w:tc>
        <w:tc>
          <w:tcPr>
            <w:tcW w:w="1985" w:type="dxa"/>
            <w:tcBorders>
              <w:top w:val="nil"/>
              <w:left w:val="nil"/>
              <w:bottom w:val="single" w:sz="4" w:space="0" w:color="auto"/>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4.1%</w:t>
            </w:r>
          </w:p>
        </w:tc>
        <w:tc>
          <w:tcPr>
            <w:tcW w:w="2126" w:type="dxa"/>
            <w:tcBorders>
              <w:top w:val="nil"/>
              <w:left w:val="nil"/>
              <w:bottom w:val="single" w:sz="4" w:space="0" w:color="auto"/>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5.1%</w:t>
            </w:r>
          </w:p>
        </w:tc>
        <w:tc>
          <w:tcPr>
            <w:tcW w:w="2268" w:type="dxa"/>
            <w:tcBorders>
              <w:top w:val="nil"/>
              <w:left w:val="nil"/>
              <w:bottom w:val="single" w:sz="4" w:space="0" w:color="auto"/>
              <w:right w:val="nil"/>
            </w:tcBorders>
            <w:shd w:val="clear" w:color="auto" w:fill="auto"/>
          </w:tcPr>
          <w:p w:rsidR="00403969" w:rsidRPr="00403969" w:rsidRDefault="00403969" w:rsidP="00667739">
            <w:pPr>
              <w:pStyle w:val="ONUME"/>
              <w:bidi/>
              <w:spacing w:after="120" w:line="240" w:lineRule="exact"/>
              <w:jc w:val="center"/>
              <w:rPr>
                <w:rFonts w:ascii="Arabic Typesetting" w:hAnsi="Arabic Typesetting" w:cs="Arabic Typesetting"/>
                <w:sz w:val="28"/>
                <w:szCs w:val="28"/>
              </w:rPr>
            </w:pPr>
            <w:r w:rsidRPr="00403969">
              <w:rPr>
                <w:rFonts w:ascii="Arabic Typesetting" w:hAnsi="Arabic Typesetting" w:cs="Arabic Typesetting"/>
                <w:sz w:val="28"/>
                <w:szCs w:val="28"/>
              </w:rPr>
              <w:t>6.7%</w:t>
            </w:r>
          </w:p>
        </w:tc>
      </w:tr>
    </w:tbl>
    <w:p w:rsidR="00535A7C" w:rsidRPr="00066FB3" w:rsidRDefault="00066FB3" w:rsidP="00066FB3">
      <w:pPr>
        <w:pStyle w:val="NormalParaAR"/>
        <w:tabs>
          <w:tab w:val="right" w:pos="10177"/>
        </w:tabs>
        <w:spacing w:line="240" w:lineRule="exact"/>
        <w:ind w:left="963"/>
        <w:rPr>
          <w:rFonts w:hint="cs"/>
          <w:i/>
          <w:iCs/>
          <w:sz w:val="32"/>
          <w:szCs w:val="32"/>
          <w:rtl/>
        </w:rPr>
      </w:pPr>
      <w:r>
        <w:rPr>
          <w:rFonts w:hint="cs"/>
          <w:i/>
          <w:iCs/>
          <w:sz w:val="32"/>
          <w:szCs w:val="32"/>
          <w:rtl/>
        </w:rPr>
        <w:t xml:space="preserve">الأساس: يناير 2005 </w:t>
      </w:r>
      <w:r>
        <w:rPr>
          <w:i/>
          <w:iCs/>
          <w:sz w:val="32"/>
          <w:szCs w:val="32"/>
          <w:rtl/>
        </w:rPr>
        <w:t>–</w:t>
      </w:r>
      <w:r>
        <w:rPr>
          <w:rFonts w:hint="cs"/>
          <w:i/>
          <w:iCs/>
          <w:sz w:val="32"/>
          <w:szCs w:val="32"/>
          <w:rtl/>
        </w:rPr>
        <w:t xml:space="preserve"> ديسمبر 2014</w:t>
      </w:r>
      <w:r>
        <w:rPr>
          <w:i/>
          <w:iCs/>
          <w:sz w:val="32"/>
          <w:szCs w:val="32"/>
          <w:rtl/>
        </w:rPr>
        <w:tab/>
      </w:r>
      <w:r w:rsidRPr="00066FB3">
        <w:rPr>
          <w:rFonts w:hint="cs"/>
          <w:i/>
          <w:iCs/>
          <w:sz w:val="32"/>
          <w:szCs w:val="32"/>
          <w:rtl/>
        </w:rPr>
        <w:t>معلومات مقدمة بإذن من كريدي سويس</w:t>
      </w:r>
    </w:p>
    <w:p w:rsidR="00066FB3" w:rsidRDefault="00066FB3" w:rsidP="00066FB3">
      <w:pPr>
        <w:pStyle w:val="EndofDocumentAR"/>
        <w:rPr>
          <w:rtl/>
        </w:rPr>
        <w:sectPr w:rsidR="00066FB3" w:rsidSect="000F23F9">
          <w:headerReference w:type="default" r:id="rId18"/>
          <w:headerReference w:type="first" r:id="rId19"/>
          <w:pgSz w:w="16840" w:h="11907" w:orient="landscape" w:code="9"/>
          <w:pgMar w:top="1134" w:right="567" w:bottom="1418" w:left="1418" w:header="510" w:footer="1021" w:gutter="0"/>
          <w:pgNumType w:start="1"/>
          <w:cols w:space="720"/>
          <w:titlePg/>
          <w:docGrid w:linePitch="299"/>
        </w:sectPr>
      </w:pPr>
      <w:r>
        <w:rPr>
          <w:rFonts w:hint="cs"/>
          <w:rtl/>
        </w:rPr>
        <w:t>[يلي ذلك المرفق الرابع]</w:t>
      </w:r>
    </w:p>
    <w:p w:rsidR="00403969" w:rsidRPr="00761632" w:rsidRDefault="00761632" w:rsidP="00066FB3">
      <w:pPr>
        <w:pStyle w:val="NormalParaAR"/>
        <w:rPr>
          <w:rFonts w:hint="cs"/>
          <w:b/>
          <w:bCs/>
          <w:sz w:val="40"/>
          <w:szCs w:val="40"/>
          <w:rtl/>
        </w:rPr>
      </w:pPr>
      <w:r w:rsidRPr="00761632">
        <w:rPr>
          <w:rFonts w:hint="cs"/>
          <w:b/>
          <w:bCs/>
          <w:sz w:val="40"/>
          <w:szCs w:val="40"/>
          <w:rtl/>
        </w:rPr>
        <w:t>نموذج سياسة الاستثمار</w:t>
      </w:r>
    </w:p>
    <w:p w:rsidR="00761632" w:rsidRDefault="00F10823" w:rsidP="00A91951">
      <w:pPr>
        <w:pStyle w:val="NormalParaAR"/>
        <w:rPr>
          <w:rFonts w:hint="cs"/>
          <w:rtl/>
          <w:lang w:val="fr-CH"/>
        </w:rPr>
      </w:pPr>
      <w:r>
        <w:rPr>
          <w:rFonts w:hint="cs"/>
          <w:rtl/>
          <w:lang w:val="fr-CH"/>
        </w:rPr>
        <w:t>أشار</w:t>
      </w:r>
      <w:r w:rsidR="00A91951">
        <w:rPr>
          <w:rFonts w:hint="cs"/>
          <w:rtl/>
          <w:lang w:val="fr-CH"/>
        </w:rPr>
        <w:t xml:space="preserve"> </w:t>
      </w:r>
      <w:r w:rsidR="00A91951">
        <w:rPr>
          <w:rFonts w:hint="cs"/>
          <w:rtl/>
          <w:lang w:val="fr-CH"/>
        </w:rPr>
        <w:t xml:space="preserve">مكتب </w:t>
      </w:r>
      <w:proofErr w:type="spellStart"/>
      <w:r w:rsidR="00A91951">
        <w:rPr>
          <w:rFonts w:hint="cs"/>
          <w:rtl/>
          <w:lang w:val="fr-CH"/>
        </w:rPr>
        <w:t>زاندرس</w:t>
      </w:r>
      <w:proofErr w:type="spellEnd"/>
      <w:r w:rsidR="00A91951">
        <w:rPr>
          <w:rFonts w:hint="cs"/>
          <w:rtl/>
          <w:lang w:val="fr-CH"/>
        </w:rPr>
        <w:t xml:space="preserve"> </w:t>
      </w:r>
      <w:r w:rsidR="00A91951">
        <w:rPr>
          <w:rFonts w:hint="cs"/>
          <w:rtl/>
          <w:lang w:val="fr-CH"/>
        </w:rPr>
        <w:t xml:space="preserve">الخارجي المستقل </w:t>
      </w:r>
      <w:r w:rsidR="00A91951">
        <w:rPr>
          <w:rFonts w:hint="cs"/>
          <w:rtl/>
          <w:lang w:val="fr-CH"/>
        </w:rPr>
        <w:t>لل</w:t>
      </w:r>
      <w:r w:rsidR="00A91951">
        <w:rPr>
          <w:rFonts w:hint="cs"/>
          <w:rtl/>
          <w:lang w:val="fr-CH"/>
        </w:rPr>
        <w:t xml:space="preserve">استشارات </w:t>
      </w:r>
      <w:r w:rsidR="00A91951">
        <w:rPr>
          <w:rFonts w:hint="cs"/>
          <w:rtl/>
          <w:lang w:val="fr-CH"/>
        </w:rPr>
        <w:t xml:space="preserve">في شؤون الخزينة </w:t>
      </w:r>
      <w:r>
        <w:rPr>
          <w:rFonts w:hint="cs"/>
          <w:rtl/>
          <w:lang w:val="fr-CH"/>
        </w:rPr>
        <w:t xml:space="preserve">إلى </w:t>
      </w:r>
      <w:r w:rsidR="00A91951">
        <w:rPr>
          <w:rFonts w:hint="cs"/>
          <w:rtl/>
          <w:lang w:val="fr-CH"/>
        </w:rPr>
        <w:t>أن العناصر النمطية الموجودة عادة في سياسة للاستثمار، استنادا إلى أفضل الممارسات، هي كما يلي:</w:t>
      </w:r>
    </w:p>
    <w:p w:rsidR="00A91951" w:rsidRPr="00A91951" w:rsidRDefault="00A91951" w:rsidP="00FC299D">
      <w:pPr>
        <w:pStyle w:val="NumberedParaAR"/>
        <w:numPr>
          <w:ilvl w:val="0"/>
          <w:numId w:val="4"/>
        </w:numPr>
        <w:rPr>
          <w:rFonts w:hint="cs"/>
          <w:rtl/>
          <w:lang w:val="fr-CH"/>
        </w:rPr>
      </w:pPr>
      <w:r w:rsidRPr="00A91951">
        <w:rPr>
          <w:rFonts w:hint="cs"/>
          <w:rtl/>
          <w:lang w:val="fr-CH"/>
        </w:rPr>
        <w:t>وصف المستثمر</w:t>
      </w:r>
    </w:p>
    <w:p w:rsidR="00A91951" w:rsidRDefault="00A91951" w:rsidP="00FC299D">
      <w:pPr>
        <w:pStyle w:val="NumberedParaAR"/>
        <w:numPr>
          <w:ilvl w:val="0"/>
          <w:numId w:val="4"/>
        </w:numPr>
        <w:rPr>
          <w:rFonts w:hint="cs"/>
          <w:rtl/>
          <w:lang w:val="fr-CH"/>
        </w:rPr>
      </w:pPr>
      <w:r>
        <w:rPr>
          <w:rFonts w:hint="cs"/>
          <w:rtl/>
          <w:lang w:val="fr-CH"/>
        </w:rPr>
        <w:t>الغرض من السياسة</w:t>
      </w:r>
    </w:p>
    <w:p w:rsidR="00A91951" w:rsidRPr="00A91951" w:rsidRDefault="00A91951" w:rsidP="00A91951">
      <w:pPr>
        <w:pStyle w:val="NormalParaAR"/>
        <w:rPr>
          <w:rFonts w:hint="cs"/>
          <w:i/>
          <w:iCs/>
          <w:rtl/>
          <w:lang w:val="fr-CH"/>
        </w:rPr>
      </w:pPr>
      <w:r w:rsidRPr="00A91951">
        <w:rPr>
          <w:rFonts w:hint="cs"/>
          <w:i/>
          <w:iCs/>
          <w:rtl/>
          <w:lang w:val="fr-CH"/>
        </w:rPr>
        <w:t xml:space="preserve">وسيشرح هذان </w:t>
      </w:r>
      <w:proofErr w:type="spellStart"/>
      <w:r w:rsidRPr="00A91951">
        <w:rPr>
          <w:rFonts w:hint="cs"/>
          <w:i/>
          <w:iCs/>
          <w:rtl/>
          <w:lang w:val="fr-CH"/>
        </w:rPr>
        <w:t>الجزءان</w:t>
      </w:r>
      <w:proofErr w:type="spellEnd"/>
      <w:r w:rsidRPr="00A91951">
        <w:rPr>
          <w:rFonts w:hint="cs"/>
          <w:i/>
          <w:iCs/>
          <w:rtl/>
          <w:lang w:val="fr-CH"/>
        </w:rPr>
        <w:t xml:space="preserve"> أن الويبو وكالة من وكالات الأمم المتحدة المتخصصة، ويوردان وصفا لأنشطتها ويبيّنان الاستثمارات المشمولة بالسياسة (إما الاستثمارات المرتبطة بسيولة التشغيل أو السيولة الأساسية أو تلك المرتبطة بالسيولة الاستراتيجية).</w:t>
      </w:r>
    </w:p>
    <w:p w:rsidR="00A91951" w:rsidRDefault="00A91951" w:rsidP="00FC299D">
      <w:pPr>
        <w:pStyle w:val="NumberedParaAR"/>
        <w:numPr>
          <w:ilvl w:val="0"/>
          <w:numId w:val="4"/>
        </w:numPr>
        <w:rPr>
          <w:rFonts w:hint="cs"/>
        </w:rPr>
      </w:pPr>
      <w:r>
        <w:rPr>
          <w:rFonts w:hint="cs"/>
          <w:rtl/>
        </w:rPr>
        <w:t>تحديد الأطراف المشاركة في عملية إدارة الاستثمار</w:t>
      </w:r>
    </w:p>
    <w:p w:rsidR="00FC299D" w:rsidRPr="00FC299D" w:rsidRDefault="00FC299D" w:rsidP="00FC299D">
      <w:pPr>
        <w:pStyle w:val="NumberedParaAR"/>
        <w:numPr>
          <w:ilvl w:val="0"/>
          <w:numId w:val="0"/>
        </w:numPr>
        <w:rPr>
          <w:rFonts w:hint="cs"/>
          <w:i/>
          <w:iCs/>
          <w:rtl/>
        </w:rPr>
      </w:pPr>
      <w:r w:rsidRPr="00FC299D">
        <w:rPr>
          <w:rFonts w:hint="cs"/>
          <w:i/>
          <w:iCs/>
          <w:rtl/>
        </w:rPr>
        <w:t>سيشمل ذلك اللجنة الاستشارية المعنية بالاستثمار وقسم الخزينة التابع لشعبة الشؤون المالية والمراقب المالي ومديري الاستثمار الخارجيين وربّما البنك الوصي.</w:t>
      </w:r>
    </w:p>
    <w:p w:rsidR="00FC299D" w:rsidRDefault="00FC299D" w:rsidP="00FC299D">
      <w:pPr>
        <w:pStyle w:val="NumberedParaAR"/>
        <w:numPr>
          <w:ilvl w:val="0"/>
          <w:numId w:val="4"/>
        </w:numPr>
        <w:rPr>
          <w:rFonts w:hint="cs"/>
        </w:rPr>
      </w:pPr>
      <w:r>
        <w:rPr>
          <w:rFonts w:hint="cs"/>
          <w:rtl/>
        </w:rPr>
        <w:t>المسؤوليات الاستثمارية للأطراف المشاركة (المُحدّدة في النقطة 3). وسيشمل ذلك بنودا من قبيل ما يلي:</w:t>
      </w:r>
    </w:p>
    <w:p w:rsidR="00FC299D" w:rsidRDefault="00F10823" w:rsidP="00F10823">
      <w:pPr>
        <w:pStyle w:val="NumberedParaAR"/>
        <w:numPr>
          <w:ilvl w:val="0"/>
          <w:numId w:val="0"/>
        </w:numPr>
        <w:ind w:left="566"/>
        <w:rPr>
          <w:rFonts w:hint="cs"/>
          <w:rtl/>
        </w:rPr>
      </w:pPr>
      <w:r>
        <w:rPr>
          <w:rFonts w:hint="cs"/>
          <w:rtl/>
        </w:rPr>
        <w:t>(أ)</w:t>
      </w:r>
      <w:r>
        <w:rPr>
          <w:rtl/>
        </w:rPr>
        <w:tab/>
      </w:r>
      <w:r w:rsidR="00317FF7">
        <w:rPr>
          <w:rFonts w:hint="cs"/>
          <w:rtl/>
        </w:rPr>
        <w:t>تنفيذ سياسة الاستثمار ومراقبته</w:t>
      </w:r>
      <w:r>
        <w:rPr>
          <w:rFonts w:hint="cs"/>
          <w:rtl/>
        </w:rPr>
        <w:t>؛</w:t>
      </w:r>
    </w:p>
    <w:p w:rsidR="00F10823" w:rsidRDefault="00F10823" w:rsidP="00F10823">
      <w:pPr>
        <w:pStyle w:val="NumberedParaAR"/>
        <w:numPr>
          <w:ilvl w:val="0"/>
          <w:numId w:val="0"/>
        </w:numPr>
        <w:ind w:left="566"/>
        <w:rPr>
          <w:rFonts w:hint="cs"/>
          <w:rtl/>
        </w:rPr>
      </w:pPr>
      <w:r>
        <w:rPr>
          <w:rFonts w:hint="cs"/>
          <w:rtl/>
        </w:rPr>
        <w:t>(ب)</w:t>
      </w:r>
      <w:r>
        <w:rPr>
          <w:rtl/>
        </w:rPr>
        <w:tab/>
      </w:r>
      <w:r>
        <w:rPr>
          <w:rFonts w:hint="cs"/>
          <w:rtl/>
        </w:rPr>
        <w:t>إجراء لمراجعة سياسة الاستثمار وتحديثها؛</w:t>
      </w:r>
    </w:p>
    <w:p w:rsidR="00F10823" w:rsidRDefault="00F10823" w:rsidP="00317FF7">
      <w:pPr>
        <w:pStyle w:val="NumberedParaAR"/>
        <w:numPr>
          <w:ilvl w:val="0"/>
          <w:numId w:val="0"/>
        </w:numPr>
        <w:ind w:left="566"/>
        <w:rPr>
          <w:rFonts w:hint="cs"/>
          <w:rtl/>
        </w:rPr>
      </w:pPr>
      <w:r>
        <w:rPr>
          <w:rFonts w:hint="cs"/>
          <w:rtl/>
        </w:rPr>
        <w:t>(ج)</w:t>
      </w:r>
      <w:r>
        <w:rPr>
          <w:rtl/>
        </w:rPr>
        <w:tab/>
      </w:r>
      <w:r w:rsidR="00317FF7">
        <w:rPr>
          <w:rFonts w:hint="cs"/>
          <w:rtl/>
        </w:rPr>
        <w:t>المسؤوليات الخاصة باستخدام مديري الاستثمار الخارجيين والبنك الوصي وإنهاء مهامهم؛</w:t>
      </w:r>
    </w:p>
    <w:p w:rsidR="00317FF7" w:rsidRDefault="00317FF7" w:rsidP="00317FF7">
      <w:pPr>
        <w:pStyle w:val="NumberedParaAR"/>
        <w:numPr>
          <w:ilvl w:val="0"/>
          <w:numId w:val="0"/>
        </w:numPr>
        <w:ind w:left="566"/>
        <w:rPr>
          <w:rFonts w:hint="cs"/>
          <w:rtl/>
        </w:rPr>
      </w:pPr>
      <w:r>
        <w:rPr>
          <w:rFonts w:hint="cs"/>
          <w:rtl/>
        </w:rPr>
        <w:t>(د)</w:t>
      </w:r>
      <w:r>
        <w:rPr>
          <w:rtl/>
        </w:rPr>
        <w:tab/>
      </w:r>
      <w:r>
        <w:rPr>
          <w:rFonts w:hint="cs"/>
          <w:rtl/>
        </w:rPr>
        <w:t>ال</w:t>
      </w:r>
      <w:r>
        <w:rPr>
          <w:rFonts w:hint="cs"/>
          <w:rtl/>
        </w:rPr>
        <w:t>مسؤوليات الخاصة بمراقبة</w:t>
      </w:r>
      <w:r>
        <w:rPr>
          <w:rFonts w:hint="cs"/>
          <w:rtl/>
        </w:rPr>
        <w:t xml:space="preserve"> مديري الاستثمار الخارجيين والبنك الوصي؛</w:t>
      </w:r>
    </w:p>
    <w:p w:rsidR="00317FF7" w:rsidRDefault="00317FF7" w:rsidP="00317FF7">
      <w:pPr>
        <w:pStyle w:val="NumberedParaAR"/>
        <w:numPr>
          <w:ilvl w:val="0"/>
          <w:numId w:val="0"/>
        </w:numPr>
        <w:ind w:left="566"/>
        <w:rPr>
          <w:rFonts w:hint="cs"/>
          <w:rtl/>
        </w:rPr>
      </w:pPr>
      <w:r>
        <w:rPr>
          <w:rFonts w:hint="cs"/>
          <w:rtl/>
        </w:rPr>
        <w:t>(ه)</w:t>
      </w:r>
      <w:r>
        <w:rPr>
          <w:rtl/>
        </w:rPr>
        <w:tab/>
      </w:r>
      <w:r>
        <w:rPr>
          <w:rFonts w:hint="cs"/>
          <w:rtl/>
        </w:rPr>
        <w:t>المسؤوليات الخاصة بالاستثمارات المُدارة داخليا؛</w:t>
      </w:r>
    </w:p>
    <w:p w:rsidR="00317FF7" w:rsidRDefault="00317FF7" w:rsidP="00317FF7">
      <w:pPr>
        <w:pStyle w:val="NumberedParaAR"/>
        <w:numPr>
          <w:ilvl w:val="0"/>
          <w:numId w:val="0"/>
        </w:numPr>
        <w:ind w:left="566"/>
        <w:rPr>
          <w:rFonts w:hint="cs"/>
          <w:rtl/>
        </w:rPr>
      </w:pPr>
      <w:r>
        <w:rPr>
          <w:rFonts w:hint="cs"/>
          <w:rtl/>
        </w:rPr>
        <w:t>(و)</w:t>
      </w:r>
      <w:r>
        <w:rPr>
          <w:rtl/>
        </w:rPr>
        <w:tab/>
      </w:r>
      <w:r>
        <w:rPr>
          <w:rFonts w:hint="cs"/>
          <w:rtl/>
        </w:rPr>
        <w:t>الإبلاغ.</w:t>
      </w:r>
    </w:p>
    <w:p w:rsidR="00317FF7" w:rsidRDefault="00317FF7" w:rsidP="00317FF7">
      <w:pPr>
        <w:pStyle w:val="NumberedParaAR"/>
        <w:numPr>
          <w:ilvl w:val="0"/>
          <w:numId w:val="4"/>
        </w:numPr>
        <w:rPr>
          <w:rFonts w:hint="cs"/>
        </w:rPr>
      </w:pPr>
      <w:r>
        <w:rPr>
          <w:rFonts w:hint="cs"/>
          <w:rtl/>
        </w:rPr>
        <w:t>بيان أهداف الاستثمار وقيوده</w:t>
      </w:r>
    </w:p>
    <w:p w:rsidR="00C704E2" w:rsidRPr="00C704E2" w:rsidRDefault="00317FF7" w:rsidP="003F6975">
      <w:pPr>
        <w:pStyle w:val="NumberedParaAR"/>
        <w:numPr>
          <w:ilvl w:val="0"/>
          <w:numId w:val="0"/>
        </w:numPr>
        <w:rPr>
          <w:i/>
          <w:iCs/>
          <w:rtl/>
        </w:rPr>
      </w:pPr>
      <w:r w:rsidRPr="00C704E2">
        <w:rPr>
          <w:rFonts w:hint="cs"/>
          <w:i/>
          <w:iCs/>
          <w:rtl/>
        </w:rPr>
        <w:t>ينبغي، هنا، توفير وصف مفصّل للاحتياجات المحدّدة من الاستثمار فيما يخص مختلف أنواع السيولة المبيّنة (</w:t>
      </w:r>
      <w:r w:rsidR="00C704E2" w:rsidRPr="00C704E2">
        <w:rPr>
          <w:rFonts w:hint="cs"/>
          <w:i/>
          <w:iCs/>
          <w:rtl/>
        </w:rPr>
        <w:t>سيولة التشغيل والسيولة الأساسية والسيولة الاستراتيجية، فضلا عن تفاصيل الفترات المنطبقة على كل نوع من</w:t>
      </w:r>
      <w:r w:rsidR="003F6975">
        <w:rPr>
          <w:rFonts w:hint="cs"/>
          <w:i/>
          <w:iCs/>
          <w:rtl/>
        </w:rPr>
        <w:t xml:space="preserve"> السيولة</w:t>
      </w:r>
      <w:r w:rsidR="00C704E2" w:rsidRPr="00C704E2">
        <w:rPr>
          <w:rFonts w:hint="cs"/>
          <w:i/>
          <w:iCs/>
          <w:rtl/>
        </w:rPr>
        <w:t>. وينبغي أن يشمل هذا الجزء أيضا بيانات</w:t>
      </w:r>
      <w:r w:rsidR="003450EA">
        <w:rPr>
          <w:rFonts w:hint="cs"/>
          <w:i/>
          <w:iCs/>
          <w:rtl/>
        </w:rPr>
        <w:t xml:space="preserve"> محدّدة عن العائدات وقابلية </w:t>
      </w:r>
      <w:r w:rsidR="00C704E2" w:rsidRPr="00C704E2">
        <w:rPr>
          <w:rFonts w:hint="cs"/>
          <w:i/>
          <w:iCs/>
          <w:rtl/>
        </w:rPr>
        <w:t>تحمّل المخاطر.</w:t>
      </w:r>
    </w:p>
    <w:p w:rsidR="00C704E2" w:rsidRDefault="00C704E2">
      <w:pPr>
        <w:rPr>
          <w:rFonts w:ascii="Arabic Typesetting" w:hAnsi="Arabic Typesetting" w:cs="Arabic Typesetting"/>
          <w:sz w:val="36"/>
          <w:szCs w:val="36"/>
          <w:rtl/>
        </w:rPr>
      </w:pPr>
      <w:r>
        <w:rPr>
          <w:rtl/>
        </w:rPr>
        <w:br w:type="page"/>
      </w:r>
    </w:p>
    <w:p w:rsidR="00C704E2" w:rsidRDefault="00C704E2" w:rsidP="00C704E2">
      <w:pPr>
        <w:pStyle w:val="NumberedParaAR"/>
        <w:numPr>
          <w:ilvl w:val="0"/>
          <w:numId w:val="4"/>
        </w:numPr>
        <w:rPr>
          <w:rFonts w:hint="cs"/>
        </w:rPr>
      </w:pPr>
      <w:r>
        <w:rPr>
          <w:rFonts w:hint="cs"/>
          <w:rtl/>
        </w:rPr>
        <w:t>فئات الأصول المؤهلة ومستوى التصنيف الائتماني الخاص بكل منها</w:t>
      </w:r>
    </w:p>
    <w:p w:rsidR="00C704E2" w:rsidRDefault="00C704E2" w:rsidP="00C704E2">
      <w:pPr>
        <w:pStyle w:val="NumberedParaAR"/>
        <w:numPr>
          <w:ilvl w:val="0"/>
          <w:numId w:val="4"/>
        </w:numPr>
        <w:rPr>
          <w:rFonts w:hint="cs"/>
        </w:rPr>
      </w:pPr>
      <w:r>
        <w:rPr>
          <w:rFonts w:hint="cs"/>
          <w:rtl/>
        </w:rPr>
        <w:t>تحديد تدابير الأداء والمقاييس التي ينبغي استخدامها في تقييم الأداء</w:t>
      </w:r>
    </w:p>
    <w:p w:rsidR="00C704E2" w:rsidRDefault="00C704E2" w:rsidP="00C704E2">
      <w:pPr>
        <w:pStyle w:val="NumberedParaAR"/>
        <w:numPr>
          <w:ilvl w:val="0"/>
          <w:numId w:val="4"/>
        </w:numPr>
        <w:rPr>
          <w:rFonts w:hint="cs"/>
        </w:rPr>
      </w:pPr>
      <w:r>
        <w:rPr>
          <w:rFonts w:hint="cs"/>
          <w:rtl/>
        </w:rPr>
        <w:t>استراتيجيات الاستثمار وأساليبه</w:t>
      </w:r>
    </w:p>
    <w:p w:rsidR="00C704E2" w:rsidRPr="0029515E" w:rsidRDefault="00C704E2" w:rsidP="003F6975">
      <w:pPr>
        <w:pStyle w:val="NumberedParaAR"/>
        <w:numPr>
          <w:ilvl w:val="0"/>
          <w:numId w:val="0"/>
        </w:numPr>
        <w:rPr>
          <w:rFonts w:hint="cs"/>
          <w:i/>
          <w:iCs/>
          <w:rtl/>
        </w:rPr>
      </w:pPr>
      <w:r w:rsidRPr="0029515E">
        <w:rPr>
          <w:rFonts w:hint="cs"/>
          <w:i/>
          <w:iCs/>
          <w:rtl/>
        </w:rPr>
        <w:t xml:space="preserve">في هذا الجزء، ينبغي مراعاة ما إذا كان يتعيّن أن تكون استراتيجية الاستثمار نشطة أو سلبية (يشير </w:t>
      </w:r>
      <w:r w:rsidR="003F6975">
        <w:rPr>
          <w:rFonts w:hint="cs"/>
          <w:i/>
          <w:iCs/>
          <w:rtl/>
        </w:rPr>
        <w:t>ذلك</w:t>
      </w:r>
      <w:r w:rsidRPr="0029515E">
        <w:rPr>
          <w:rFonts w:hint="cs"/>
          <w:i/>
          <w:iCs/>
          <w:rtl/>
        </w:rPr>
        <w:t xml:space="preserve"> إلى </w:t>
      </w:r>
      <w:r w:rsidR="0029515E" w:rsidRPr="0029515E">
        <w:rPr>
          <w:rFonts w:hint="cs"/>
          <w:i/>
          <w:iCs/>
          <w:rtl/>
        </w:rPr>
        <w:t>الاستراتيجيات المُتبعة من قبل مديري الاستثمار الخارجيين).</w:t>
      </w:r>
    </w:p>
    <w:p w:rsidR="0029515E" w:rsidRPr="0029515E" w:rsidRDefault="0029515E" w:rsidP="0029515E">
      <w:pPr>
        <w:pStyle w:val="NumberedParaAR"/>
        <w:numPr>
          <w:ilvl w:val="0"/>
          <w:numId w:val="0"/>
        </w:numPr>
        <w:rPr>
          <w:rFonts w:hint="cs"/>
          <w:i/>
          <w:iCs/>
          <w:rtl/>
        </w:rPr>
      </w:pPr>
      <w:r w:rsidRPr="0029515E">
        <w:rPr>
          <w:rFonts w:hint="cs"/>
          <w:i/>
          <w:iCs/>
          <w:rtl/>
        </w:rPr>
        <w:t>مبادئ توجيهية لإعادة توازن المحفظات استنادا إلى التعليقات المنبثقة عن عملية إدارة المحفظات (انظر 4(و) أعلاه).</w:t>
      </w:r>
    </w:p>
    <w:p w:rsidR="0029515E" w:rsidRPr="0024632D" w:rsidRDefault="0029515E" w:rsidP="0029515E">
      <w:pPr>
        <w:pStyle w:val="NumberedParaAR"/>
        <w:numPr>
          <w:ilvl w:val="0"/>
          <w:numId w:val="0"/>
        </w:numPr>
        <w:rPr>
          <w:rFonts w:hint="cs"/>
          <w:i/>
          <w:iCs/>
          <w:rtl/>
        </w:rPr>
      </w:pPr>
      <w:r w:rsidRPr="0024632D">
        <w:rPr>
          <w:rFonts w:hint="cs"/>
          <w:i/>
          <w:iCs/>
          <w:rtl/>
        </w:rPr>
        <w:t>ينبغي أن يشرح هذا الجزء الطريقة التي سيتم بها تطبيق عملية المراقبة/</w:t>
      </w:r>
      <w:r w:rsidR="003450EA" w:rsidRPr="0024632D">
        <w:rPr>
          <w:rFonts w:hint="cs"/>
          <w:i/>
          <w:iCs/>
          <w:rtl/>
        </w:rPr>
        <w:t>إعادة توازن المحفظات عند تجاوز حدّ من حدود قابلية تحمّل المخاطر.</w:t>
      </w:r>
    </w:p>
    <w:p w:rsidR="003450EA" w:rsidRDefault="0024632D" w:rsidP="0024632D">
      <w:pPr>
        <w:pStyle w:val="EndofDocumentAR"/>
        <w:rPr>
          <w:rFonts w:hint="cs"/>
          <w:rtl/>
        </w:rPr>
      </w:pPr>
      <w:r>
        <w:rPr>
          <w:rFonts w:hint="cs"/>
          <w:rtl/>
        </w:rPr>
        <w:t>[نهاية المرفق الرابع والوثيقة]</w:t>
      </w:r>
    </w:p>
    <w:sectPr w:rsidR="003450EA" w:rsidSect="00066FB3">
      <w:headerReference w:type="default" r:id="rId20"/>
      <w:headerReference w:type="first" r:id="rId2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9BC" w:rsidRDefault="00DB79BC">
      <w:r>
        <w:separator/>
      </w:r>
    </w:p>
  </w:endnote>
  <w:endnote w:type="continuationSeparator" w:id="0">
    <w:p w:rsidR="00DB79BC" w:rsidRDefault="00DB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9BC" w:rsidRDefault="00DB79BC" w:rsidP="009622BF">
      <w:pPr>
        <w:bidi/>
      </w:pPr>
      <w:bookmarkStart w:id="0" w:name="OLE_LINK1"/>
      <w:bookmarkStart w:id="1" w:name="OLE_LINK2"/>
      <w:r>
        <w:separator/>
      </w:r>
      <w:bookmarkEnd w:id="0"/>
      <w:bookmarkEnd w:id="1"/>
    </w:p>
  </w:footnote>
  <w:footnote w:type="continuationSeparator" w:id="0">
    <w:p w:rsidR="00DB79BC" w:rsidRDefault="00DB79BC" w:rsidP="009622BF">
      <w:pPr>
        <w:bidi/>
      </w:pPr>
      <w:r>
        <w:separator/>
      </w:r>
    </w:p>
  </w:footnote>
  <w:footnote w:id="1">
    <w:p w:rsidR="00DB79BC" w:rsidRDefault="00DB79BC" w:rsidP="009827A3">
      <w:pPr>
        <w:pStyle w:val="FootnoteText"/>
      </w:pPr>
      <w:r>
        <w:rPr>
          <w:rStyle w:val="FootnoteReference"/>
        </w:rPr>
        <w:footnoteRef/>
      </w:r>
      <w:r>
        <w:rPr>
          <w:rtl/>
        </w:rPr>
        <w:t xml:space="preserve"> </w:t>
      </w:r>
      <w:r>
        <w:rPr>
          <w:rFonts w:hint="cs"/>
          <w:rtl/>
        </w:rPr>
        <w:t xml:space="preserve">ترد تفاصيل التصنيفات الائتمانية في المرفق </w:t>
      </w:r>
      <w:r w:rsidR="009827A3">
        <w:rPr>
          <w:rFonts w:hint="cs"/>
          <w:rtl/>
        </w:rPr>
        <w:t>الثاني</w:t>
      </w:r>
      <w:r>
        <w:rPr>
          <w:rFonts w:hint="cs"/>
          <w:rtl/>
        </w:rPr>
        <w:t>.</w:t>
      </w:r>
    </w:p>
  </w:footnote>
  <w:footnote w:id="2">
    <w:p w:rsidR="00DB79BC" w:rsidRDefault="00DB79BC" w:rsidP="00630938">
      <w:pPr>
        <w:pStyle w:val="FootnoteText"/>
      </w:pPr>
      <w:r>
        <w:rPr>
          <w:rStyle w:val="FootnoteReference"/>
        </w:rPr>
        <w:footnoteRef/>
      </w:r>
      <w:r>
        <w:rPr>
          <w:rtl/>
        </w:rPr>
        <w:t xml:space="preserve"> </w:t>
      </w:r>
      <w:r>
        <w:rPr>
          <w:rFonts w:hint="cs"/>
          <w:rtl/>
        </w:rPr>
        <w:t>تشير الإدارة النشطة إلى استراتيجية لإدارة المحفظات يوظّف المدير فيها استثمارات محدّدة بغرض تجاوز مؤشر استثمار مرجعي. أما في الإدارة السلبية، فيتوقّع المستثمرون عائدا يطابق بأمانة حجم الاستثمار وعائدات تستند إلى مؤشر مرجعي، وغالبا ما يستثمرون في صندوق مرتبط بمؤشر.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BC" w:rsidRDefault="00DB79BC" w:rsidP="00C40BED">
    <w:r w:rsidRPr="007F6C62">
      <w:t>WO/PBC/23/</w:t>
    </w:r>
    <w:r>
      <w:t>7</w:t>
    </w:r>
  </w:p>
  <w:p w:rsidR="00DB79BC" w:rsidRDefault="00DB79BC" w:rsidP="00D61541">
    <w:r>
      <w:fldChar w:fldCharType="begin"/>
    </w:r>
    <w:r>
      <w:instrText xml:space="preserve"> PAGE  \* MERGEFORMAT </w:instrText>
    </w:r>
    <w:r>
      <w:fldChar w:fldCharType="separate"/>
    </w:r>
    <w:r w:rsidR="007D0560">
      <w:rPr>
        <w:noProof/>
      </w:rPr>
      <w:t>11</w:t>
    </w:r>
    <w:r>
      <w:fldChar w:fldCharType="end"/>
    </w:r>
  </w:p>
  <w:p w:rsidR="00DB79BC" w:rsidRDefault="00DB79B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BC" w:rsidRDefault="00DB79BC" w:rsidP="00B71362">
    <w:r w:rsidRPr="007F6C62">
      <w:t>WO/PBC/23/</w:t>
    </w:r>
    <w:r>
      <w:t>7</w:t>
    </w:r>
  </w:p>
  <w:p w:rsidR="00DB79BC" w:rsidRDefault="00DB79BC" w:rsidP="00B71362">
    <w:r>
      <w:t>ANNEX I</w:t>
    </w:r>
  </w:p>
  <w:p w:rsidR="00DB79BC" w:rsidRPr="00B71362" w:rsidRDefault="00DB79BC" w:rsidP="00B71362">
    <w:pPr>
      <w:pStyle w:val="Header"/>
      <w:bidi/>
      <w:jc w:val="right"/>
      <w:rPr>
        <w:rFonts w:ascii="Arabic Typesetting" w:hAnsi="Arabic Typesetting" w:cs="Arabic Typesetting"/>
        <w:sz w:val="36"/>
        <w:szCs w:val="36"/>
        <w:rtl/>
      </w:rPr>
    </w:pPr>
    <w:r w:rsidRPr="00B71362">
      <w:rPr>
        <w:rFonts w:ascii="Arabic Typesetting" w:hAnsi="Arabic Typesetting" w:cs="Arabic Typesetting"/>
        <w:sz w:val="36"/>
        <w:szCs w:val="36"/>
        <w:rtl/>
      </w:rPr>
      <w:t>المرفق الأول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BC" w:rsidRDefault="00DB79BC" w:rsidP="00B71362">
    <w:r w:rsidRPr="007F6C62">
      <w:t>WO/PBC/23/</w:t>
    </w:r>
    <w:r>
      <w:t>7</w:t>
    </w:r>
  </w:p>
  <w:p w:rsidR="00DB79BC" w:rsidRDefault="00DB79BC" w:rsidP="00B71362">
    <w:r>
      <w:t>ANNEX II</w:t>
    </w:r>
  </w:p>
  <w:p w:rsidR="00DB79BC" w:rsidRPr="00B71362" w:rsidRDefault="00DB79BC" w:rsidP="00F44B4B">
    <w:pPr>
      <w:pStyle w:val="Header"/>
      <w:bidi/>
      <w:jc w:val="right"/>
      <w:rPr>
        <w:rFonts w:ascii="Arabic Typesetting" w:hAnsi="Arabic Typesetting" w:cs="Arabic Typesetting"/>
        <w:sz w:val="36"/>
        <w:szCs w:val="36"/>
        <w:rtl/>
      </w:rPr>
    </w:pPr>
    <w:r w:rsidRPr="00B71362">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F9" w:rsidRDefault="000F23F9" w:rsidP="00C40BED">
    <w:r w:rsidRPr="007F6C62">
      <w:t>WO/PBC/23/</w:t>
    </w:r>
    <w:r>
      <w:t>7</w:t>
    </w:r>
  </w:p>
  <w:p w:rsidR="000F23F9" w:rsidRDefault="000F23F9" w:rsidP="000F23F9">
    <w:r>
      <w:t>Annex III</w:t>
    </w:r>
  </w:p>
  <w:p w:rsidR="000F23F9" w:rsidRDefault="000F23F9" w:rsidP="000F23F9">
    <w:pPr>
      <w:rPr>
        <w:rFonts w:hint="cs"/>
        <w:rtl/>
      </w:rPr>
    </w:pPr>
    <w:r>
      <w:fldChar w:fldCharType="begin"/>
    </w:r>
    <w:r>
      <w:instrText xml:space="preserve"> PAGE   \* MERGEFORMAT </w:instrText>
    </w:r>
    <w:r>
      <w:fldChar w:fldCharType="separate"/>
    </w:r>
    <w:r w:rsidR="007D0560">
      <w:rPr>
        <w:noProof/>
      </w:rPr>
      <w:t>2</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BC" w:rsidRDefault="00DB79BC" w:rsidP="00B71362">
    <w:r w:rsidRPr="007F6C62">
      <w:t>WO/PBC/23/</w:t>
    </w:r>
    <w:r>
      <w:t>7</w:t>
    </w:r>
  </w:p>
  <w:p w:rsidR="00DB79BC" w:rsidRDefault="00DB79BC" w:rsidP="00B71362">
    <w:r>
      <w:t>ANNEX III</w:t>
    </w:r>
  </w:p>
  <w:p w:rsidR="00DB79BC" w:rsidRPr="00B71362" w:rsidRDefault="00DB79BC" w:rsidP="00472E92">
    <w:pPr>
      <w:pStyle w:val="Header"/>
      <w:bidi/>
      <w:jc w:val="right"/>
      <w:rPr>
        <w:rFonts w:ascii="Arabic Typesetting" w:hAnsi="Arabic Typesetting" w:cs="Arabic Typesetting"/>
        <w:sz w:val="36"/>
        <w:szCs w:val="36"/>
        <w:rtl/>
      </w:rPr>
    </w:pPr>
    <w:r w:rsidRPr="00B71362">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الثالث</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32D" w:rsidRDefault="0024632D" w:rsidP="00C40BED">
    <w:r w:rsidRPr="007F6C62">
      <w:t>WO/PBC/23/</w:t>
    </w:r>
    <w:r>
      <w:t>7</w:t>
    </w:r>
  </w:p>
  <w:p w:rsidR="0024632D" w:rsidRDefault="0024632D" w:rsidP="0024632D">
    <w:r>
      <w:t>Annex IV</w:t>
    </w:r>
  </w:p>
  <w:p w:rsidR="0024632D" w:rsidRDefault="0024632D" w:rsidP="000F23F9">
    <w:pPr>
      <w:rPr>
        <w:rFonts w:hint="cs"/>
        <w:rtl/>
      </w:rPr>
    </w:pPr>
    <w:r>
      <w:fldChar w:fldCharType="begin"/>
    </w:r>
    <w:r>
      <w:instrText xml:space="preserve"> PAGE   \* MERGEFORMAT </w:instrText>
    </w:r>
    <w:r>
      <w:fldChar w:fldCharType="separate"/>
    </w:r>
    <w:r w:rsidR="007D0560">
      <w:rPr>
        <w:noProof/>
      </w:rPr>
      <w:t>2</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FB3" w:rsidRDefault="00066FB3" w:rsidP="00B71362">
    <w:r w:rsidRPr="007F6C62">
      <w:t>WO/PBC/23/</w:t>
    </w:r>
    <w:r>
      <w:t>7</w:t>
    </w:r>
  </w:p>
  <w:p w:rsidR="00066FB3" w:rsidRDefault="00066FB3" w:rsidP="00066FB3">
    <w:r>
      <w:t>ANNEX IV</w:t>
    </w:r>
  </w:p>
  <w:p w:rsidR="00066FB3" w:rsidRPr="00B71362" w:rsidRDefault="00066FB3" w:rsidP="00066FB3">
    <w:pPr>
      <w:pStyle w:val="Header"/>
      <w:bidi/>
      <w:jc w:val="right"/>
      <w:rPr>
        <w:rFonts w:ascii="Arabic Typesetting" w:hAnsi="Arabic Typesetting" w:cs="Arabic Typesetting"/>
        <w:sz w:val="36"/>
        <w:szCs w:val="36"/>
        <w:rtl/>
      </w:rPr>
    </w:pPr>
    <w:r w:rsidRPr="00B71362">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الرابع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7973"/>
    <w:multiLevelType w:val="hybridMultilevel"/>
    <w:tmpl w:val="9FB2E530"/>
    <w:lvl w:ilvl="0" w:tplc="9BEADBA4">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lvlOverride w:ilvl="0">
      <w:startOverride w:val="16"/>
    </w:lvlOverride>
  </w:num>
  <w:num w:numId="4">
    <w:abstractNumId w:val="0"/>
    <w:lvlOverride w:ilvl="0">
      <w:startOverride w:val="1"/>
    </w:lvlOverride>
  </w:num>
  <w:num w:numId="5">
    <w:abstractNumId w:val="0"/>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B2"/>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34B5"/>
    <w:rsid w:val="0002407C"/>
    <w:rsid w:val="000243FB"/>
    <w:rsid w:val="0002476F"/>
    <w:rsid w:val="00024E17"/>
    <w:rsid w:val="000258DB"/>
    <w:rsid w:val="000259E5"/>
    <w:rsid w:val="00031860"/>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57E16"/>
    <w:rsid w:val="00061FF5"/>
    <w:rsid w:val="00062502"/>
    <w:rsid w:val="00063C91"/>
    <w:rsid w:val="000640E7"/>
    <w:rsid w:val="00066DC7"/>
    <w:rsid w:val="00066FB3"/>
    <w:rsid w:val="0006794A"/>
    <w:rsid w:val="00067F31"/>
    <w:rsid w:val="00071138"/>
    <w:rsid w:val="00073402"/>
    <w:rsid w:val="00075745"/>
    <w:rsid w:val="00075A04"/>
    <w:rsid w:val="00075D39"/>
    <w:rsid w:val="000760C3"/>
    <w:rsid w:val="000760D5"/>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0D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00BB"/>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BC4"/>
    <w:rsid w:val="000D5FB7"/>
    <w:rsid w:val="000E06A5"/>
    <w:rsid w:val="000E16EB"/>
    <w:rsid w:val="000E591F"/>
    <w:rsid w:val="000E5A23"/>
    <w:rsid w:val="000E6045"/>
    <w:rsid w:val="000E7872"/>
    <w:rsid w:val="000F0772"/>
    <w:rsid w:val="000F0BE5"/>
    <w:rsid w:val="000F0F0D"/>
    <w:rsid w:val="000F1B52"/>
    <w:rsid w:val="000F1C70"/>
    <w:rsid w:val="000F1EAA"/>
    <w:rsid w:val="000F23F9"/>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95D"/>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287"/>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8BF"/>
    <w:rsid w:val="001A2AB7"/>
    <w:rsid w:val="001A4A9C"/>
    <w:rsid w:val="001A6B88"/>
    <w:rsid w:val="001A6C33"/>
    <w:rsid w:val="001A6E68"/>
    <w:rsid w:val="001B1801"/>
    <w:rsid w:val="001B3131"/>
    <w:rsid w:val="001B4B2F"/>
    <w:rsid w:val="001B6351"/>
    <w:rsid w:val="001B7C00"/>
    <w:rsid w:val="001C09D2"/>
    <w:rsid w:val="001C1620"/>
    <w:rsid w:val="001C18B2"/>
    <w:rsid w:val="001C1994"/>
    <w:rsid w:val="001C2933"/>
    <w:rsid w:val="001C55F9"/>
    <w:rsid w:val="001C5EEE"/>
    <w:rsid w:val="001C6A73"/>
    <w:rsid w:val="001C73C2"/>
    <w:rsid w:val="001D0474"/>
    <w:rsid w:val="001D141D"/>
    <w:rsid w:val="001D1EBD"/>
    <w:rsid w:val="001D2184"/>
    <w:rsid w:val="001D24F3"/>
    <w:rsid w:val="001D2678"/>
    <w:rsid w:val="001D2DC4"/>
    <w:rsid w:val="001D3722"/>
    <w:rsid w:val="001D6A48"/>
    <w:rsid w:val="001E1043"/>
    <w:rsid w:val="001E10E1"/>
    <w:rsid w:val="001E175F"/>
    <w:rsid w:val="001E19F7"/>
    <w:rsid w:val="001E2669"/>
    <w:rsid w:val="001E2D5E"/>
    <w:rsid w:val="001E3FB9"/>
    <w:rsid w:val="001E4083"/>
    <w:rsid w:val="001E5588"/>
    <w:rsid w:val="001E56CB"/>
    <w:rsid w:val="001E56FC"/>
    <w:rsid w:val="001E582D"/>
    <w:rsid w:val="001E6318"/>
    <w:rsid w:val="001E64BF"/>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06"/>
    <w:rsid w:val="00203030"/>
    <w:rsid w:val="00203D45"/>
    <w:rsid w:val="00205495"/>
    <w:rsid w:val="002061DE"/>
    <w:rsid w:val="002065E2"/>
    <w:rsid w:val="00206C61"/>
    <w:rsid w:val="00206F30"/>
    <w:rsid w:val="002072D8"/>
    <w:rsid w:val="00207616"/>
    <w:rsid w:val="00207F10"/>
    <w:rsid w:val="00210375"/>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37FE"/>
    <w:rsid w:val="0024632D"/>
    <w:rsid w:val="00247783"/>
    <w:rsid w:val="0025172C"/>
    <w:rsid w:val="00252CF8"/>
    <w:rsid w:val="00252E2E"/>
    <w:rsid w:val="00253210"/>
    <w:rsid w:val="0025353E"/>
    <w:rsid w:val="00253DE1"/>
    <w:rsid w:val="0025425F"/>
    <w:rsid w:val="00254468"/>
    <w:rsid w:val="00254DE4"/>
    <w:rsid w:val="002559DA"/>
    <w:rsid w:val="00256955"/>
    <w:rsid w:val="0026071A"/>
    <w:rsid w:val="00261252"/>
    <w:rsid w:val="00261B27"/>
    <w:rsid w:val="00262B5A"/>
    <w:rsid w:val="0026520E"/>
    <w:rsid w:val="002656B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515E"/>
    <w:rsid w:val="00297B80"/>
    <w:rsid w:val="002A076C"/>
    <w:rsid w:val="002A1059"/>
    <w:rsid w:val="002A3C9D"/>
    <w:rsid w:val="002A4B0C"/>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29F7"/>
    <w:rsid w:val="002D3506"/>
    <w:rsid w:val="002D3670"/>
    <w:rsid w:val="002D4807"/>
    <w:rsid w:val="002D5DDC"/>
    <w:rsid w:val="002D5F16"/>
    <w:rsid w:val="002D62B4"/>
    <w:rsid w:val="002D62F1"/>
    <w:rsid w:val="002D6FD8"/>
    <w:rsid w:val="002D727B"/>
    <w:rsid w:val="002D7EAD"/>
    <w:rsid w:val="002E1169"/>
    <w:rsid w:val="002E1218"/>
    <w:rsid w:val="002E28F3"/>
    <w:rsid w:val="002E3F87"/>
    <w:rsid w:val="002E4325"/>
    <w:rsid w:val="002E7615"/>
    <w:rsid w:val="002E7A2A"/>
    <w:rsid w:val="002E7F16"/>
    <w:rsid w:val="002F1069"/>
    <w:rsid w:val="002F1425"/>
    <w:rsid w:val="002F1ADE"/>
    <w:rsid w:val="002F23DC"/>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17FF7"/>
    <w:rsid w:val="00320DF4"/>
    <w:rsid w:val="00321729"/>
    <w:rsid w:val="003219A9"/>
    <w:rsid w:val="00321B00"/>
    <w:rsid w:val="00321C54"/>
    <w:rsid w:val="00321DCD"/>
    <w:rsid w:val="0032261F"/>
    <w:rsid w:val="003237A2"/>
    <w:rsid w:val="00324729"/>
    <w:rsid w:val="00325C8B"/>
    <w:rsid w:val="00327011"/>
    <w:rsid w:val="00327DF0"/>
    <w:rsid w:val="00334127"/>
    <w:rsid w:val="00335CA6"/>
    <w:rsid w:val="003365F0"/>
    <w:rsid w:val="00336C50"/>
    <w:rsid w:val="00337388"/>
    <w:rsid w:val="0034007D"/>
    <w:rsid w:val="00341B63"/>
    <w:rsid w:val="003433E5"/>
    <w:rsid w:val="00344082"/>
    <w:rsid w:val="003450EA"/>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6F46"/>
    <w:rsid w:val="003A07FF"/>
    <w:rsid w:val="003A146E"/>
    <w:rsid w:val="003A26CD"/>
    <w:rsid w:val="003A37F7"/>
    <w:rsid w:val="003A54E9"/>
    <w:rsid w:val="003A5E7C"/>
    <w:rsid w:val="003A6747"/>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AAB"/>
    <w:rsid w:val="003E6FD2"/>
    <w:rsid w:val="003E788F"/>
    <w:rsid w:val="003E7A97"/>
    <w:rsid w:val="003E7D3A"/>
    <w:rsid w:val="003F0950"/>
    <w:rsid w:val="003F09C9"/>
    <w:rsid w:val="003F3997"/>
    <w:rsid w:val="003F4C37"/>
    <w:rsid w:val="003F67AE"/>
    <w:rsid w:val="003F6975"/>
    <w:rsid w:val="003F6BBB"/>
    <w:rsid w:val="003F719F"/>
    <w:rsid w:val="0040033D"/>
    <w:rsid w:val="004007E1"/>
    <w:rsid w:val="00400B1F"/>
    <w:rsid w:val="004032D2"/>
    <w:rsid w:val="00403969"/>
    <w:rsid w:val="00403C4F"/>
    <w:rsid w:val="004058B4"/>
    <w:rsid w:val="00405C45"/>
    <w:rsid w:val="004062EF"/>
    <w:rsid w:val="004062F0"/>
    <w:rsid w:val="00406CB5"/>
    <w:rsid w:val="00410B8F"/>
    <w:rsid w:val="00412057"/>
    <w:rsid w:val="004126C1"/>
    <w:rsid w:val="00413BA5"/>
    <w:rsid w:val="00414FD0"/>
    <w:rsid w:val="00417E93"/>
    <w:rsid w:val="00420D4A"/>
    <w:rsid w:val="00422A2A"/>
    <w:rsid w:val="00424BB4"/>
    <w:rsid w:val="004258CD"/>
    <w:rsid w:val="00425A50"/>
    <w:rsid w:val="004261D2"/>
    <w:rsid w:val="004303D1"/>
    <w:rsid w:val="00433C0A"/>
    <w:rsid w:val="00433E39"/>
    <w:rsid w:val="004349FA"/>
    <w:rsid w:val="004406BD"/>
    <w:rsid w:val="00442FBE"/>
    <w:rsid w:val="004433B1"/>
    <w:rsid w:val="00443571"/>
    <w:rsid w:val="004444E3"/>
    <w:rsid w:val="004447FD"/>
    <w:rsid w:val="00445032"/>
    <w:rsid w:val="004450CB"/>
    <w:rsid w:val="00446967"/>
    <w:rsid w:val="00446AB6"/>
    <w:rsid w:val="00450EEE"/>
    <w:rsid w:val="004512B2"/>
    <w:rsid w:val="004526B9"/>
    <w:rsid w:val="004528EE"/>
    <w:rsid w:val="00453360"/>
    <w:rsid w:val="00454E6B"/>
    <w:rsid w:val="00456409"/>
    <w:rsid w:val="004569C6"/>
    <w:rsid w:val="00456ADC"/>
    <w:rsid w:val="0045768F"/>
    <w:rsid w:val="00457769"/>
    <w:rsid w:val="004627AE"/>
    <w:rsid w:val="0046298E"/>
    <w:rsid w:val="004647BB"/>
    <w:rsid w:val="0046482B"/>
    <w:rsid w:val="004648E0"/>
    <w:rsid w:val="00472043"/>
    <w:rsid w:val="00472E92"/>
    <w:rsid w:val="00472F56"/>
    <w:rsid w:val="0047335E"/>
    <w:rsid w:val="00473CA1"/>
    <w:rsid w:val="0047572C"/>
    <w:rsid w:val="00476407"/>
    <w:rsid w:val="004773F7"/>
    <w:rsid w:val="00481F5F"/>
    <w:rsid w:val="004821D0"/>
    <w:rsid w:val="00482CB2"/>
    <w:rsid w:val="00483D06"/>
    <w:rsid w:val="00485A4A"/>
    <w:rsid w:val="00485BF0"/>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B6F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55D4"/>
    <w:rsid w:val="004D6144"/>
    <w:rsid w:val="004D678F"/>
    <w:rsid w:val="004E1264"/>
    <w:rsid w:val="004E2CBC"/>
    <w:rsid w:val="004E3DD4"/>
    <w:rsid w:val="004E5C1A"/>
    <w:rsid w:val="004E6C8C"/>
    <w:rsid w:val="004E6CC7"/>
    <w:rsid w:val="004E776F"/>
    <w:rsid w:val="004F0215"/>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7690"/>
    <w:rsid w:val="005104E8"/>
    <w:rsid w:val="005107DB"/>
    <w:rsid w:val="00510DB0"/>
    <w:rsid w:val="005119F6"/>
    <w:rsid w:val="00511B7D"/>
    <w:rsid w:val="00511D00"/>
    <w:rsid w:val="005124D0"/>
    <w:rsid w:val="00512520"/>
    <w:rsid w:val="005137E7"/>
    <w:rsid w:val="00513F42"/>
    <w:rsid w:val="00516256"/>
    <w:rsid w:val="005162CF"/>
    <w:rsid w:val="00517A63"/>
    <w:rsid w:val="00517C8D"/>
    <w:rsid w:val="00517FD1"/>
    <w:rsid w:val="005219E6"/>
    <w:rsid w:val="00521B4A"/>
    <w:rsid w:val="0052212E"/>
    <w:rsid w:val="00522E91"/>
    <w:rsid w:val="0052302D"/>
    <w:rsid w:val="005235A9"/>
    <w:rsid w:val="005236A5"/>
    <w:rsid w:val="005266BD"/>
    <w:rsid w:val="0052772D"/>
    <w:rsid w:val="00530442"/>
    <w:rsid w:val="0053460A"/>
    <w:rsid w:val="00534AF0"/>
    <w:rsid w:val="00535060"/>
    <w:rsid w:val="0053556D"/>
    <w:rsid w:val="00535738"/>
    <w:rsid w:val="00535A7C"/>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67A0"/>
    <w:rsid w:val="00560C6A"/>
    <w:rsid w:val="00560F85"/>
    <w:rsid w:val="005610A0"/>
    <w:rsid w:val="0056248F"/>
    <w:rsid w:val="00563E63"/>
    <w:rsid w:val="00564985"/>
    <w:rsid w:val="00565379"/>
    <w:rsid w:val="0056694F"/>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5856"/>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002"/>
    <w:rsid w:val="005C42AB"/>
    <w:rsid w:val="005C45C0"/>
    <w:rsid w:val="005C4E35"/>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7A7"/>
    <w:rsid w:val="005F6B68"/>
    <w:rsid w:val="005F6F2E"/>
    <w:rsid w:val="005F7D85"/>
    <w:rsid w:val="00601A1F"/>
    <w:rsid w:val="00601FEC"/>
    <w:rsid w:val="00602655"/>
    <w:rsid w:val="00603B68"/>
    <w:rsid w:val="00605297"/>
    <w:rsid w:val="00605CB9"/>
    <w:rsid w:val="006065BF"/>
    <w:rsid w:val="00607C00"/>
    <w:rsid w:val="00610430"/>
    <w:rsid w:val="00611858"/>
    <w:rsid w:val="00614EB1"/>
    <w:rsid w:val="00614F67"/>
    <w:rsid w:val="00615277"/>
    <w:rsid w:val="00615519"/>
    <w:rsid w:val="00615844"/>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938"/>
    <w:rsid w:val="00630FCD"/>
    <w:rsid w:val="006313C7"/>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6A8B"/>
    <w:rsid w:val="006575ED"/>
    <w:rsid w:val="006578FD"/>
    <w:rsid w:val="00660060"/>
    <w:rsid w:val="0066031F"/>
    <w:rsid w:val="006609AA"/>
    <w:rsid w:val="00662EDE"/>
    <w:rsid w:val="00664C9F"/>
    <w:rsid w:val="00666548"/>
    <w:rsid w:val="00666A71"/>
    <w:rsid w:val="00667537"/>
    <w:rsid w:val="00667739"/>
    <w:rsid w:val="00670865"/>
    <w:rsid w:val="00670900"/>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1D02"/>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6B67"/>
    <w:rsid w:val="006A753A"/>
    <w:rsid w:val="006A777C"/>
    <w:rsid w:val="006A7C46"/>
    <w:rsid w:val="006B0F76"/>
    <w:rsid w:val="006B1F20"/>
    <w:rsid w:val="006B398A"/>
    <w:rsid w:val="006B3E04"/>
    <w:rsid w:val="006B4024"/>
    <w:rsid w:val="006B47D7"/>
    <w:rsid w:val="006B499D"/>
    <w:rsid w:val="006B4BAD"/>
    <w:rsid w:val="006B5041"/>
    <w:rsid w:val="006B643D"/>
    <w:rsid w:val="006B79A4"/>
    <w:rsid w:val="006C1254"/>
    <w:rsid w:val="006C2DC5"/>
    <w:rsid w:val="006C480B"/>
    <w:rsid w:val="006C570B"/>
    <w:rsid w:val="006C572E"/>
    <w:rsid w:val="006C5997"/>
    <w:rsid w:val="006C5CD2"/>
    <w:rsid w:val="006D0636"/>
    <w:rsid w:val="006D06DC"/>
    <w:rsid w:val="006D2FA3"/>
    <w:rsid w:val="006D6E46"/>
    <w:rsid w:val="006D7FA8"/>
    <w:rsid w:val="006E4601"/>
    <w:rsid w:val="006E5B86"/>
    <w:rsid w:val="006E63FF"/>
    <w:rsid w:val="006E652D"/>
    <w:rsid w:val="006E7572"/>
    <w:rsid w:val="006F2F22"/>
    <w:rsid w:val="006F434A"/>
    <w:rsid w:val="006F5E64"/>
    <w:rsid w:val="006F7974"/>
    <w:rsid w:val="00700A60"/>
    <w:rsid w:val="0070369F"/>
    <w:rsid w:val="00705027"/>
    <w:rsid w:val="00710494"/>
    <w:rsid w:val="0071168D"/>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4277"/>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1632"/>
    <w:rsid w:val="0076281A"/>
    <w:rsid w:val="00762ADE"/>
    <w:rsid w:val="0076365D"/>
    <w:rsid w:val="0076392A"/>
    <w:rsid w:val="007642DC"/>
    <w:rsid w:val="007660E6"/>
    <w:rsid w:val="007661A9"/>
    <w:rsid w:val="007662C0"/>
    <w:rsid w:val="0076742F"/>
    <w:rsid w:val="00767712"/>
    <w:rsid w:val="007702EB"/>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3E69"/>
    <w:rsid w:val="00785E46"/>
    <w:rsid w:val="00787917"/>
    <w:rsid w:val="00791489"/>
    <w:rsid w:val="00791683"/>
    <w:rsid w:val="00792F0C"/>
    <w:rsid w:val="00793464"/>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21"/>
    <w:rsid w:val="007B69A2"/>
    <w:rsid w:val="007C09C4"/>
    <w:rsid w:val="007C165C"/>
    <w:rsid w:val="007C25E9"/>
    <w:rsid w:val="007C2F78"/>
    <w:rsid w:val="007C34C5"/>
    <w:rsid w:val="007C4079"/>
    <w:rsid w:val="007C4827"/>
    <w:rsid w:val="007C4A20"/>
    <w:rsid w:val="007D056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E73"/>
    <w:rsid w:val="007E7997"/>
    <w:rsid w:val="007E7B47"/>
    <w:rsid w:val="007F04EF"/>
    <w:rsid w:val="007F342F"/>
    <w:rsid w:val="007F38D1"/>
    <w:rsid w:val="007F56BB"/>
    <w:rsid w:val="007F63CE"/>
    <w:rsid w:val="007F6C62"/>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1D79"/>
    <w:rsid w:val="00822136"/>
    <w:rsid w:val="00822AAF"/>
    <w:rsid w:val="00822F01"/>
    <w:rsid w:val="008232A6"/>
    <w:rsid w:val="00823898"/>
    <w:rsid w:val="008239D1"/>
    <w:rsid w:val="00824071"/>
    <w:rsid w:val="008246B2"/>
    <w:rsid w:val="0082488A"/>
    <w:rsid w:val="00824C08"/>
    <w:rsid w:val="008250F6"/>
    <w:rsid w:val="00825F54"/>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2E87"/>
    <w:rsid w:val="00863013"/>
    <w:rsid w:val="00863F67"/>
    <w:rsid w:val="0086483A"/>
    <w:rsid w:val="00865C95"/>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3264"/>
    <w:rsid w:val="00895702"/>
    <w:rsid w:val="00897566"/>
    <w:rsid w:val="0089757B"/>
    <w:rsid w:val="008A1594"/>
    <w:rsid w:val="008A1757"/>
    <w:rsid w:val="008A1CE6"/>
    <w:rsid w:val="008A1F25"/>
    <w:rsid w:val="008A314C"/>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472"/>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1AF7"/>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1CB6"/>
    <w:rsid w:val="0093205C"/>
    <w:rsid w:val="00932204"/>
    <w:rsid w:val="009343F5"/>
    <w:rsid w:val="0093456A"/>
    <w:rsid w:val="009345AE"/>
    <w:rsid w:val="00935301"/>
    <w:rsid w:val="00936F64"/>
    <w:rsid w:val="00937B8E"/>
    <w:rsid w:val="00940C5B"/>
    <w:rsid w:val="009411F7"/>
    <w:rsid w:val="009417F1"/>
    <w:rsid w:val="00941A84"/>
    <w:rsid w:val="0094204A"/>
    <w:rsid w:val="009421D8"/>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EEB"/>
    <w:rsid w:val="009621CE"/>
    <w:rsid w:val="009622BF"/>
    <w:rsid w:val="009651B8"/>
    <w:rsid w:val="009653F3"/>
    <w:rsid w:val="0096587A"/>
    <w:rsid w:val="009666E7"/>
    <w:rsid w:val="00967278"/>
    <w:rsid w:val="00971568"/>
    <w:rsid w:val="009728F2"/>
    <w:rsid w:val="00972BEF"/>
    <w:rsid w:val="009733FA"/>
    <w:rsid w:val="00973BCF"/>
    <w:rsid w:val="009744BC"/>
    <w:rsid w:val="0097461C"/>
    <w:rsid w:val="00974E60"/>
    <w:rsid w:val="00975896"/>
    <w:rsid w:val="00975DF1"/>
    <w:rsid w:val="00976AFE"/>
    <w:rsid w:val="009827A3"/>
    <w:rsid w:val="00983CEA"/>
    <w:rsid w:val="00984198"/>
    <w:rsid w:val="009843CD"/>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38C"/>
    <w:rsid w:val="009B0AAB"/>
    <w:rsid w:val="009B0D3E"/>
    <w:rsid w:val="009B2AD1"/>
    <w:rsid w:val="009B3224"/>
    <w:rsid w:val="009B3A61"/>
    <w:rsid w:val="009B528E"/>
    <w:rsid w:val="009B54FE"/>
    <w:rsid w:val="009B77DD"/>
    <w:rsid w:val="009C13BF"/>
    <w:rsid w:val="009C2943"/>
    <w:rsid w:val="009C3758"/>
    <w:rsid w:val="009C4B2C"/>
    <w:rsid w:val="009C4CB3"/>
    <w:rsid w:val="009C4F15"/>
    <w:rsid w:val="009C511C"/>
    <w:rsid w:val="009C520D"/>
    <w:rsid w:val="009C5416"/>
    <w:rsid w:val="009C587B"/>
    <w:rsid w:val="009C64C5"/>
    <w:rsid w:val="009C6F87"/>
    <w:rsid w:val="009C7166"/>
    <w:rsid w:val="009C742C"/>
    <w:rsid w:val="009C7AE5"/>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18B"/>
    <w:rsid w:val="00A26FFF"/>
    <w:rsid w:val="00A316EC"/>
    <w:rsid w:val="00A31804"/>
    <w:rsid w:val="00A318AE"/>
    <w:rsid w:val="00A318C5"/>
    <w:rsid w:val="00A320BA"/>
    <w:rsid w:val="00A32283"/>
    <w:rsid w:val="00A32342"/>
    <w:rsid w:val="00A325EC"/>
    <w:rsid w:val="00A32B81"/>
    <w:rsid w:val="00A337E5"/>
    <w:rsid w:val="00A35448"/>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2E79"/>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51"/>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5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393B"/>
    <w:rsid w:val="00AD47D3"/>
    <w:rsid w:val="00AD652F"/>
    <w:rsid w:val="00AD702B"/>
    <w:rsid w:val="00AD7D05"/>
    <w:rsid w:val="00AE01F6"/>
    <w:rsid w:val="00AE16F0"/>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812"/>
    <w:rsid w:val="00AF4D6A"/>
    <w:rsid w:val="00AF5D2C"/>
    <w:rsid w:val="00AF5D6E"/>
    <w:rsid w:val="00AF6318"/>
    <w:rsid w:val="00B0072E"/>
    <w:rsid w:val="00B03B63"/>
    <w:rsid w:val="00B0513A"/>
    <w:rsid w:val="00B0620B"/>
    <w:rsid w:val="00B072A3"/>
    <w:rsid w:val="00B07FCD"/>
    <w:rsid w:val="00B11075"/>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01B"/>
    <w:rsid w:val="00B24EA8"/>
    <w:rsid w:val="00B26625"/>
    <w:rsid w:val="00B26A5A"/>
    <w:rsid w:val="00B2713B"/>
    <w:rsid w:val="00B2769B"/>
    <w:rsid w:val="00B307D2"/>
    <w:rsid w:val="00B3398B"/>
    <w:rsid w:val="00B33B1E"/>
    <w:rsid w:val="00B344B2"/>
    <w:rsid w:val="00B362D9"/>
    <w:rsid w:val="00B36B99"/>
    <w:rsid w:val="00B36D20"/>
    <w:rsid w:val="00B36F67"/>
    <w:rsid w:val="00B40633"/>
    <w:rsid w:val="00B44049"/>
    <w:rsid w:val="00B44318"/>
    <w:rsid w:val="00B44C4B"/>
    <w:rsid w:val="00B466B4"/>
    <w:rsid w:val="00B477CB"/>
    <w:rsid w:val="00B508A7"/>
    <w:rsid w:val="00B52081"/>
    <w:rsid w:val="00B52695"/>
    <w:rsid w:val="00B53DA2"/>
    <w:rsid w:val="00B545AF"/>
    <w:rsid w:val="00B55B09"/>
    <w:rsid w:val="00B56711"/>
    <w:rsid w:val="00B57EF2"/>
    <w:rsid w:val="00B604F3"/>
    <w:rsid w:val="00B6101C"/>
    <w:rsid w:val="00B615ED"/>
    <w:rsid w:val="00B636CE"/>
    <w:rsid w:val="00B63A9D"/>
    <w:rsid w:val="00B64888"/>
    <w:rsid w:val="00B672E3"/>
    <w:rsid w:val="00B675F9"/>
    <w:rsid w:val="00B70849"/>
    <w:rsid w:val="00B71362"/>
    <w:rsid w:val="00B72C1C"/>
    <w:rsid w:val="00B73BB7"/>
    <w:rsid w:val="00B751C3"/>
    <w:rsid w:val="00B7625C"/>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0FD7"/>
    <w:rsid w:val="00BF164F"/>
    <w:rsid w:val="00BF1AAF"/>
    <w:rsid w:val="00BF268B"/>
    <w:rsid w:val="00BF4D03"/>
    <w:rsid w:val="00BF4E85"/>
    <w:rsid w:val="00BF54BD"/>
    <w:rsid w:val="00BF5892"/>
    <w:rsid w:val="00C01804"/>
    <w:rsid w:val="00C026BC"/>
    <w:rsid w:val="00C02AD4"/>
    <w:rsid w:val="00C03869"/>
    <w:rsid w:val="00C075EE"/>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4DB"/>
    <w:rsid w:val="00C36742"/>
    <w:rsid w:val="00C3749A"/>
    <w:rsid w:val="00C374AD"/>
    <w:rsid w:val="00C40BED"/>
    <w:rsid w:val="00C40DE4"/>
    <w:rsid w:val="00C40E63"/>
    <w:rsid w:val="00C41A06"/>
    <w:rsid w:val="00C4261B"/>
    <w:rsid w:val="00C42BFB"/>
    <w:rsid w:val="00C44DDC"/>
    <w:rsid w:val="00C47BB9"/>
    <w:rsid w:val="00C5128B"/>
    <w:rsid w:val="00C51423"/>
    <w:rsid w:val="00C5294D"/>
    <w:rsid w:val="00C52F83"/>
    <w:rsid w:val="00C54C1B"/>
    <w:rsid w:val="00C54DBA"/>
    <w:rsid w:val="00C55B9E"/>
    <w:rsid w:val="00C57ED3"/>
    <w:rsid w:val="00C61640"/>
    <w:rsid w:val="00C61AA7"/>
    <w:rsid w:val="00C61B8E"/>
    <w:rsid w:val="00C668DE"/>
    <w:rsid w:val="00C7044F"/>
    <w:rsid w:val="00C704E2"/>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097"/>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AF6"/>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50E"/>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4D10"/>
    <w:rsid w:val="00D7550B"/>
    <w:rsid w:val="00D75EEB"/>
    <w:rsid w:val="00D75F1E"/>
    <w:rsid w:val="00D76841"/>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5AB0"/>
    <w:rsid w:val="00D962D2"/>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9BC"/>
    <w:rsid w:val="00DB7B0F"/>
    <w:rsid w:val="00DB7CB3"/>
    <w:rsid w:val="00DC0D57"/>
    <w:rsid w:val="00DC16F7"/>
    <w:rsid w:val="00DC1CA3"/>
    <w:rsid w:val="00DC2641"/>
    <w:rsid w:val="00DC2B1E"/>
    <w:rsid w:val="00DC4312"/>
    <w:rsid w:val="00DC7481"/>
    <w:rsid w:val="00DC7591"/>
    <w:rsid w:val="00DD0839"/>
    <w:rsid w:val="00DD16AF"/>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EAC"/>
    <w:rsid w:val="00E00CCA"/>
    <w:rsid w:val="00E01623"/>
    <w:rsid w:val="00E03FE3"/>
    <w:rsid w:val="00E06951"/>
    <w:rsid w:val="00E10C94"/>
    <w:rsid w:val="00E10EC4"/>
    <w:rsid w:val="00E111A7"/>
    <w:rsid w:val="00E118D7"/>
    <w:rsid w:val="00E12138"/>
    <w:rsid w:val="00E13EDA"/>
    <w:rsid w:val="00E13F46"/>
    <w:rsid w:val="00E14AAB"/>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152"/>
    <w:rsid w:val="00E46A5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0B15"/>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0C43"/>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9D9"/>
    <w:rsid w:val="00EC0C13"/>
    <w:rsid w:val="00EC148C"/>
    <w:rsid w:val="00EC2D7D"/>
    <w:rsid w:val="00EC36AD"/>
    <w:rsid w:val="00EC3BCF"/>
    <w:rsid w:val="00EC56B1"/>
    <w:rsid w:val="00EC664F"/>
    <w:rsid w:val="00EC6749"/>
    <w:rsid w:val="00EC72F5"/>
    <w:rsid w:val="00EC7334"/>
    <w:rsid w:val="00ED1877"/>
    <w:rsid w:val="00ED247F"/>
    <w:rsid w:val="00ED2681"/>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0823"/>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24BD"/>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4B4B"/>
    <w:rsid w:val="00F45196"/>
    <w:rsid w:val="00F45D51"/>
    <w:rsid w:val="00F46842"/>
    <w:rsid w:val="00F47556"/>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1BCF"/>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299D"/>
    <w:rsid w:val="00FC3387"/>
    <w:rsid w:val="00FC382F"/>
    <w:rsid w:val="00FC4236"/>
    <w:rsid w:val="00FC615D"/>
    <w:rsid w:val="00FC7AF5"/>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134"/>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B71362"/>
    <w:rPr>
      <w:rFonts w:ascii="Arial" w:hAnsi="Arial" w:cs="Arial"/>
      <w:sz w:val="22"/>
    </w:rPr>
  </w:style>
  <w:style w:type="paragraph" w:customStyle="1" w:styleId="ONUME">
    <w:name w:val="ONUM E"/>
    <w:basedOn w:val="BodyText"/>
    <w:link w:val="ONUMEChar"/>
    <w:rsid w:val="00403969"/>
    <w:pPr>
      <w:spacing w:after="220"/>
    </w:pPr>
    <w:rPr>
      <w:rFonts w:eastAsia="SimSun"/>
      <w:lang w:eastAsia="zh-CN"/>
    </w:rPr>
  </w:style>
  <w:style w:type="character" w:customStyle="1" w:styleId="ONUMEChar">
    <w:name w:val="ONUM E Char"/>
    <w:link w:val="ONUME"/>
    <w:rsid w:val="00403969"/>
    <w:rPr>
      <w:rFonts w:ascii="Arial" w:eastAsia="SimSun" w:hAnsi="Arial" w:cs="Arial"/>
      <w:sz w:val="22"/>
      <w:lang w:eastAsia="zh-CN"/>
    </w:rPr>
  </w:style>
  <w:style w:type="paragraph" w:styleId="BodyText">
    <w:name w:val="Body Text"/>
    <w:basedOn w:val="Normal"/>
    <w:link w:val="BodyTextChar"/>
    <w:rsid w:val="00403969"/>
    <w:pPr>
      <w:spacing w:after="120"/>
    </w:pPr>
  </w:style>
  <w:style w:type="character" w:customStyle="1" w:styleId="BodyTextChar">
    <w:name w:val="Body Text Char"/>
    <w:basedOn w:val="DefaultParagraphFont"/>
    <w:link w:val="BodyText"/>
    <w:rsid w:val="0040396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B71362"/>
    <w:rPr>
      <w:rFonts w:ascii="Arial" w:hAnsi="Arial" w:cs="Arial"/>
      <w:sz w:val="22"/>
    </w:rPr>
  </w:style>
  <w:style w:type="paragraph" w:customStyle="1" w:styleId="ONUME">
    <w:name w:val="ONUM E"/>
    <w:basedOn w:val="BodyText"/>
    <w:link w:val="ONUMEChar"/>
    <w:rsid w:val="00403969"/>
    <w:pPr>
      <w:spacing w:after="220"/>
    </w:pPr>
    <w:rPr>
      <w:rFonts w:eastAsia="SimSun"/>
      <w:lang w:eastAsia="zh-CN"/>
    </w:rPr>
  </w:style>
  <w:style w:type="character" w:customStyle="1" w:styleId="ONUMEChar">
    <w:name w:val="ONUM E Char"/>
    <w:link w:val="ONUME"/>
    <w:rsid w:val="00403969"/>
    <w:rPr>
      <w:rFonts w:ascii="Arial" w:eastAsia="SimSun" w:hAnsi="Arial" w:cs="Arial"/>
      <w:sz w:val="22"/>
      <w:lang w:eastAsia="zh-CN"/>
    </w:rPr>
  </w:style>
  <w:style w:type="paragraph" w:styleId="BodyText">
    <w:name w:val="Body Text"/>
    <w:basedOn w:val="Normal"/>
    <w:link w:val="BodyTextChar"/>
    <w:rsid w:val="00403969"/>
    <w:pPr>
      <w:spacing w:after="120"/>
    </w:pPr>
  </w:style>
  <w:style w:type="character" w:customStyle="1" w:styleId="BodyTextChar">
    <w:name w:val="Body Text Char"/>
    <w:basedOn w:val="DefaultParagraphFont"/>
    <w:link w:val="BodyText"/>
    <w:rsid w:val="0040396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87B42-7F14-42D6-BF43-CDA11918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WO_PBC_23_AR.dotx</Template>
  <TotalTime>1326</TotalTime>
  <Pages>17</Pages>
  <Words>4458</Words>
  <Characters>23696</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WO_PBC_23_7 (Arabic)</vt:lpstr>
    </vt:vector>
  </TitlesOfParts>
  <Company>World Intellectual Property Organization</Company>
  <LinksUpToDate>false</LinksUpToDate>
  <CharactersWithSpaces>28098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WO_PBC_23_7 (Arabic)</dc:title>
  <dc:creator>وثيقة من إعداد الأمانة</dc:creator>
  <cp:lastModifiedBy>MERZOUK Fawzi</cp:lastModifiedBy>
  <cp:revision>79</cp:revision>
  <cp:lastPrinted>2015-06-24T15:59:00Z</cp:lastPrinted>
  <dcterms:created xsi:type="dcterms:W3CDTF">2015-06-16T13:39:00Z</dcterms:created>
  <dcterms:modified xsi:type="dcterms:W3CDTF">2015-06-24T15:59:00Z</dcterms:modified>
</cp:coreProperties>
</file>