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74410">
            <w:pPr>
              <w:pStyle w:val="DocumentCodeAR"/>
              <w:bidi/>
              <w:rPr>
                <w:rtl/>
              </w:rPr>
            </w:pPr>
            <w:r>
              <w:t>WO/</w:t>
            </w:r>
            <w:r w:rsidR="00983389">
              <w:t>PBC</w:t>
            </w:r>
            <w:r w:rsidR="00100F97">
              <w:t>/</w:t>
            </w:r>
            <w:r>
              <w:t>2</w:t>
            </w:r>
            <w:r w:rsidR="00AA2001">
              <w:t>2</w:t>
            </w:r>
            <w:r w:rsidR="003269E1">
              <w:t>/13</w:t>
            </w:r>
          </w:p>
        </w:tc>
      </w:tr>
      <w:tr w:rsidR="001667B6" w:rsidTr="00BF164F">
        <w:tc>
          <w:tcPr>
            <w:tcW w:w="9571" w:type="dxa"/>
            <w:gridSpan w:val="3"/>
          </w:tcPr>
          <w:p w:rsidR="001667B6" w:rsidRPr="00B6101C" w:rsidRDefault="00B6101C" w:rsidP="0003395F">
            <w:pPr>
              <w:pStyle w:val="DocumentLanguageAR"/>
              <w:bidi/>
              <w:rPr>
                <w:rtl/>
              </w:rPr>
            </w:pPr>
            <w:r w:rsidRPr="00B6101C">
              <w:rPr>
                <w:rFonts w:hint="cs"/>
                <w:rtl/>
              </w:rPr>
              <w:t xml:space="preserve">الأصل: </w:t>
            </w:r>
            <w:r w:rsidR="0003395F">
              <w:rPr>
                <w:rFonts w:hint="cs"/>
                <w:rtl/>
              </w:rPr>
              <w:t>بالإنكليزية</w:t>
            </w:r>
          </w:p>
        </w:tc>
      </w:tr>
      <w:tr w:rsidR="001667B6" w:rsidTr="00BF164F">
        <w:tc>
          <w:tcPr>
            <w:tcW w:w="9571" w:type="dxa"/>
            <w:gridSpan w:val="3"/>
          </w:tcPr>
          <w:p w:rsidR="001667B6" w:rsidRPr="00B6101C" w:rsidRDefault="00B6101C" w:rsidP="0003395F">
            <w:pPr>
              <w:pStyle w:val="DocumentDateAR"/>
              <w:bidi/>
              <w:rPr>
                <w:rtl/>
              </w:rPr>
            </w:pPr>
            <w:r w:rsidRPr="00B6101C">
              <w:rPr>
                <w:rFonts w:hint="cs"/>
                <w:rtl/>
              </w:rPr>
              <w:t xml:space="preserve">التاريخ: </w:t>
            </w:r>
            <w:r w:rsidR="0003395F">
              <w:rPr>
                <w:rFonts w:hint="cs"/>
                <w:rtl/>
              </w:rPr>
              <w:t>4 أغسطس</w:t>
            </w:r>
            <w:r w:rsidRPr="00B6101C">
              <w:rPr>
                <w:rFonts w:hint="cs"/>
                <w:rtl/>
              </w:rPr>
              <w:t xml:space="preserve"> </w:t>
            </w:r>
            <w:r w:rsidR="00190B6D">
              <w:rPr>
                <w:rFonts w:hint="cs"/>
                <w:rtl/>
              </w:rPr>
              <w:t>201</w:t>
            </w:r>
            <w:r w:rsidR="00AA2001">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والعشرون</w:t>
      </w:r>
    </w:p>
    <w:p w:rsidR="00D61541" w:rsidRPr="00D61541" w:rsidRDefault="00D61541" w:rsidP="00AA2001">
      <w:pPr>
        <w:pStyle w:val="MeetingDatesAR"/>
        <w:bidi/>
        <w:rPr>
          <w:rtl/>
        </w:rPr>
      </w:pPr>
      <w:r w:rsidRPr="00D61541">
        <w:rPr>
          <w:rFonts w:hint="cs"/>
          <w:rtl/>
        </w:rPr>
        <w:t xml:space="preserve">جنيف، من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AA2001">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3395F" w:rsidP="0003395F">
      <w:pPr>
        <w:pStyle w:val="DocumentTitleAR"/>
        <w:bidi/>
        <w:rPr>
          <w:rtl/>
        </w:rPr>
      </w:pPr>
      <w:r w:rsidRPr="0003395F">
        <w:rPr>
          <w:rtl/>
        </w:rPr>
        <w:t xml:space="preserve">تقرير مرحلي </w:t>
      </w:r>
      <w:r>
        <w:rPr>
          <w:rFonts w:hint="cs"/>
          <w:rtl/>
        </w:rPr>
        <w:t>عن</w:t>
      </w:r>
      <w:r w:rsidRPr="0003395F">
        <w:rPr>
          <w:rtl/>
        </w:rPr>
        <w:t xml:space="preserve"> مشروع تحسين معايير السلامة والأمن في مباني الويبو الحالية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03395F">
        <w:rPr>
          <w:rFonts w:hint="cs"/>
          <w:rtl/>
        </w:rPr>
        <w:t xml:space="preserve"> الأمانة</w:t>
      </w:r>
    </w:p>
    <w:p w:rsidR="00AA2001" w:rsidRPr="0003395F" w:rsidRDefault="0003395F" w:rsidP="0003395F">
      <w:pPr>
        <w:pStyle w:val="NormalParaAR"/>
        <w:keepNext/>
        <w:rPr>
          <w:sz w:val="40"/>
          <w:szCs w:val="40"/>
          <w:rtl/>
        </w:rPr>
      </w:pPr>
      <w:r>
        <w:rPr>
          <w:rFonts w:hint="cs"/>
          <w:b/>
          <w:bCs/>
          <w:sz w:val="40"/>
          <w:szCs w:val="40"/>
          <w:rtl/>
        </w:rPr>
        <w:t>مقدمة</w:t>
      </w:r>
    </w:p>
    <w:p w:rsidR="0003395F" w:rsidRDefault="002356C9" w:rsidP="00DE18CA">
      <w:pPr>
        <w:pStyle w:val="NormalParaAR"/>
        <w:numPr>
          <w:ilvl w:val="0"/>
          <w:numId w:val="21"/>
        </w:numPr>
        <w:ind w:left="0" w:firstLine="0"/>
      </w:pPr>
      <w:r>
        <w:rPr>
          <w:rFonts w:hint="cs"/>
          <w:rtl/>
        </w:rPr>
        <w:t>ترمي</w:t>
      </w:r>
      <w:r w:rsidR="00BB3FF4">
        <w:rPr>
          <w:rFonts w:hint="cs"/>
          <w:rtl/>
        </w:rPr>
        <w:t xml:space="preserve"> هذه الوثيقة إلى</w:t>
      </w:r>
      <w:r w:rsidR="0003395F">
        <w:rPr>
          <w:rFonts w:hint="cs"/>
          <w:rtl/>
        </w:rPr>
        <w:t xml:space="preserve"> موافاة لجنة البرنامج والميزانية بأحدث المعلومات </w:t>
      </w:r>
      <w:r w:rsidR="003269E1">
        <w:rPr>
          <w:rFonts w:hint="cs"/>
          <w:rtl/>
        </w:rPr>
        <w:t>عن</w:t>
      </w:r>
      <w:r w:rsidR="0003395F">
        <w:rPr>
          <w:rFonts w:hint="cs"/>
          <w:rtl/>
        </w:rPr>
        <w:t xml:space="preserve"> "مشروع تحسين معايير السلامة والأمن في مباني الويبو الحالية" منذ عرض التقرير السابق على اللجنة في دورتها الحادية والعشرين التي عُقدت في سبتمبر</w:t>
      </w:r>
      <w:r w:rsidR="00DE18CA">
        <w:rPr>
          <w:rFonts w:hint="eastAsia"/>
          <w:rtl/>
        </w:rPr>
        <w:t> </w:t>
      </w:r>
      <w:r w:rsidR="0003395F">
        <w:rPr>
          <w:rFonts w:hint="cs"/>
          <w:rtl/>
        </w:rPr>
        <w:t>2013 (</w:t>
      </w:r>
      <w:r w:rsidR="0003395F">
        <w:t>WO/PBC/21/9</w:t>
      </w:r>
      <w:r w:rsidR="0003395F">
        <w:rPr>
          <w:rFonts w:hint="cs"/>
          <w:rtl/>
        </w:rPr>
        <w:t>).</w:t>
      </w:r>
    </w:p>
    <w:p w:rsidR="00BE43B5" w:rsidRPr="00BE43B5" w:rsidRDefault="00BE43B5" w:rsidP="00BE43B5">
      <w:pPr>
        <w:pStyle w:val="NormalParaAR"/>
        <w:keepNext/>
        <w:rPr>
          <w:b/>
          <w:bCs/>
          <w:sz w:val="40"/>
          <w:szCs w:val="40"/>
        </w:rPr>
      </w:pPr>
      <w:r>
        <w:rPr>
          <w:rFonts w:hint="cs"/>
          <w:b/>
          <w:bCs/>
          <w:sz w:val="40"/>
          <w:szCs w:val="40"/>
          <w:rtl/>
        </w:rPr>
        <w:t>لمحة عن التقدم المحرز في المشروع</w:t>
      </w:r>
    </w:p>
    <w:p w:rsidR="0003395F" w:rsidRDefault="00BE43B5" w:rsidP="002A3B3D">
      <w:pPr>
        <w:pStyle w:val="NormalParaAR"/>
        <w:keepNext/>
        <w:numPr>
          <w:ilvl w:val="0"/>
          <w:numId w:val="21"/>
        </w:numPr>
        <w:ind w:left="0" w:firstLine="0"/>
      </w:pPr>
      <w:r>
        <w:rPr>
          <w:rFonts w:hint="cs"/>
          <w:rtl/>
        </w:rPr>
        <w:t>تألف مشروع تحسين معايير السلامة والأمن في مقر ال</w:t>
      </w:r>
      <w:r w:rsidR="009A6427">
        <w:rPr>
          <w:rFonts w:hint="cs"/>
          <w:rtl/>
        </w:rPr>
        <w:t>ويبو من ثلاث مراحل تنفيذ رئيسية:</w:t>
      </w:r>
    </w:p>
    <w:p w:rsidR="009A6427" w:rsidRDefault="009A6427" w:rsidP="00DE18CA">
      <w:pPr>
        <w:pStyle w:val="NormalParaAR"/>
        <w:numPr>
          <w:ilvl w:val="0"/>
          <w:numId w:val="22"/>
        </w:numPr>
        <w:ind w:left="1134" w:hanging="567"/>
        <w:rPr>
          <w:rtl/>
        </w:rPr>
      </w:pPr>
      <w:r>
        <w:rPr>
          <w:rFonts w:hint="cs"/>
          <w:b/>
          <w:bCs/>
          <w:rtl/>
        </w:rPr>
        <w:t>المرحلة الأولى</w:t>
      </w:r>
      <w:r>
        <w:rPr>
          <w:rFonts w:hint="cs"/>
          <w:rtl/>
        </w:rPr>
        <w:t xml:space="preserve"> </w:t>
      </w:r>
      <w:r>
        <w:rPr>
          <w:rtl/>
        </w:rPr>
        <w:t>–</w:t>
      </w:r>
      <w:r>
        <w:rPr>
          <w:rFonts w:hint="cs"/>
          <w:rtl/>
        </w:rPr>
        <w:t xml:space="preserve"> تطبيق "مبادئ إدارة المخاطر" وجمع التدابير الفعالة للتخفيف من وطأة المخاطر، </w:t>
      </w:r>
      <w:r w:rsidR="00D903AD">
        <w:rPr>
          <w:rFonts w:hint="cs"/>
          <w:rtl/>
        </w:rPr>
        <w:t>ب</w:t>
      </w:r>
      <w:r>
        <w:rPr>
          <w:rFonts w:hint="cs"/>
          <w:rtl/>
        </w:rPr>
        <w:t xml:space="preserve">التركيز على مختلف النظم </w:t>
      </w:r>
      <w:r w:rsidR="002A3B3D">
        <w:rPr>
          <w:rFonts w:hint="cs"/>
          <w:rtl/>
        </w:rPr>
        <w:t>التقنية</w:t>
      </w:r>
      <w:r w:rsidR="00413B97">
        <w:rPr>
          <w:rFonts w:hint="cs"/>
          <w:rtl/>
        </w:rPr>
        <w:t xml:space="preserve"> اللازمة</w:t>
      </w:r>
      <w:r w:rsidR="00DE18CA">
        <w:rPr>
          <w:rFonts w:hint="cs"/>
          <w:rtl/>
        </w:rPr>
        <w:t>،</w:t>
      </w:r>
      <w:r w:rsidR="00413B97">
        <w:rPr>
          <w:rFonts w:hint="cs"/>
          <w:rtl/>
        </w:rPr>
        <w:t xml:space="preserve"> وت</w:t>
      </w:r>
      <w:r w:rsidR="000A7E28">
        <w:rPr>
          <w:rFonts w:hint="cs"/>
          <w:rtl/>
        </w:rPr>
        <w:t>َ</w:t>
      </w:r>
      <w:r w:rsidR="00413B97">
        <w:rPr>
          <w:rFonts w:hint="cs"/>
          <w:rtl/>
        </w:rPr>
        <w:t>وافق</w:t>
      </w:r>
      <w:r w:rsidR="00BB3FF4">
        <w:rPr>
          <w:rFonts w:hint="cs"/>
          <w:rtl/>
        </w:rPr>
        <w:t xml:space="preserve"> البنى</w:t>
      </w:r>
      <w:r>
        <w:rPr>
          <w:rFonts w:hint="cs"/>
          <w:rtl/>
        </w:rPr>
        <w:t xml:space="preserve"> التحتية</w:t>
      </w:r>
      <w:r w:rsidR="00DE18CA">
        <w:rPr>
          <w:rFonts w:hint="cs"/>
          <w:rtl/>
        </w:rPr>
        <w:t>،</w:t>
      </w:r>
      <w:r>
        <w:rPr>
          <w:rFonts w:hint="cs"/>
          <w:rtl/>
        </w:rPr>
        <w:t xml:space="preserve"> والشراكات الداخلية والخارجية </w:t>
      </w:r>
      <w:r w:rsidR="00D903AD">
        <w:rPr>
          <w:rFonts w:hint="cs"/>
          <w:rtl/>
        </w:rPr>
        <w:t>التي تسهم في وضع مفهوم</w:t>
      </w:r>
      <w:r>
        <w:rPr>
          <w:rFonts w:hint="cs"/>
          <w:rtl/>
        </w:rPr>
        <w:t xml:space="preserve"> شامل للسلامة والأمن وفقاً لإطار المشروع والمعايير</w:t>
      </w:r>
      <w:r w:rsidR="00BB3FF4">
        <w:rPr>
          <w:rtl/>
        </w:rPr>
        <w:t xml:space="preserve"> الدنيا للأمن التشغيل</w:t>
      </w:r>
      <w:r w:rsidR="00BB3FF4">
        <w:rPr>
          <w:rFonts w:hint="cs"/>
          <w:rtl/>
        </w:rPr>
        <w:t>ي</w:t>
      </w:r>
      <w:r w:rsidRPr="009A6427">
        <w:rPr>
          <w:rtl/>
        </w:rPr>
        <w:t xml:space="preserve"> في المقار (</w:t>
      </w:r>
      <w:r w:rsidRPr="009A6427">
        <w:t>H</w:t>
      </w:r>
      <w:r w:rsidR="00413B97">
        <w:noBreakHyphen/>
      </w:r>
      <w:r w:rsidRPr="009A6427">
        <w:t>MOSS</w:t>
      </w:r>
      <w:r w:rsidRPr="009A6427">
        <w:rPr>
          <w:rtl/>
        </w:rPr>
        <w:t>)</w:t>
      </w:r>
      <w:r w:rsidR="00D903AD">
        <w:rPr>
          <w:rFonts w:hint="cs"/>
          <w:rtl/>
        </w:rPr>
        <w:t>، وتقييم تلك العناصر</w:t>
      </w:r>
      <w:r>
        <w:rPr>
          <w:rFonts w:hint="cs"/>
          <w:rtl/>
        </w:rPr>
        <w:t>؛ (</w:t>
      </w:r>
      <w:r w:rsidR="00D903AD">
        <w:rPr>
          <w:rFonts w:hint="cs"/>
          <w:rtl/>
        </w:rPr>
        <w:t>اكتملت</w:t>
      </w:r>
      <w:r>
        <w:rPr>
          <w:rFonts w:hint="cs"/>
          <w:rtl/>
        </w:rPr>
        <w:t>)</w:t>
      </w:r>
    </w:p>
    <w:p w:rsidR="009A6427" w:rsidRDefault="009A6427" w:rsidP="002A3B3D">
      <w:pPr>
        <w:pStyle w:val="NormalParaAR"/>
        <w:numPr>
          <w:ilvl w:val="0"/>
          <w:numId w:val="22"/>
        </w:numPr>
        <w:ind w:left="1134" w:hanging="567"/>
        <w:rPr>
          <w:rtl/>
        </w:rPr>
      </w:pPr>
      <w:r>
        <w:rPr>
          <w:rFonts w:hint="cs"/>
          <w:b/>
          <w:bCs/>
          <w:rtl/>
        </w:rPr>
        <w:t>المرحلة الثانية</w:t>
      </w:r>
      <w:r>
        <w:rPr>
          <w:rFonts w:hint="cs"/>
          <w:rtl/>
        </w:rPr>
        <w:t xml:space="preserve"> </w:t>
      </w:r>
      <w:r>
        <w:rPr>
          <w:rtl/>
        </w:rPr>
        <w:t>–</w:t>
      </w:r>
      <w:r>
        <w:rPr>
          <w:rFonts w:hint="cs"/>
          <w:rtl/>
        </w:rPr>
        <w:t xml:space="preserve"> </w:t>
      </w:r>
      <w:r w:rsidRPr="009A6427">
        <w:rPr>
          <w:rtl/>
        </w:rPr>
        <w:t>تشمل إعداد المواصفات التقنية، بما في ذلك دفاتر التنفيذ لشركات البناء ومقدمي الخدمات، و</w:t>
      </w:r>
      <w:r w:rsidR="002A3B3D">
        <w:rPr>
          <w:rFonts w:hint="cs"/>
          <w:rtl/>
        </w:rPr>
        <w:t>إ</w:t>
      </w:r>
      <w:r w:rsidRPr="009A6427">
        <w:rPr>
          <w:rtl/>
        </w:rPr>
        <w:t>صدار دعوات لتقديم العطاءات</w:t>
      </w:r>
      <w:r>
        <w:rPr>
          <w:rFonts w:hint="cs"/>
          <w:rtl/>
        </w:rPr>
        <w:t xml:space="preserve"> فيما يخص الخدمات</w:t>
      </w:r>
      <w:r w:rsidRPr="009A6427">
        <w:rPr>
          <w:rtl/>
        </w:rPr>
        <w:t xml:space="preserve"> وشراء المعدات</w:t>
      </w:r>
      <w:r>
        <w:rPr>
          <w:rFonts w:hint="cs"/>
          <w:rtl/>
        </w:rPr>
        <w:t xml:space="preserve"> الفنية</w:t>
      </w:r>
      <w:r w:rsidRPr="009A6427">
        <w:rPr>
          <w:rtl/>
        </w:rPr>
        <w:t xml:space="preserve"> و</w:t>
      </w:r>
      <w:r w:rsidR="00AC2145">
        <w:rPr>
          <w:rFonts w:hint="cs"/>
          <w:rtl/>
        </w:rPr>
        <w:t>نظم</w:t>
      </w:r>
      <w:r>
        <w:rPr>
          <w:rFonts w:hint="cs"/>
          <w:rtl/>
        </w:rPr>
        <w:t xml:space="preserve"> الاتصال/التواصل الداعمة</w:t>
      </w:r>
      <w:r w:rsidRPr="009A6427">
        <w:rPr>
          <w:rtl/>
        </w:rPr>
        <w:t>؛</w:t>
      </w:r>
      <w:r>
        <w:rPr>
          <w:rFonts w:hint="cs"/>
          <w:rtl/>
        </w:rPr>
        <w:t xml:space="preserve"> (</w:t>
      </w:r>
      <w:r w:rsidR="00D903AD">
        <w:rPr>
          <w:rFonts w:hint="cs"/>
          <w:rtl/>
        </w:rPr>
        <w:t>اكتملت</w:t>
      </w:r>
      <w:r>
        <w:rPr>
          <w:rFonts w:hint="cs"/>
          <w:rtl/>
        </w:rPr>
        <w:t xml:space="preserve"> في مايو 2014)</w:t>
      </w:r>
    </w:p>
    <w:p w:rsidR="009A6427" w:rsidRDefault="009A6427" w:rsidP="00BB3FF4">
      <w:pPr>
        <w:pStyle w:val="NormalParaAR"/>
        <w:numPr>
          <w:ilvl w:val="0"/>
          <w:numId w:val="22"/>
        </w:numPr>
        <w:ind w:left="1134" w:hanging="567"/>
        <w:rPr>
          <w:rtl/>
        </w:rPr>
      </w:pPr>
      <w:r>
        <w:rPr>
          <w:rFonts w:hint="cs"/>
          <w:b/>
          <w:bCs/>
          <w:rtl/>
        </w:rPr>
        <w:lastRenderedPageBreak/>
        <w:t>المرحلة الثالثة</w:t>
      </w:r>
      <w:r>
        <w:rPr>
          <w:rFonts w:hint="cs"/>
          <w:rtl/>
        </w:rPr>
        <w:t xml:space="preserve"> </w:t>
      </w:r>
      <w:r>
        <w:rPr>
          <w:rtl/>
        </w:rPr>
        <w:t>–</w:t>
      </w:r>
      <w:r>
        <w:rPr>
          <w:rFonts w:hint="cs"/>
          <w:rtl/>
        </w:rPr>
        <w:t xml:space="preserve"> تتعلق بالتنفيذ </w:t>
      </w:r>
      <w:r w:rsidR="00D903AD">
        <w:rPr>
          <w:rFonts w:hint="cs"/>
          <w:rtl/>
        </w:rPr>
        <w:t>الفعلي</w:t>
      </w:r>
      <w:r>
        <w:rPr>
          <w:rFonts w:hint="cs"/>
          <w:rtl/>
        </w:rPr>
        <w:t xml:space="preserve"> للمشروع، </w:t>
      </w:r>
      <w:r w:rsidR="00312679">
        <w:rPr>
          <w:rFonts w:hint="cs"/>
          <w:rtl/>
        </w:rPr>
        <w:t>ومراقبته</w:t>
      </w:r>
      <w:r>
        <w:rPr>
          <w:rFonts w:hint="cs"/>
          <w:rtl/>
        </w:rPr>
        <w:t xml:space="preserve"> بنشاط، واستكماله في نهاية المطاف وتسليمه </w:t>
      </w:r>
      <w:r w:rsidR="00BB3FF4">
        <w:rPr>
          <w:rFonts w:hint="cs"/>
          <w:rtl/>
        </w:rPr>
        <w:t xml:space="preserve">للويبو. </w:t>
      </w:r>
      <w:r w:rsidR="00AF4A0E">
        <w:rPr>
          <w:rFonts w:hint="cs"/>
          <w:rtl/>
        </w:rPr>
        <w:t>(</w:t>
      </w:r>
      <w:r w:rsidR="00D903AD">
        <w:rPr>
          <w:rFonts w:hint="cs"/>
          <w:rtl/>
        </w:rPr>
        <w:t>جاري التنفيذ</w:t>
      </w:r>
      <w:r>
        <w:rPr>
          <w:rFonts w:hint="cs"/>
          <w:rtl/>
        </w:rPr>
        <w:t>)</w:t>
      </w:r>
    </w:p>
    <w:p w:rsidR="009A6427" w:rsidRDefault="00AF4A0E" w:rsidP="002A3B3D">
      <w:pPr>
        <w:pStyle w:val="NormalParaAR"/>
        <w:keepNext/>
        <w:numPr>
          <w:ilvl w:val="0"/>
          <w:numId w:val="21"/>
        </w:numPr>
        <w:ind w:left="0" w:firstLine="0"/>
      </w:pPr>
      <w:r>
        <w:rPr>
          <w:rFonts w:hint="cs"/>
          <w:rtl/>
        </w:rPr>
        <w:t xml:space="preserve">وبعد استكمال هذا التقرير، قُيِّمت </w:t>
      </w:r>
      <w:r w:rsidR="00D903AD">
        <w:rPr>
          <w:rFonts w:hint="cs"/>
          <w:rtl/>
        </w:rPr>
        <w:t>ال</w:t>
      </w:r>
      <w:r>
        <w:rPr>
          <w:rFonts w:hint="cs"/>
          <w:rtl/>
        </w:rPr>
        <w:t xml:space="preserve">تدابير </w:t>
      </w:r>
      <w:r w:rsidR="002A3B3D">
        <w:rPr>
          <w:rFonts w:hint="cs"/>
          <w:rtl/>
        </w:rPr>
        <w:t>التقنية</w:t>
      </w:r>
      <w:r w:rsidR="00D903AD">
        <w:rPr>
          <w:rFonts w:hint="cs"/>
          <w:rtl/>
        </w:rPr>
        <w:t xml:space="preserve"> ل</w:t>
      </w:r>
      <w:r>
        <w:rPr>
          <w:rFonts w:hint="cs"/>
          <w:rtl/>
        </w:rPr>
        <w:t xml:space="preserve">تنفيذ المشروع ومراحل </w:t>
      </w:r>
      <w:r w:rsidR="00312679">
        <w:rPr>
          <w:rFonts w:hint="cs"/>
          <w:rtl/>
        </w:rPr>
        <w:t>مراقبت</w:t>
      </w:r>
      <w:r w:rsidR="00D903AD">
        <w:rPr>
          <w:rFonts w:hint="cs"/>
          <w:rtl/>
        </w:rPr>
        <w:t>ه</w:t>
      </w:r>
      <w:r>
        <w:rPr>
          <w:rFonts w:hint="cs"/>
          <w:rtl/>
        </w:rPr>
        <w:t xml:space="preserve"> وعُدلت طبقاً للجدول التالي:</w:t>
      </w:r>
    </w:p>
    <w:tbl>
      <w:tblPr>
        <w:tblStyle w:val="TableGrid"/>
        <w:bidiVisual/>
        <w:tblW w:w="0" w:type="auto"/>
        <w:jc w:val="center"/>
        <w:tblLook w:val="04A0" w:firstRow="1" w:lastRow="0" w:firstColumn="1" w:lastColumn="0" w:noHBand="0" w:noVBand="1"/>
      </w:tblPr>
      <w:tblGrid>
        <w:gridCol w:w="2977"/>
        <w:gridCol w:w="2883"/>
        <w:gridCol w:w="2929"/>
      </w:tblGrid>
      <w:tr w:rsidR="00AF4A0E" w:rsidRPr="00AF4A0E" w:rsidTr="00BB3FF4">
        <w:trPr>
          <w:trHeight w:val="435"/>
          <w:jc w:val="center"/>
        </w:trPr>
        <w:tc>
          <w:tcPr>
            <w:tcW w:w="2977" w:type="dxa"/>
            <w:vAlign w:val="center"/>
          </w:tcPr>
          <w:p w:rsidR="00AF4A0E" w:rsidRPr="00AF4A0E" w:rsidRDefault="00AF4A0E" w:rsidP="00AF4A0E">
            <w:pPr>
              <w:bidi/>
              <w:contextualSpacing/>
              <w:jc w:val="center"/>
              <w:rPr>
                <w:rFonts w:ascii="Arabic Typesetting" w:eastAsiaTheme="minorHAnsi" w:hAnsi="Arabic Typesetting" w:cs="Arabic Typesetting"/>
                <w:bCs/>
                <w:sz w:val="36"/>
                <w:szCs w:val="36"/>
              </w:rPr>
            </w:pPr>
            <w:r w:rsidRPr="00AF4A0E">
              <w:rPr>
                <w:rFonts w:ascii="Arabic Typesetting" w:eastAsiaTheme="minorHAnsi" w:hAnsi="Arabic Typesetting" w:cs="Arabic Typesetting"/>
                <w:bCs/>
                <w:sz w:val="36"/>
                <w:szCs w:val="36"/>
                <w:rtl/>
              </w:rPr>
              <w:t>مقومات المشروع</w:t>
            </w:r>
          </w:p>
        </w:tc>
        <w:tc>
          <w:tcPr>
            <w:tcW w:w="2883" w:type="dxa"/>
            <w:vAlign w:val="center"/>
          </w:tcPr>
          <w:p w:rsidR="00AF4A0E" w:rsidRPr="00AF4A0E" w:rsidRDefault="00AF4A0E" w:rsidP="00AF4A0E">
            <w:pPr>
              <w:bidi/>
              <w:ind w:left="34"/>
              <w:contextualSpacing/>
              <w:jc w:val="center"/>
              <w:rPr>
                <w:rFonts w:ascii="Arabic Typesetting" w:eastAsiaTheme="minorHAnsi" w:hAnsi="Arabic Typesetting" w:cs="Arabic Typesetting"/>
                <w:bCs/>
                <w:sz w:val="36"/>
                <w:szCs w:val="36"/>
              </w:rPr>
            </w:pPr>
            <w:r w:rsidRPr="00AF4A0E">
              <w:rPr>
                <w:rFonts w:ascii="Arabic Typesetting" w:eastAsiaTheme="minorHAnsi" w:hAnsi="Arabic Typesetting" w:cs="Arabic Typesetting"/>
                <w:bCs/>
                <w:sz w:val="36"/>
                <w:szCs w:val="36"/>
                <w:rtl/>
              </w:rPr>
              <w:t>الوضع الحالي</w:t>
            </w:r>
          </w:p>
        </w:tc>
        <w:tc>
          <w:tcPr>
            <w:tcW w:w="2929" w:type="dxa"/>
            <w:vAlign w:val="center"/>
          </w:tcPr>
          <w:p w:rsidR="00AF4A0E" w:rsidRPr="00AF4A0E" w:rsidRDefault="00AF4A0E" w:rsidP="00D903AD">
            <w:pPr>
              <w:bidi/>
              <w:contextualSpacing/>
              <w:jc w:val="center"/>
              <w:rPr>
                <w:rFonts w:ascii="Arabic Typesetting" w:eastAsiaTheme="minorHAnsi" w:hAnsi="Arabic Typesetting" w:cs="Arabic Typesetting"/>
                <w:bCs/>
                <w:sz w:val="36"/>
                <w:szCs w:val="36"/>
              </w:rPr>
            </w:pPr>
            <w:r w:rsidRPr="00AF4A0E">
              <w:rPr>
                <w:rFonts w:ascii="Arabic Typesetting" w:eastAsiaTheme="minorHAnsi" w:hAnsi="Arabic Typesetting" w:cs="Arabic Typesetting"/>
                <w:bCs/>
                <w:sz w:val="36"/>
                <w:szCs w:val="36"/>
                <w:rtl/>
              </w:rPr>
              <w:t xml:space="preserve">تاريخ </w:t>
            </w:r>
            <w:r w:rsidR="00D903AD">
              <w:rPr>
                <w:rFonts w:ascii="Arabic Typesetting" w:eastAsiaTheme="minorHAnsi" w:hAnsi="Arabic Typesetting" w:cs="Arabic Typesetting" w:hint="cs"/>
                <w:bCs/>
                <w:sz w:val="36"/>
                <w:szCs w:val="36"/>
                <w:rtl/>
              </w:rPr>
              <w:t>الانتهاء</w:t>
            </w:r>
            <w:r w:rsidRPr="00AF4A0E">
              <w:rPr>
                <w:rFonts w:ascii="Arabic Typesetting" w:eastAsiaTheme="minorHAnsi" w:hAnsi="Arabic Typesetting" w:cs="Arabic Typesetting"/>
                <w:bCs/>
                <w:sz w:val="36"/>
                <w:szCs w:val="36"/>
                <w:rtl/>
              </w:rPr>
              <w:t xml:space="preserve"> المتوقع</w:t>
            </w:r>
          </w:p>
        </w:tc>
      </w:tr>
      <w:tr w:rsidR="00AF4A0E" w:rsidRPr="00AF4A0E" w:rsidTr="00BB3FF4">
        <w:trPr>
          <w:trHeight w:val="697"/>
          <w:jc w:val="center"/>
        </w:trPr>
        <w:tc>
          <w:tcPr>
            <w:tcW w:w="2977" w:type="dxa"/>
          </w:tcPr>
          <w:p w:rsidR="00AF4A0E" w:rsidRPr="00AF4A0E" w:rsidRDefault="00AF4A0E" w:rsidP="00AF4A0E">
            <w:pPr>
              <w:bidi/>
              <w:contextualSpacing/>
              <w:jc w:val="center"/>
              <w:rPr>
                <w:rFonts w:ascii="Arabic Typesetting" w:eastAsiaTheme="minorHAnsi" w:hAnsi="Arabic Typesetting" w:cs="Arabic Typesetting"/>
                <w:sz w:val="36"/>
                <w:szCs w:val="36"/>
              </w:rPr>
            </w:pPr>
            <w:r w:rsidRPr="00AF4A0E">
              <w:rPr>
                <w:rFonts w:ascii="Arabic Typesetting" w:eastAsiaTheme="minorHAnsi" w:hAnsi="Arabic Typesetting" w:cs="Arabic Typesetting"/>
                <w:sz w:val="36"/>
                <w:szCs w:val="36"/>
                <w:rtl/>
              </w:rPr>
              <w:t>تدابير المحيط الأمني حول الويبو</w:t>
            </w:r>
          </w:p>
        </w:tc>
        <w:tc>
          <w:tcPr>
            <w:tcW w:w="2883" w:type="dxa"/>
          </w:tcPr>
          <w:p w:rsidR="00AF4A0E" w:rsidRPr="00AF4A0E" w:rsidRDefault="00AF4A0E" w:rsidP="00AF4A0E">
            <w:pPr>
              <w:bidi/>
              <w:ind w:left="34"/>
              <w:contextualSpacing/>
              <w:jc w:val="center"/>
              <w:rPr>
                <w:rFonts w:ascii="Arabic Typesetting" w:eastAsiaTheme="minorHAnsi" w:hAnsi="Arabic Typesetting" w:cs="Arabic Typesetting"/>
                <w:sz w:val="36"/>
                <w:szCs w:val="36"/>
                <w:rtl/>
              </w:rPr>
            </w:pPr>
            <w:r w:rsidRPr="00AF4A0E">
              <w:rPr>
                <w:rFonts w:ascii="Arabic Typesetting" w:eastAsiaTheme="minorHAnsi" w:hAnsi="Arabic Typesetting" w:cs="Arabic Typesetting"/>
                <w:sz w:val="36"/>
                <w:szCs w:val="36"/>
                <w:rtl/>
              </w:rPr>
              <w:t>المرحلة الثالثة</w:t>
            </w:r>
          </w:p>
          <w:p w:rsidR="00AF4A0E" w:rsidRPr="00AF4A0E" w:rsidRDefault="00AF4A0E" w:rsidP="00AF4A0E">
            <w:pPr>
              <w:bidi/>
              <w:ind w:left="34"/>
              <w:contextualSpacing/>
              <w:jc w:val="center"/>
              <w:rPr>
                <w:rFonts w:ascii="Arabic Typesetting" w:eastAsiaTheme="minorHAnsi" w:hAnsi="Arabic Typesetting" w:cs="Arabic Typesetting"/>
                <w:sz w:val="36"/>
                <w:szCs w:val="36"/>
              </w:rPr>
            </w:pPr>
            <w:r w:rsidRPr="00AF4A0E">
              <w:rPr>
                <w:rFonts w:ascii="Arabic Typesetting" w:eastAsiaTheme="minorHAnsi" w:hAnsi="Arabic Typesetting" w:cs="Arabic Typesetting"/>
                <w:sz w:val="36"/>
                <w:szCs w:val="36"/>
                <w:rtl/>
              </w:rPr>
              <w:t>نُفذت بنسبة 85%</w:t>
            </w:r>
          </w:p>
        </w:tc>
        <w:tc>
          <w:tcPr>
            <w:tcW w:w="2929" w:type="dxa"/>
          </w:tcPr>
          <w:p w:rsidR="00AF4A0E" w:rsidRPr="00AF4A0E" w:rsidRDefault="00AF4A0E" w:rsidP="00AF4A0E">
            <w:pPr>
              <w:bidi/>
              <w:contextualSpacing/>
              <w:jc w:val="center"/>
              <w:rPr>
                <w:rFonts w:ascii="Arabic Typesetting" w:eastAsiaTheme="minorHAnsi" w:hAnsi="Arabic Typesetting" w:cs="Arabic Typesetting"/>
                <w:sz w:val="36"/>
                <w:szCs w:val="36"/>
              </w:rPr>
            </w:pPr>
            <w:r w:rsidRPr="00AF4A0E">
              <w:rPr>
                <w:rFonts w:ascii="Arabic Typesetting" w:eastAsiaTheme="minorHAnsi" w:hAnsi="Arabic Typesetting" w:cs="Arabic Typesetting"/>
                <w:sz w:val="36"/>
                <w:szCs w:val="36"/>
                <w:rtl/>
              </w:rPr>
              <w:t>أكتوبر 2014</w:t>
            </w:r>
          </w:p>
        </w:tc>
      </w:tr>
      <w:tr w:rsidR="00AF4A0E" w:rsidRPr="00AF4A0E" w:rsidTr="00BB3FF4">
        <w:trPr>
          <w:trHeight w:val="693"/>
          <w:jc w:val="center"/>
        </w:trPr>
        <w:tc>
          <w:tcPr>
            <w:tcW w:w="2977" w:type="dxa"/>
          </w:tcPr>
          <w:p w:rsidR="00AF4A0E" w:rsidRPr="00AF4A0E" w:rsidRDefault="00AF4A0E" w:rsidP="00AF4A0E">
            <w:pPr>
              <w:bidi/>
              <w:contextualSpacing/>
              <w:jc w:val="center"/>
              <w:rPr>
                <w:rFonts w:ascii="Arabic Typesetting" w:eastAsiaTheme="minorHAnsi" w:hAnsi="Arabic Typesetting" w:cs="Arabic Typesetting"/>
                <w:sz w:val="36"/>
                <w:szCs w:val="36"/>
              </w:rPr>
            </w:pPr>
            <w:r w:rsidRPr="00AF4A0E">
              <w:rPr>
                <w:rFonts w:ascii="Arabic Typesetting" w:eastAsiaTheme="minorHAnsi" w:hAnsi="Arabic Typesetting" w:cs="Arabic Typesetting"/>
                <w:sz w:val="36"/>
                <w:szCs w:val="36"/>
                <w:rtl/>
              </w:rPr>
              <w:t>تدابير الأمن الداخلي في الويبو</w:t>
            </w:r>
          </w:p>
        </w:tc>
        <w:tc>
          <w:tcPr>
            <w:tcW w:w="2883" w:type="dxa"/>
          </w:tcPr>
          <w:p w:rsidR="00AF4A0E" w:rsidRPr="00AF4A0E" w:rsidRDefault="00AF4A0E" w:rsidP="00AF4A0E">
            <w:pPr>
              <w:bidi/>
              <w:ind w:left="34"/>
              <w:contextualSpacing/>
              <w:jc w:val="center"/>
              <w:rPr>
                <w:rFonts w:ascii="Arabic Typesetting" w:eastAsiaTheme="minorHAnsi" w:hAnsi="Arabic Typesetting" w:cs="Arabic Typesetting"/>
                <w:sz w:val="36"/>
                <w:szCs w:val="36"/>
                <w:rtl/>
              </w:rPr>
            </w:pPr>
            <w:r w:rsidRPr="00AF4A0E">
              <w:rPr>
                <w:rFonts w:ascii="Arabic Typesetting" w:eastAsiaTheme="minorHAnsi" w:hAnsi="Arabic Typesetting" w:cs="Arabic Typesetting"/>
                <w:sz w:val="36"/>
                <w:szCs w:val="36"/>
                <w:rtl/>
              </w:rPr>
              <w:t>المرحلة الثالثة</w:t>
            </w:r>
          </w:p>
          <w:p w:rsidR="00AF4A0E" w:rsidRPr="00AF4A0E" w:rsidRDefault="00AF4A0E" w:rsidP="00AF4A0E">
            <w:pPr>
              <w:bidi/>
              <w:ind w:left="34"/>
              <w:contextualSpacing/>
              <w:jc w:val="center"/>
              <w:rPr>
                <w:rFonts w:ascii="Arabic Typesetting" w:eastAsiaTheme="minorHAnsi" w:hAnsi="Arabic Typesetting" w:cs="Arabic Typesetting"/>
                <w:sz w:val="36"/>
                <w:szCs w:val="36"/>
              </w:rPr>
            </w:pPr>
            <w:r w:rsidRPr="00AF4A0E">
              <w:rPr>
                <w:rFonts w:ascii="Arabic Typesetting" w:eastAsiaTheme="minorHAnsi" w:hAnsi="Arabic Typesetting" w:cs="Arabic Typesetting"/>
                <w:sz w:val="36"/>
                <w:szCs w:val="36"/>
                <w:rtl/>
              </w:rPr>
              <w:t>نُفذت بنسبة 90%</w:t>
            </w:r>
          </w:p>
        </w:tc>
        <w:tc>
          <w:tcPr>
            <w:tcW w:w="2929" w:type="dxa"/>
          </w:tcPr>
          <w:p w:rsidR="00AF4A0E" w:rsidRPr="00AF4A0E" w:rsidRDefault="00AF4A0E" w:rsidP="00AF4A0E">
            <w:pPr>
              <w:bidi/>
              <w:contextualSpacing/>
              <w:jc w:val="center"/>
              <w:rPr>
                <w:rFonts w:ascii="Arabic Typesetting" w:eastAsiaTheme="minorHAnsi" w:hAnsi="Arabic Typesetting" w:cs="Arabic Typesetting"/>
                <w:sz w:val="36"/>
                <w:szCs w:val="36"/>
              </w:rPr>
            </w:pPr>
            <w:r w:rsidRPr="00AF4A0E">
              <w:rPr>
                <w:rFonts w:ascii="Arabic Typesetting" w:eastAsiaTheme="minorHAnsi" w:hAnsi="Arabic Typesetting" w:cs="Arabic Typesetting"/>
                <w:sz w:val="36"/>
                <w:szCs w:val="36"/>
                <w:rtl/>
              </w:rPr>
              <w:t>سبتمبر 2014</w:t>
            </w:r>
          </w:p>
        </w:tc>
      </w:tr>
    </w:tbl>
    <w:p w:rsidR="009314C7" w:rsidRDefault="00AF4A0E" w:rsidP="008662C9">
      <w:pPr>
        <w:pStyle w:val="NormalParaAR"/>
        <w:numPr>
          <w:ilvl w:val="0"/>
          <w:numId w:val="21"/>
        </w:numPr>
        <w:spacing w:before="240"/>
        <w:ind w:left="0" w:firstLine="0"/>
      </w:pPr>
      <w:r>
        <w:rPr>
          <w:rFonts w:hint="cs"/>
          <w:rtl/>
        </w:rPr>
        <w:t>و</w:t>
      </w:r>
      <w:r w:rsidR="009314C7">
        <w:rPr>
          <w:rFonts w:hint="cs"/>
          <w:rtl/>
        </w:rPr>
        <w:t>تأثر التنفيذ التدريجي المزمع لتدابير المحيط الأمني وفقاً ل</w:t>
      </w:r>
      <w:r w:rsidR="009314C7" w:rsidRPr="009314C7">
        <w:rPr>
          <w:rtl/>
        </w:rPr>
        <w:t>لمعايير الدنيا للأمن التشغيلي في المقار (</w:t>
      </w:r>
      <w:r w:rsidR="009314C7" w:rsidRPr="009314C7">
        <w:t>H</w:t>
      </w:r>
      <w:r w:rsidR="00D903AD">
        <w:noBreakHyphen/>
      </w:r>
      <w:r w:rsidR="009314C7" w:rsidRPr="009314C7">
        <w:t>MOSS</w:t>
      </w:r>
      <w:r w:rsidR="009314C7" w:rsidRPr="009314C7">
        <w:rPr>
          <w:rtl/>
        </w:rPr>
        <w:t>)</w:t>
      </w:r>
      <w:r w:rsidR="009314C7">
        <w:rPr>
          <w:rFonts w:hint="cs"/>
          <w:rtl/>
        </w:rPr>
        <w:t xml:space="preserve"> بتقدم بناء قاعة المؤتمرات </w:t>
      </w:r>
      <w:r w:rsidR="00D903AD">
        <w:rPr>
          <w:rFonts w:hint="cs"/>
          <w:rtl/>
        </w:rPr>
        <w:t xml:space="preserve">الجديدة. </w:t>
      </w:r>
      <w:r w:rsidR="008662C9">
        <w:rPr>
          <w:rFonts w:hint="cs"/>
          <w:rtl/>
        </w:rPr>
        <w:t xml:space="preserve">إذ </w:t>
      </w:r>
      <w:r w:rsidR="00D903AD">
        <w:rPr>
          <w:rFonts w:hint="cs"/>
          <w:rtl/>
        </w:rPr>
        <w:t xml:space="preserve">يكتسي النفاذ إلى الموقع لأغراض البناء </w:t>
      </w:r>
      <w:r w:rsidR="009314C7">
        <w:rPr>
          <w:rFonts w:hint="cs"/>
          <w:rtl/>
        </w:rPr>
        <w:t xml:space="preserve">أهمية قصوى نظراً إلى اقتراب تاريخ الانتهاء. وإن تحسينات السلامة/الأمن </w:t>
      </w:r>
      <w:r w:rsidR="00D903AD">
        <w:rPr>
          <w:rFonts w:hint="cs"/>
          <w:rtl/>
        </w:rPr>
        <w:t>هي</w:t>
      </w:r>
      <w:r w:rsidR="009314C7">
        <w:rPr>
          <w:rFonts w:hint="cs"/>
          <w:rtl/>
        </w:rPr>
        <w:t xml:space="preserve"> عادة آخر العناصر المستكملة إذ تعتمد على وجود </w:t>
      </w:r>
      <w:r w:rsidR="00D903AD">
        <w:rPr>
          <w:rFonts w:hint="cs"/>
          <w:rtl/>
        </w:rPr>
        <w:t>مقومات</w:t>
      </w:r>
      <w:r w:rsidR="009314C7">
        <w:rPr>
          <w:rFonts w:hint="cs"/>
          <w:rtl/>
        </w:rPr>
        <w:t xml:space="preserve"> رئيسية مختلفة خاصة بالبنية التحتية.</w:t>
      </w:r>
    </w:p>
    <w:p w:rsidR="009314C7" w:rsidRDefault="008662C9" w:rsidP="00F54900">
      <w:pPr>
        <w:pStyle w:val="NormalParaAR"/>
        <w:numPr>
          <w:ilvl w:val="0"/>
          <w:numId w:val="21"/>
        </w:numPr>
        <w:ind w:left="0" w:firstLine="0"/>
      </w:pPr>
      <w:r>
        <w:rPr>
          <w:rFonts w:hint="cs"/>
          <w:rtl/>
        </w:rPr>
        <w:t>و</w:t>
      </w:r>
      <w:r w:rsidR="009314C7">
        <w:rPr>
          <w:rFonts w:hint="cs"/>
          <w:rtl/>
        </w:rPr>
        <w:t xml:space="preserve">التقدم </w:t>
      </w:r>
      <w:r>
        <w:rPr>
          <w:rFonts w:hint="cs"/>
          <w:rtl/>
        </w:rPr>
        <w:t xml:space="preserve">مستمر </w:t>
      </w:r>
      <w:r w:rsidR="009314C7">
        <w:rPr>
          <w:rFonts w:hint="cs"/>
          <w:rtl/>
        </w:rPr>
        <w:t xml:space="preserve">في </w:t>
      </w:r>
      <w:r>
        <w:rPr>
          <w:rFonts w:hint="cs"/>
          <w:rtl/>
        </w:rPr>
        <w:t xml:space="preserve">وضع </w:t>
      </w:r>
      <w:r w:rsidR="009314C7">
        <w:rPr>
          <w:rFonts w:hint="cs"/>
          <w:rtl/>
        </w:rPr>
        <w:t xml:space="preserve">تدابير المحيط الأمني، </w:t>
      </w:r>
      <w:r>
        <w:rPr>
          <w:rFonts w:hint="cs"/>
          <w:rtl/>
        </w:rPr>
        <w:t xml:space="preserve">إذ </w:t>
      </w:r>
      <w:r w:rsidR="009314C7" w:rsidRPr="009314C7">
        <w:rPr>
          <w:rtl/>
        </w:rPr>
        <w:t>اكتمل</w:t>
      </w:r>
      <w:r w:rsidR="009314C7">
        <w:rPr>
          <w:rFonts w:hint="cs"/>
          <w:rtl/>
        </w:rPr>
        <w:t>ت</w:t>
      </w:r>
      <w:r w:rsidR="009314C7" w:rsidRPr="009314C7">
        <w:rPr>
          <w:rtl/>
        </w:rPr>
        <w:t xml:space="preserve"> البنية التحتية للمحيط المانع لدخول السيارات المواجه لمباني أرباد بوكش وبودنهاوزن الأول وبودنهاوزن الثاني، </w:t>
      </w:r>
      <w:r>
        <w:rPr>
          <w:rFonts w:hint="cs"/>
          <w:rtl/>
        </w:rPr>
        <w:t>فضلاً عن</w:t>
      </w:r>
      <w:r w:rsidR="009314C7" w:rsidRPr="009314C7">
        <w:rPr>
          <w:rtl/>
        </w:rPr>
        <w:t xml:space="preserve"> </w:t>
      </w:r>
      <w:r w:rsidR="00F54900">
        <w:rPr>
          <w:rFonts w:hint="cs"/>
          <w:rtl/>
        </w:rPr>
        <w:t xml:space="preserve">إنشاء </w:t>
      </w:r>
      <w:r w:rsidR="009314C7" w:rsidRPr="009314C7">
        <w:rPr>
          <w:rtl/>
        </w:rPr>
        <w:t xml:space="preserve">معظم مبنى البراءات في </w:t>
      </w:r>
      <w:r w:rsidR="009314C7">
        <w:rPr>
          <w:rFonts w:hint="cs"/>
          <w:rtl/>
        </w:rPr>
        <w:t xml:space="preserve">عام </w:t>
      </w:r>
      <w:r w:rsidR="009314C7" w:rsidRPr="009314C7">
        <w:rPr>
          <w:rtl/>
        </w:rPr>
        <w:t>2013</w:t>
      </w:r>
      <w:r w:rsidR="009314C7">
        <w:rPr>
          <w:rFonts w:hint="cs"/>
          <w:rtl/>
        </w:rPr>
        <w:t xml:space="preserve"> (بنسبة 90 بالمئة). </w:t>
      </w:r>
      <w:r w:rsidR="00F54900">
        <w:rPr>
          <w:rFonts w:hint="cs"/>
          <w:rtl/>
        </w:rPr>
        <w:t>وافتُتح مركز النفاذ (المواجه ل</w:t>
      </w:r>
      <w:r w:rsidR="009314C7">
        <w:rPr>
          <w:rFonts w:hint="cs"/>
          <w:rtl/>
        </w:rPr>
        <w:t>مبنى أرباد بوكش) و</w:t>
      </w:r>
      <w:r>
        <w:rPr>
          <w:rFonts w:hint="cs"/>
          <w:rtl/>
        </w:rPr>
        <w:t>باشر عمله</w:t>
      </w:r>
      <w:r w:rsidR="009314C7">
        <w:rPr>
          <w:rFonts w:hint="cs"/>
          <w:rtl/>
        </w:rPr>
        <w:t xml:space="preserve"> منذ بداية أغسطس 2014. وستكتمل إقامة البنية التحتية للمحيط الأمني الخاص بقاعة المؤتمرات الجديدة في خريف عام 2014.</w:t>
      </w:r>
    </w:p>
    <w:p w:rsidR="009314C7" w:rsidRPr="00312679" w:rsidRDefault="009314C7" w:rsidP="008662C9">
      <w:pPr>
        <w:pStyle w:val="NormalParaAR"/>
        <w:keepNext/>
        <w:rPr>
          <w:b/>
          <w:bCs/>
          <w:sz w:val="40"/>
          <w:szCs w:val="40"/>
          <w:rtl/>
        </w:rPr>
      </w:pPr>
      <w:r w:rsidRPr="00312679">
        <w:rPr>
          <w:b/>
          <w:bCs/>
          <w:sz w:val="40"/>
          <w:szCs w:val="40"/>
          <w:rtl/>
        </w:rPr>
        <w:t>الأهداف المحققة أثناء الفترة المشمولة بالتقرير</w:t>
      </w:r>
    </w:p>
    <w:p w:rsidR="003269E1" w:rsidRDefault="008662C9" w:rsidP="002A3B3D">
      <w:pPr>
        <w:pStyle w:val="NormalParaAR"/>
        <w:numPr>
          <w:ilvl w:val="0"/>
          <w:numId w:val="21"/>
        </w:numPr>
        <w:ind w:left="0" w:firstLine="0"/>
      </w:pPr>
      <w:r>
        <w:rPr>
          <w:rFonts w:hint="cs"/>
          <w:rtl/>
        </w:rPr>
        <w:t>وفقاً لما ورد في</w:t>
      </w:r>
      <w:r w:rsidR="009314C7">
        <w:rPr>
          <w:rFonts w:hint="cs"/>
          <w:rtl/>
        </w:rPr>
        <w:t xml:space="preserve"> التقرير السابق للجنة البرنامج والميزانية، </w:t>
      </w:r>
      <w:r w:rsidR="009314C7" w:rsidRPr="009314C7">
        <w:rPr>
          <w:rtl/>
        </w:rPr>
        <w:t>أُنشئت في نهاية</w:t>
      </w:r>
      <w:r>
        <w:rPr>
          <w:rFonts w:hint="cs"/>
          <w:rtl/>
        </w:rPr>
        <w:t xml:space="preserve"> عام</w:t>
      </w:r>
      <w:r w:rsidR="009314C7" w:rsidRPr="009314C7">
        <w:rPr>
          <w:rtl/>
        </w:rPr>
        <w:t xml:space="preserve"> 2012 شبكة محلية</w:t>
      </w:r>
      <w:r w:rsidR="009314C7">
        <w:rPr>
          <w:rFonts w:hint="cs"/>
          <w:rtl/>
        </w:rPr>
        <w:t xml:space="preserve"> (</w:t>
      </w:r>
      <w:r w:rsidR="009314C7">
        <w:t>LAN</w:t>
      </w:r>
      <w:r w:rsidR="009314C7">
        <w:rPr>
          <w:rFonts w:hint="cs"/>
          <w:rtl/>
        </w:rPr>
        <w:t xml:space="preserve">) </w:t>
      </w:r>
      <w:r w:rsidR="009314C7">
        <w:rPr>
          <w:rtl/>
        </w:rPr>
        <w:t xml:space="preserve">مخصصة </w:t>
      </w:r>
      <w:r>
        <w:rPr>
          <w:rFonts w:hint="cs"/>
          <w:rtl/>
        </w:rPr>
        <w:t>و</w:t>
      </w:r>
      <w:r w:rsidR="009314C7">
        <w:rPr>
          <w:rtl/>
        </w:rPr>
        <w:t>منفصلة في مركز المراقبة</w:t>
      </w:r>
      <w:r>
        <w:rPr>
          <w:rFonts w:hint="cs"/>
          <w:rtl/>
        </w:rPr>
        <w:t xml:space="preserve">. وأتاحت هذه الشبكة الإلكترونية البالغة الأهمية توصيل عدد من النظم </w:t>
      </w:r>
      <w:r w:rsidR="002A3B3D">
        <w:rPr>
          <w:rFonts w:hint="cs"/>
          <w:rtl/>
        </w:rPr>
        <w:t>التقنية</w:t>
      </w:r>
      <w:r>
        <w:rPr>
          <w:rFonts w:hint="cs"/>
          <w:rtl/>
        </w:rPr>
        <w:t xml:space="preserve"> بمركز المراقبة </w:t>
      </w:r>
      <w:r w:rsidR="00F54900">
        <w:rPr>
          <w:rFonts w:hint="cs"/>
          <w:rtl/>
        </w:rPr>
        <w:t>في الفترة بين</w:t>
      </w:r>
      <w:r>
        <w:rPr>
          <w:rFonts w:hint="cs"/>
          <w:rtl/>
        </w:rPr>
        <w:t xml:space="preserve"> أواخر عام 2013 وأوائل عام 2014 (</w:t>
      </w:r>
      <w:r w:rsidR="00AC2145" w:rsidRPr="00AC2145">
        <w:rPr>
          <w:rtl/>
        </w:rPr>
        <w:t>شاشات تلفزيون</w:t>
      </w:r>
      <w:r w:rsidR="00AC2145">
        <w:rPr>
          <w:rFonts w:hint="cs"/>
          <w:rtl/>
        </w:rPr>
        <w:t>ية</w:t>
      </w:r>
      <w:r w:rsidR="00AC2145" w:rsidRPr="00AC2145">
        <w:rPr>
          <w:rtl/>
        </w:rPr>
        <w:t xml:space="preserve"> ذات دوائر مغلقة</w:t>
      </w:r>
      <w:r w:rsidR="00AC2145">
        <w:rPr>
          <w:rFonts w:hint="cs"/>
          <w:rtl/>
        </w:rPr>
        <w:t xml:space="preserve"> (</w:t>
      </w:r>
      <w:r w:rsidR="00AC2145">
        <w:t>CCTV</w:t>
      </w:r>
      <w:r w:rsidR="00AC2145">
        <w:rPr>
          <w:rFonts w:hint="cs"/>
          <w:rtl/>
        </w:rPr>
        <w:t>)، والتحكم في النفاذ، ونظم</w:t>
      </w:r>
      <w:r w:rsidR="00F54900">
        <w:rPr>
          <w:rFonts w:hint="eastAsia"/>
          <w:rtl/>
        </w:rPr>
        <w:t> </w:t>
      </w:r>
      <w:r w:rsidR="00AC2145">
        <w:rPr>
          <w:rFonts w:hint="cs"/>
          <w:rtl/>
        </w:rPr>
        <w:t>منع التسلل). وتكتسي هذه الشبكة المحلية المخصصة أهمية أساسية في ضمان عمل/توافر نظم السلامة/الأمن البالغة الأهمية والتي ستعمل بصورة مستقلة عن باقي الشبكات الإلكترونية الأخرى في الويبو. ويُزمع إدماج باقي نظم الاتصالات وال</w:t>
      </w:r>
      <w:r w:rsidR="00312679">
        <w:rPr>
          <w:rFonts w:hint="cs"/>
          <w:rtl/>
        </w:rPr>
        <w:t>مراقبة</w:t>
      </w:r>
      <w:r w:rsidR="00AC2145">
        <w:rPr>
          <w:rFonts w:hint="cs"/>
          <w:rtl/>
        </w:rPr>
        <w:t xml:space="preserve"> والكشف في هذه الشبكة المحلية المخصصة بحلول سبتمبر 2014.</w:t>
      </w:r>
    </w:p>
    <w:p w:rsidR="002118AA" w:rsidRDefault="00F54900" w:rsidP="00312679">
      <w:pPr>
        <w:pStyle w:val="NormalParaAR"/>
        <w:numPr>
          <w:ilvl w:val="0"/>
          <w:numId w:val="21"/>
        </w:numPr>
        <w:ind w:left="0" w:firstLine="0"/>
      </w:pPr>
      <w:r>
        <w:rPr>
          <w:rFonts w:hint="cs"/>
          <w:rtl/>
        </w:rPr>
        <w:t xml:space="preserve">واكتمل بناء مركز النفاذ الجديد وسُلم رسمياً للويبو. </w:t>
      </w:r>
      <w:r w:rsidR="00974D2C">
        <w:rPr>
          <w:rFonts w:hint="cs"/>
          <w:rtl/>
        </w:rPr>
        <w:t>وإن</w:t>
      </w:r>
      <w:r>
        <w:rPr>
          <w:rFonts w:hint="cs"/>
          <w:rtl/>
        </w:rPr>
        <w:t xml:space="preserve"> أحدث التكنولوجيات المستخدمة في مركز</w:t>
      </w:r>
      <w:r w:rsidR="002118AA">
        <w:rPr>
          <w:rFonts w:hint="cs"/>
          <w:rtl/>
        </w:rPr>
        <w:t xml:space="preserve"> النفاذ </w:t>
      </w:r>
      <w:r w:rsidR="00974D2C">
        <w:rPr>
          <w:rFonts w:hint="cs"/>
          <w:rtl/>
        </w:rPr>
        <w:t>ستتيح ل</w:t>
      </w:r>
      <w:r w:rsidR="002118AA" w:rsidRPr="002118AA">
        <w:rPr>
          <w:rtl/>
        </w:rPr>
        <w:t>قسم الويبو لتنسيق شؤون السلامة والأمن</w:t>
      </w:r>
      <w:r w:rsidR="00974D2C">
        <w:rPr>
          <w:rFonts w:hint="cs"/>
          <w:rtl/>
        </w:rPr>
        <w:t xml:space="preserve"> تحقيق الإدارة الاستباقية لنفاذ المشاة والمركبات إلى جميع مرافق الويبو. واكتمل تدريب موظفي الويبو وحراس الأمن المتعاقدين على استخدام هذه النظم التكنولوجية المتقدمة (يوليو 2014). ويجري تجهيز واختبار العديد من النظم التقنية ل</w:t>
      </w:r>
      <w:r w:rsidR="00312679">
        <w:rPr>
          <w:rFonts w:hint="cs"/>
          <w:rtl/>
        </w:rPr>
        <w:t>مراقبة</w:t>
      </w:r>
      <w:r w:rsidR="00974D2C">
        <w:rPr>
          <w:rFonts w:hint="cs"/>
          <w:rtl/>
        </w:rPr>
        <w:t xml:space="preserve"> شؤون السلامة والأمن</w:t>
      </w:r>
      <w:r w:rsidR="00312679">
        <w:rPr>
          <w:rFonts w:hint="cs"/>
          <w:rtl/>
        </w:rPr>
        <w:t xml:space="preserve"> والاستجابة لها</w:t>
      </w:r>
      <w:r w:rsidR="00974D2C">
        <w:rPr>
          <w:rFonts w:hint="cs"/>
          <w:rtl/>
        </w:rPr>
        <w:t>.</w:t>
      </w:r>
    </w:p>
    <w:p w:rsidR="00312679" w:rsidRPr="00312679" w:rsidRDefault="00312679" w:rsidP="00312679">
      <w:pPr>
        <w:pStyle w:val="NormalParaAR"/>
        <w:keepNext/>
        <w:rPr>
          <w:b/>
          <w:bCs/>
          <w:sz w:val="40"/>
          <w:szCs w:val="40"/>
          <w:rtl/>
        </w:rPr>
      </w:pPr>
      <w:r w:rsidRPr="00312679">
        <w:rPr>
          <w:rFonts w:hint="cs"/>
          <w:b/>
          <w:bCs/>
          <w:sz w:val="40"/>
          <w:szCs w:val="40"/>
          <w:rtl/>
        </w:rPr>
        <w:t>استخدام الميزانية المعتمدة</w:t>
      </w:r>
    </w:p>
    <w:p w:rsidR="00312679" w:rsidRDefault="0066616E" w:rsidP="00307AAD">
      <w:pPr>
        <w:pStyle w:val="NormalParaAR"/>
        <w:numPr>
          <w:ilvl w:val="0"/>
          <w:numId w:val="21"/>
        </w:numPr>
        <w:ind w:left="0" w:firstLine="0"/>
      </w:pPr>
      <w:r>
        <w:rPr>
          <w:rFonts w:hint="cs"/>
          <w:rtl/>
        </w:rPr>
        <w:t>يجدر التذكير</w:t>
      </w:r>
      <w:r w:rsidR="00312679">
        <w:rPr>
          <w:rFonts w:hint="cs"/>
          <w:rtl/>
        </w:rPr>
        <w:t xml:space="preserve"> بأن تمويل مشروع تحسين معايير السلامة والأمن في مباني الويبو الحالية هو مشروع مشترك بين الويبو والبلد المستضيف. وتبلغ حصة البلد المستضيف من المشروع 5 ملايين فرنك سويسري خُصصت لمختلف التدابير الأمنية الخارجية، بينما خُصصت ميزانية الويبو المعتمدة والبالغة</w:t>
      </w:r>
      <w:r w:rsidR="00307AAD">
        <w:rPr>
          <w:rFonts w:hint="cs"/>
          <w:rtl/>
        </w:rPr>
        <w:t xml:space="preserve"> </w:t>
      </w:r>
      <w:r w:rsidR="00307AAD">
        <w:t>7,6</w:t>
      </w:r>
      <w:r w:rsidR="00312679">
        <w:rPr>
          <w:rFonts w:hint="cs"/>
          <w:rtl/>
        </w:rPr>
        <w:t xml:space="preserve"> مليون فرنك سويسري لتدابير السلامة والأمن الداخلية (الوثيقة </w:t>
      </w:r>
      <w:r w:rsidR="00312679">
        <w:t>A/46/10 Rev.</w:t>
      </w:r>
      <w:r w:rsidR="00312679">
        <w:rPr>
          <w:rFonts w:hint="cs"/>
          <w:rtl/>
        </w:rPr>
        <w:t>).</w:t>
      </w:r>
    </w:p>
    <w:p w:rsidR="00312679" w:rsidRDefault="0066616E" w:rsidP="0066616E">
      <w:pPr>
        <w:pStyle w:val="NormalParaAR"/>
        <w:numPr>
          <w:ilvl w:val="0"/>
          <w:numId w:val="21"/>
        </w:numPr>
        <w:ind w:left="0" w:firstLine="0"/>
      </w:pPr>
      <w:r>
        <w:rPr>
          <w:rFonts w:hint="cs"/>
          <w:rtl/>
        </w:rPr>
        <w:lastRenderedPageBreak/>
        <w:t>وأوشك المشروع على الانتهاء وستُستكمل المقومات الرئيسية المدرجة في نطاق المشروع وفقاً لحدود الميزانية المعتمدة التي أذنت بها الدول الأعضاء في الويبو. وإن هذا المشروع المعقد قد سلط الضوء على عدد من الدروس المستفادة المتعلقة بتطبيق تكنولوجيات محددة للسلامة والأمن وما يتصل بها من متطلبات إضافية تتعلق بتوفير دعم تقني مخصص ولم تدرَج في النطاق الأصلي للمشروع. وسترد تفاصيل ذلك في التقرير الختامي لانتهاء المشروع.</w:t>
      </w:r>
    </w:p>
    <w:p w:rsidR="0066616E" w:rsidRDefault="0066616E" w:rsidP="00F1144E">
      <w:pPr>
        <w:pStyle w:val="NormalParaAR"/>
        <w:numPr>
          <w:ilvl w:val="0"/>
          <w:numId w:val="21"/>
        </w:numPr>
        <w:ind w:left="0" w:firstLine="0"/>
      </w:pPr>
      <w:r>
        <w:rPr>
          <w:rFonts w:hint="cs"/>
          <w:rtl/>
        </w:rPr>
        <w:t>ويجدر التذكير بأن الدول الأعضاء قد</w:t>
      </w:r>
      <w:r w:rsidR="00F1144E">
        <w:rPr>
          <w:rFonts w:hint="cs"/>
          <w:rtl/>
        </w:rPr>
        <w:t xml:space="preserve"> اعتمدت</w:t>
      </w:r>
      <w:r w:rsidR="00E1139D">
        <w:rPr>
          <w:rFonts w:hint="cs"/>
          <w:rtl/>
        </w:rPr>
        <w:t>،</w:t>
      </w:r>
      <w:r w:rsidR="00F1144E">
        <w:rPr>
          <w:rFonts w:hint="cs"/>
          <w:rtl/>
        </w:rPr>
        <w:t xml:space="preserve"> في عام 2008</w:t>
      </w:r>
      <w:r w:rsidR="00E1139D">
        <w:rPr>
          <w:rFonts w:hint="cs"/>
          <w:rtl/>
        </w:rPr>
        <w:t>،</w:t>
      </w:r>
      <w:r w:rsidR="00F1144E">
        <w:rPr>
          <w:rFonts w:hint="cs"/>
          <w:rtl/>
        </w:rPr>
        <w:t xml:space="preserve"> ميزانية</w:t>
      </w:r>
      <w:r>
        <w:rPr>
          <w:rFonts w:hint="cs"/>
          <w:rtl/>
        </w:rPr>
        <w:t xml:space="preserve"> قدرها 000 600 7</w:t>
      </w:r>
      <w:r w:rsidR="00F1144E">
        <w:rPr>
          <w:rFonts w:hint="cs"/>
          <w:rtl/>
        </w:rPr>
        <w:t xml:space="preserve"> فرنك سويسري لتمويل هذا المشروع، وذلك وفقاً لتقديرات التكلفة الواردة في المرفق الأول من الوثيقة </w:t>
      </w:r>
      <w:r w:rsidR="00F1144E">
        <w:t>WO/PBC/13/6(a)</w:t>
      </w:r>
      <w:r w:rsidR="00F1144E">
        <w:rPr>
          <w:rFonts w:hint="cs"/>
          <w:rtl/>
        </w:rPr>
        <w:t>.</w:t>
      </w:r>
    </w:p>
    <w:p w:rsidR="00F1144E" w:rsidRDefault="00F1144E" w:rsidP="00F1144E">
      <w:pPr>
        <w:pStyle w:val="NormalParaAR"/>
        <w:numPr>
          <w:ilvl w:val="0"/>
          <w:numId w:val="21"/>
        </w:numPr>
        <w:ind w:left="0" w:firstLine="0"/>
      </w:pPr>
      <w:r>
        <w:rPr>
          <w:rFonts w:hint="cs"/>
          <w:rtl/>
        </w:rPr>
        <w:t xml:space="preserve">ويُذكَّر كذلك بأنه تعين إجراء بعض التغييرات في المفهوم الأصلي (انظر الوثيقة </w:t>
      </w:r>
      <w:r>
        <w:t>WO/PBC/18/6</w:t>
      </w:r>
      <w:r>
        <w:rPr>
          <w:rFonts w:hint="cs"/>
          <w:rtl/>
        </w:rPr>
        <w:t>). وكانت تلك التغييرات ضرورية فيما يتعلق بنطاق متطلبات نظام البناء والأمن الخاصة بمركز النفاذ الجديد. وتطلب ذلك إيلاء الأولوية لبعض الأنشطة وإرجاء البعض الآخر لتحقيق الأهداف المطلوبة.</w:t>
      </w:r>
    </w:p>
    <w:p w:rsidR="00F1144E" w:rsidRDefault="00F1144E" w:rsidP="001F7970">
      <w:pPr>
        <w:pStyle w:val="NormalParaAR"/>
        <w:keepNext/>
        <w:numPr>
          <w:ilvl w:val="0"/>
          <w:numId w:val="21"/>
        </w:numPr>
        <w:ind w:left="0" w:firstLine="0"/>
      </w:pPr>
      <w:r>
        <w:rPr>
          <w:rFonts w:hint="cs"/>
          <w:rtl/>
        </w:rPr>
        <w:t>وفي 30 يونيو 2014، أنفقت اعتمادات المشروع البالغ مجموعها 208 400 12 فرنكات سويسرية أو أدرجت في صناديق مخصصة، على النحو المبين في الجدول التالي:</w:t>
      </w:r>
    </w:p>
    <w:p w:rsidR="00974D2C" w:rsidRPr="00BB3FF4" w:rsidRDefault="00974D2C" w:rsidP="00BB3FF4">
      <w:pPr>
        <w:keepNext/>
        <w:keepLines/>
        <w:bidi/>
        <w:rPr>
          <w:rFonts w:ascii="Arabic Typesetting" w:eastAsiaTheme="minorHAnsi" w:hAnsi="Arabic Typesetting" w:cs="Arabic Typesetting"/>
          <w:b/>
          <w:sz w:val="28"/>
          <w:szCs w:val="28"/>
        </w:rPr>
      </w:pPr>
    </w:p>
    <w:tbl>
      <w:tblPr>
        <w:tblStyle w:val="TableGrid"/>
        <w:bidiVisual/>
        <w:tblW w:w="8484" w:type="dxa"/>
        <w:jc w:val="center"/>
        <w:tblInd w:w="534" w:type="dxa"/>
        <w:tblLook w:val="04A0" w:firstRow="1" w:lastRow="0" w:firstColumn="1" w:lastColumn="0" w:noHBand="0" w:noVBand="1"/>
      </w:tblPr>
      <w:tblGrid>
        <w:gridCol w:w="4536"/>
        <w:gridCol w:w="3948"/>
      </w:tblGrid>
      <w:tr w:rsidR="00974D2C" w:rsidRPr="001F7970" w:rsidTr="00F1144E">
        <w:trPr>
          <w:gridBefore w:val="1"/>
          <w:wBefore w:w="4536" w:type="dxa"/>
          <w:trHeight w:val="202"/>
          <w:jc w:val="center"/>
        </w:trPr>
        <w:tc>
          <w:tcPr>
            <w:tcW w:w="3948" w:type="dxa"/>
          </w:tcPr>
          <w:p w:rsidR="00974D2C" w:rsidRPr="001F7970" w:rsidRDefault="001F7970" w:rsidP="001F7970">
            <w:pPr>
              <w:keepNext/>
              <w:keepLines/>
              <w:bidi/>
              <w:contextualSpacing/>
              <w:jc w:val="center"/>
              <w:rPr>
                <w:rFonts w:ascii="Arabic Typesetting" w:eastAsiaTheme="minorHAnsi" w:hAnsi="Arabic Typesetting" w:cs="Arabic Typesetting"/>
                <w:iCs/>
                <w:sz w:val="28"/>
                <w:szCs w:val="28"/>
              </w:rPr>
            </w:pPr>
            <w:r w:rsidRPr="001F7970">
              <w:rPr>
                <w:rFonts w:ascii="Arabic Typesetting" w:eastAsiaTheme="minorHAnsi" w:hAnsi="Arabic Typesetting" w:cs="Arabic Typesetting"/>
                <w:iCs/>
                <w:sz w:val="28"/>
                <w:szCs w:val="28"/>
                <w:rtl/>
              </w:rPr>
              <w:t>المبالغ بالفرنكات السويسرية</w:t>
            </w:r>
          </w:p>
        </w:tc>
      </w:tr>
      <w:tr w:rsidR="00974D2C" w:rsidRPr="001F7970" w:rsidTr="00F1144E">
        <w:trPr>
          <w:jc w:val="center"/>
        </w:trPr>
        <w:tc>
          <w:tcPr>
            <w:tcW w:w="4536" w:type="dxa"/>
          </w:tcPr>
          <w:p w:rsidR="00974D2C" w:rsidRPr="001F7970" w:rsidRDefault="00F1144E" w:rsidP="001F7970">
            <w:pPr>
              <w:keepNext/>
              <w:keepLines/>
              <w:bidi/>
              <w:ind w:left="33" w:right="34"/>
              <w:contextualSpacing/>
              <w:rPr>
                <w:rFonts w:ascii="Arabic Typesetting" w:eastAsiaTheme="minorHAnsi" w:hAnsi="Arabic Typesetting" w:cs="Arabic Typesetting"/>
                <w:bCs/>
                <w:sz w:val="28"/>
                <w:szCs w:val="28"/>
              </w:rPr>
            </w:pPr>
            <w:r w:rsidRPr="001F7970">
              <w:rPr>
                <w:rFonts w:ascii="Arabic Typesetting" w:eastAsiaTheme="minorHAnsi" w:hAnsi="Arabic Typesetting" w:cs="Arabic Typesetting"/>
                <w:bCs/>
                <w:sz w:val="28"/>
                <w:szCs w:val="28"/>
                <w:rtl/>
              </w:rPr>
              <w:t>الميزانية التي اعتمدتها الدول الأعضاء في ديسمبر 2008</w:t>
            </w:r>
          </w:p>
        </w:tc>
        <w:tc>
          <w:tcPr>
            <w:tcW w:w="3948" w:type="dxa"/>
          </w:tcPr>
          <w:p w:rsidR="00974D2C" w:rsidRPr="00E4519F" w:rsidRDefault="00F1144E" w:rsidP="00E4519F">
            <w:pPr>
              <w:keepNext/>
              <w:keepLines/>
              <w:bidi/>
              <w:contextualSpacing/>
              <w:jc w:val="right"/>
              <w:rPr>
                <w:rFonts w:ascii="Arabic Typesetting" w:eastAsiaTheme="minorHAnsi" w:hAnsi="Arabic Typesetting" w:cs="Arabic Typesetting"/>
                <w:bCs/>
                <w:sz w:val="28"/>
                <w:szCs w:val="28"/>
              </w:rPr>
            </w:pPr>
            <w:r w:rsidRPr="00E4519F">
              <w:rPr>
                <w:rFonts w:ascii="Arabic Typesetting" w:eastAsiaTheme="minorHAnsi" w:hAnsi="Arabic Typesetting" w:cs="Arabic Typesetting"/>
                <w:bCs/>
                <w:sz w:val="28"/>
                <w:szCs w:val="28"/>
                <w:rtl/>
              </w:rPr>
              <w:t>000 600 7</w:t>
            </w:r>
          </w:p>
        </w:tc>
      </w:tr>
      <w:tr w:rsidR="00974D2C" w:rsidRPr="001F7970" w:rsidTr="00F1144E">
        <w:trPr>
          <w:trHeight w:val="357"/>
          <w:jc w:val="center"/>
        </w:trPr>
        <w:tc>
          <w:tcPr>
            <w:tcW w:w="4536" w:type="dxa"/>
          </w:tcPr>
          <w:p w:rsidR="00974D2C" w:rsidRPr="001F7970" w:rsidRDefault="00F1144E" w:rsidP="001F7970">
            <w:pPr>
              <w:keepNext/>
              <w:keepLines/>
              <w:bidi/>
              <w:ind w:left="33" w:right="34"/>
              <w:contextualSpacing/>
              <w:rPr>
                <w:rFonts w:ascii="Arabic Typesetting" w:eastAsiaTheme="minorHAnsi" w:hAnsi="Arabic Typesetting" w:cs="Arabic Typesetting"/>
                <w:bCs/>
                <w:sz w:val="28"/>
                <w:szCs w:val="28"/>
              </w:rPr>
            </w:pPr>
            <w:r w:rsidRPr="001F7970">
              <w:rPr>
                <w:rFonts w:ascii="Arabic Typesetting" w:eastAsiaTheme="minorHAnsi" w:hAnsi="Arabic Typesetting" w:cs="Arabic Typesetting"/>
                <w:bCs/>
                <w:sz w:val="28"/>
                <w:szCs w:val="28"/>
                <w:rtl/>
              </w:rPr>
              <w:t>حصة البلد المستضيف</w:t>
            </w:r>
          </w:p>
        </w:tc>
        <w:tc>
          <w:tcPr>
            <w:tcW w:w="3948" w:type="dxa"/>
          </w:tcPr>
          <w:p w:rsidR="00974D2C" w:rsidRPr="00E4519F" w:rsidRDefault="00F1144E" w:rsidP="00E4519F">
            <w:pPr>
              <w:keepNext/>
              <w:keepLines/>
              <w:bidi/>
              <w:contextualSpacing/>
              <w:jc w:val="right"/>
              <w:rPr>
                <w:rFonts w:ascii="Arabic Typesetting" w:eastAsiaTheme="minorHAnsi" w:hAnsi="Arabic Typesetting" w:cs="Arabic Typesetting"/>
                <w:bCs/>
                <w:sz w:val="28"/>
                <w:szCs w:val="28"/>
              </w:rPr>
            </w:pPr>
            <w:r w:rsidRPr="00E4519F">
              <w:rPr>
                <w:rFonts w:ascii="Arabic Typesetting" w:eastAsiaTheme="minorHAnsi" w:hAnsi="Arabic Typesetting" w:cs="Arabic Typesetting"/>
                <w:bCs/>
                <w:sz w:val="28"/>
                <w:szCs w:val="28"/>
                <w:rtl/>
              </w:rPr>
              <w:t>000 000 5</w:t>
            </w:r>
          </w:p>
        </w:tc>
      </w:tr>
      <w:tr w:rsidR="00974D2C" w:rsidRPr="001F7970" w:rsidTr="00F1144E">
        <w:trPr>
          <w:trHeight w:val="421"/>
          <w:jc w:val="center"/>
        </w:trPr>
        <w:tc>
          <w:tcPr>
            <w:tcW w:w="4536" w:type="dxa"/>
          </w:tcPr>
          <w:p w:rsidR="00974D2C" w:rsidRPr="001F7970" w:rsidRDefault="00F1144E" w:rsidP="001F7970">
            <w:pPr>
              <w:keepNext/>
              <w:keepLines/>
              <w:bidi/>
              <w:ind w:left="33" w:right="34"/>
              <w:contextualSpacing/>
              <w:rPr>
                <w:rFonts w:ascii="Arabic Typesetting" w:eastAsiaTheme="minorHAnsi" w:hAnsi="Arabic Typesetting" w:cs="Arabic Typesetting"/>
                <w:bCs/>
                <w:sz w:val="28"/>
                <w:szCs w:val="28"/>
              </w:rPr>
            </w:pPr>
            <w:r w:rsidRPr="001F7970">
              <w:rPr>
                <w:rFonts w:ascii="Arabic Typesetting" w:eastAsiaTheme="minorHAnsi" w:hAnsi="Arabic Typesetting" w:cs="Arabic Typesetting"/>
                <w:bCs/>
                <w:sz w:val="28"/>
                <w:szCs w:val="28"/>
                <w:rtl/>
              </w:rPr>
              <w:t>إجمالي الميزانية المتاحة</w:t>
            </w:r>
          </w:p>
        </w:tc>
        <w:tc>
          <w:tcPr>
            <w:tcW w:w="3948" w:type="dxa"/>
          </w:tcPr>
          <w:p w:rsidR="00974D2C" w:rsidRPr="00E4519F" w:rsidRDefault="00F1144E" w:rsidP="00E4519F">
            <w:pPr>
              <w:keepNext/>
              <w:keepLines/>
              <w:bidi/>
              <w:contextualSpacing/>
              <w:jc w:val="right"/>
              <w:rPr>
                <w:rFonts w:ascii="Arabic Typesetting" w:eastAsiaTheme="minorHAnsi" w:hAnsi="Arabic Typesetting" w:cs="Arabic Typesetting"/>
                <w:bCs/>
                <w:sz w:val="28"/>
                <w:szCs w:val="28"/>
              </w:rPr>
            </w:pPr>
            <w:r w:rsidRPr="00E4519F">
              <w:rPr>
                <w:rFonts w:ascii="Arabic Typesetting" w:eastAsiaTheme="minorHAnsi" w:hAnsi="Arabic Typesetting" w:cs="Arabic Typesetting"/>
                <w:bCs/>
                <w:sz w:val="28"/>
                <w:szCs w:val="28"/>
                <w:rtl/>
              </w:rPr>
              <w:t>000 600 12</w:t>
            </w:r>
          </w:p>
        </w:tc>
      </w:tr>
    </w:tbl>
    <w:p w:rsidR="00974D2C" w:rsidRPr="001F7970" w:rsidRDefault="00974D2C" w:rsidP="001F7970">
      <w:pPr>
        <w:keepNext/>
        <w:keepLines/>
        <w:bidi/>
        <w:rPr>
          <w:rFonts w:ascii="Arabic Typesetting" w:eastAsiaTheme="minorHAnsi" w:hAnsi="Arabic Typesetting" w:cs="Arabic Typesetting"/>
          <w:b/>
          <w:sz w:val="28"/>
          <w:szCs w:val="28"/>
        </w:rPr>
      </w:pPr>
    </w:p>
    <w:tbl>
      <w:tblPr>
        <w:tblStyle w:val="TableGrid"/>
        <w:bidiVisual/>
        <w:tblW w:w="8484" w:type="dxa"/>
        <w:tblInd w:w="534" w:type="dxa"/>
        <w:tblLook w:val="04A0" w:firstRow="1" w:lastRow="0" w:firstColumn="1" w:lastColumn="0" w:noHBand="0" w:noVBand="1"/>
      </w:tblPr>
      <w:tblGrid>
        <w:gridCol w:w="4536"/>
        <w:gridCol w:w="3948"/>
      </w:tblGrid>
      <w:tr w:rsidR="00974D2C" w:rsidRPr="001F7970" w:rsidTr="00F1144E">
        <w:trPr>
          <w:trHeight w:val="287"/>
        </w:trPr>
        <w:tc>
          <w:tcPr>
            <w:tcW w:w="4536" w:type="dxa"/>
          </w:tcPr>
          <w:p w:rsidR="00974D2C" w:rsidRPr="001F7970" w:rsidRDefault="00F1144E" w:rsidP="001F7970">
            <w:pPr>
              <w:keepNext/>
              <w:keepLines/>
              <w:bidi/>
              <w:ind w:left="33" w:right="34"/>
              <w:contextualSpacing/>
              <w:rPr>
                <w:rFonts w:ascii="Arabic Typesetting" w:eastAsiaTheme="minorHAnsi" w:hAnsi="Arabic Typesetting" w:cs="Arabic Typesetting"/>
                <w:bCs/>
                <w:sz w:val="28"/>
                <w:szCs w:val="28"/>
              </w:rPr>
            </w:pPr>
            <w:r w:rsidRPr="001F7970">
              <w:rPr>
                <w:rFonts w:ascii="Arabic Typesetting" w:eastAsiaTheme="minorHAnsi" w:hAnsi="Arabic Typesetting" w:cs="Arabic Typesetting"/>
                <w:bCs/>
                <w:sz w:val="28"/>
                <w:szCs w:val="28"/>
                <w:rtl/>
              </w:rPr>
              <w:t>وضع الالتزامات</w:t>
            </w:r>
          </w:p>
        </w:tc>
        <w:tc>
          <w:tcPr>
            <w:tcW w:w="3948" w:type="dxa"/>
          </w:tcPr>
          <w:p w:rsidR="00974D2C" w:rsidRPr="001F7970" w:rsidRDefault="001F7970" w:rsidP="001F7970">
            <w:pPr>
              <w:keepNext/>
              <w:keepLines/>
              <w:bidi/>
              <w:ind w:left="11"/>
              <w:contextualSpacing/>
              <w:jc w:val="center"/>
              <w:rPr>
                <w:rFonts w:ascii="Arabic Typesetting" w:eastAsiaTheme="minorHAnsi" w:hAnsi="Arabic Typesetting" w:cs="Arabic Typesetting"/>
                <w:iCs/>
                <w:sz w:val="28"/>
                <w:szCs w:val="28"/>
              </w:rPr>
            </w:pPr>
            <w:r w:rsidRPr="001F7970">
              <w:rPr>
                <w:rFonts w:ascii="Arabic Typesetting" w:eastAsiaTheme="minorHAnsi" w:hAnsi="Arabic Typesetting" w:cs="Arabic Typesetting"/>
                <w:iCs/>
                <w:sz w:val="28"/>
                <w:szCs w:val="28"/>
                <w:rtl/>
              </w:rPr>
              <w:t>المبالغ بالفرنكات السويسرية</w:t>
            </w:r>
          </w:p>
        </w:tc>
      </w:tr>
      <w:tr w:rsidR="00974D2C" w:rsidRPr="001F7970" w:rsidTr="00F1144E">
        <w:trPr>
          <w:trHeight w:val="307"/>
        </w:trPr>
        <w:tc>
          <w:tcPr>
            <w:tcW w:w="4536" w:type="dxa"/>
          </w:tcPr>
          <w:p w:rsidR="00974D2C" w:rsidRPr="001F7970" w:rsidRDefault="001F7970" w:rsidP="001F7970">
            <w:pPr>
              <w:keepNext/>
              <w:keepLines/>
              <w:bidi/>
              <w:ind w:left="33" w:right="34"/>
              <w:contextualSpacing/>
              <w:rPr>
                <w:rFonts w:ascii="Arabic Typesetting" w:eastAsiaTheme="minorHAnsi" w:hAnsi="Arabic Typesetting" w:cs="Arabic Typesetting"/>
                <w:sz w:val="28"/>
                <w:szCs w:val="28"/>
              </w:rPr>
            </w:pPr>
            <w:r w:rsidRPr="001F7970">
              <w:rPr>
                <w:rFonts w:ascii="Arabic Typesetting" w:eastAsiaTheme="minorHAnsi" w:hAnsi="Arabic Typesetting" w:cs="Arabic Typesetting"/>
                <w:sz w:val="28"/>
                <w:szCs w:val="28"/>
                <w:rtl/>
              </w:rPr>
              <w:t>المبالغ التي خصصتها الويبو</w:t>
            </w:r>
          </w:p>
        </w:tc>
        <w:tc>
          <w:tcPr>
            <w:tcW w:w="3948" w:type="dxa"/>
          </w:tcPr>
          <w:p w:rsidR="00974D2C" w:rsidRPr="00E4519F" w:rsidRDefault="001F7970" w:rsidP="00E4519F">
            <w:pPr>
              <w:keepNext/>
              <w:keepLines/>
              <w:bidi/>
              <w:contextualSpacing/>
              <w:jc w:val="right"/>
              <w:rPr>
                <w:rFonts w:ascii="Arabic Typesetting" w:eastAsiaTheme="minorHAnsi" w:hAnsi="Arabic Typesetting" w:cs="Arabic Typesetting"/>
                <w:bCs/>
                <w:sz w:val="28"/>
                <w:szCs w:val="28"/>
              </w:rPr>
            </w:pPr>
            <w:r w:rsidRPr="00E4519F">
              <w:rPr>
                <w:rFonts w:ascii="Arabic Typesetting" w:eastAsiaTheme="minorHAnsi" w:hAnsi="Arabic Typesetting" w:cs="Arabic Typesetting"/>
                <w:bCs/>
                <w:sz w:val="28"/>
                <w:szCs w:val="28"/>
                <w:rtl/>
              </w:rPr>
              <w:t>208 533 7</w:t>
            </w:r>
          </w:p>
        </w:tc>
      </w:tr>
      <w:tr w:rsidR="00974D2C" w:rsidRPr="001F7970" w:rsidTr="00F1144E">
        <w:trPr>
          <w:trHeight w:val="314"/>
        </w:trPr>
        <w:tc>
          <w:tcPr>
            <w:tcW w:w="4536" w:type="dxa"/>
          </w:tcPr>
          <w:p w:rsidR="00974D2C" w:rsidRPr="001F7970" w:rsidRDefault="001F7970" w:rsidP="001F7970">
            <w:pPr>
              <w:keepNext/>
              <w:keepLines/>
              <w:bidi/>
              <w:ind w:left="33" w:right="34"/>
              <w:contextualSpacing/>
              <w:rPr>
                <w:rFonts w:ascii="Arabic Typesetting" w:eastAsiaTheme="minorHAnsi" w:hAnsi="Arabic Typesetting" w:cs="Arabic Typesetting"/>
                <w:sz w:val="28"/>
                <w:szCs w:val="28"/>
                <w:highlight w:val="green"/>
              </w:rPr>
            </w:pPr>
            <w:r w:rsidRPr="001F7970">
              <w:rPr>
                <w:rFonts w:ascii="Arabic Typesetting" w:eastAsiaTheme="minorHAnsi" w:hAnsi="Arabic Typesetting" w:cs="Arabic Typesetting"/>
                <w:sz w:val="28"/>
                <w:szCs w:val="28"/>
                <w:rtl/>
              </w:rPr>
              <w:t>المبالغ التي خصصها البلد المستضيف</w:t>
            </w:r>
          </w:p>
        </w:tc>
        <w:tc>
          <w:tcPr>
            <w:tcW w:w="3948" w:type="dxa"/>
          </w:tcPr>
          <w:p w:rsidR="00974D2C" w:rsidRPr="00E4519F" w:rsidRDefault="001F7970" w:rsidP="00E4519F">
            <w:pPr>
              <w:keepNext/>
              <w:keepLines/>
              <w:bidi/>
              <w:contextualSpacing/>
              <w:jc w:val="right"/>
              <w:rPr>
                <w:rFonts w:ascii="Arabic Typesetting" w:eastAsiaTheme="minorHAnsi" w:hAnsi="Arabic Typesetting" w:cs="Arabic Typesetting"/>
                <w:bCs/>
                <w:sz w:val="28"/>
                <w:szCs w:val="28"/>
                <w:highlight w:val="green"/>
              </w:rPr>
            </w:pPr>
            <w:r w:rsidRPr="00E4519F">
              <w:rPr>
                <w:rFonts w:ascii="Arabic Typesetting" w:eastAsiaTheme="minorHAnsi" w:hAnsi="Arabic Typesetting" w:cs="Arabic Typesetting"/>
                <w:bCs/>
                <w:sz w:val="28"/>
                <w:szCs w:val="28"/>
                <w:rtl/>
              </w:rPr>
              <w:t>000 867 4</w:t>
            </w:r>
          </w:p>
        </w:tc>
      </w:tr>
      <w:tr w:rsidR="00974D2C" w:rsidRPr="001F7970" w:rsidTr="00F1144E">
        <w:trPr>
          <w:trHeight w:val="319"/>
        </w:trPr>
        <w:tc>
          <w:tcPr>
            <w:tcW w:w="4536" w:type="dxa"/>
          </w:tcPr>
          <w:p w:rsidR="00974D2C" w:rsidRPr="001F7970" w:rsidRDefault="001F7970" w:rsidP="001F7970">
            <w:pPr>
              <w:keepNext/>
              <w:keepLines/>
              <w:bidi/>
              <w:ind w:left="33" w:right="34"/>
              <w:contextualSpacing/>
              <w:rPr>
                <w:rFonts w:ascii="Arabic Typesetting" w:eastAsiaTheme="minorHAnsi" w:hAnsi="Arabic Typesetting" w:cs="Arabic Typesetting"/>
                <w:sz w:val="28"/>
                <w:szCs w:val="28"/>
              </w:rPr>
            </w:pPr>
            <w:r w:rsidRPr="001F7970">
              <w:rPr>
                <w:rFonts w:ascii="Arabic Typesetting" w:eastAsiaTheme="minorHAnsi" w:hAnsi="Arabic Typesetting" w:cs="Arabic Typesetting"/>
                <w:sz w:val="28"/>
                <w:szCs w:val="28"/>
                <w:rtl/>
              </w:rPr>
              <w:t>مجموع المبالغ المخصصة</w:t>
            </w:r>
          </w:p>
        </w:tc>
        <w:tc>
          <w:tcPr>
            <w:tcW w:w="3948" w:type="dxa"/>
          </w:tcPr>
          <w:p w:rsidR="00974D2C" w:rsidRPr="00E4519F" w:rsidRDefault="001F7970" w:rsidP="00E4519F">
            <w:pPr>
              <w:keepNext/>
              <w:keepLines/>
              <w:bidi/>
              <w:contextualSpacing/>
              <w:jc w:val="right"/>
              <w:rPr>
                <w:rFonts w:ascii="Arabic Typesetting" w:eastAsiaTheme="minorHAnsi" w:hAnsi="Arabic Typesetting" w:cs="Arabic Typesetting"/>
                <w:bCs/>
                <w:sz w:val="28"/>
                <w:szCs w:val="28"/>
              </w:rPr>
            </w:pPr>
            <w:r w:rsidRPr="00E4519F">
              <w:rPr>
                <w:rFonts w:ascii="Arabic Typesetting" w:eastAsiaTheme="minorHAnsi" w:hAnsi="Arabic Typesetting" w:cs="Arabic Typesetting"/>
                <w:bCs/>
                <w:sz w:val="28"/>
                <w:szCs w:val="28"/>
                <w:rtl/>
              </w:rPr>
              <w:t>208 400 12</w:t>
            </w:r>
          </w:p>
        </w:tc>
      </w:tr>
    </w:tbl>
    <w:p w:rsidR="00974D2C" w:rsidRPr="001F7970" w:rsidRDefault="00974D2C" w:rsidP="001F7970">
      <w:pPr>
        <w:keepNext/>
        <w:bidi/>
        <w:rPr>
          <w:rFonts w:ascii="Arabic Typesetting" w:eastAsiaTheme="minorHAnsi" w:hAnsi="Arabic Typesetting" w:cs="Arabic Typesetting"/>
          <w:b/>
          <w:sz w:val="28"/>
          <w:szCs w:val="28"/>
        </w:rPr>
      </w:pPr>
    </w:p>
    <w:tbl>
      <w:tblPr>
        <w:tblStyle w:val="TableGrid"/>
        <w:bidiVisual/>
        <w:tblW w:w="8484" w:type="dxa"/>
        <w:tblInd w:w="534" w:type="dxa"/>
        <w:tblLook w:val="04A0" w:firstRow="1" w:lastRow="0" w:firstColumn="1" w:lastColumn="0" w:noHBand="0" w:noVBand="1"/>
      </w:tblPr>
      <w:tblGrid>
        <w:gridCol w:w="4536"/>
        <w:gridCol w:w="3948"/>
      </w:tblGrid>
      <w:tr w:rsidR="00974D2C" w:rsidRPr="001F7970" w:rsidTr="00F1144E">
        <w:trPr>
          <w:trHeight w:val="295"/>
        </w:trPr>
        <w:tc>
          <w:tcPr>
            <w:tcW w:w="4536" w:type="dxa"/>
          </w:tcPr>
          <w:p w:rsidR="00974D2C" w:rsidRPr="001F7970" w:rsidRDefault="001F7970" w:rsidP="001F7970">
            <w:pPr>
              <w:bidi/>
              <w:ind w:left="33" w:right="34"/>
              <w:contextualSpacing/>
              <w:rPr>
                <w:rFonts w:ascii="Arabic Typesetting" w:eastAsiaTheme="minorHAnsi" w:hAnsi="Arabic Typesetting" w:cs="Arabic Typesetting"/>
                <w:bCs/>
                <w:sz w:val="28"/>
                <w:szCs w:val="28"/>
              </w:rPr>
            </w:pPr>
            <w:r w:rsidRPr="001F7970">
              <w:rPr>
                <w:rFonts w:ascii="Arabic Typesetting" w:eastAsiaTheme="minorHAnsi" w:hAnsi="Arabic Typesetting" w:cs="Arabic Typesetting"/>
                <w:bCs/>
                <w:sz w:val="28"/>
                <w:szCs w:val="28"/>
                <w:rtl/>
              </w:rPr>
              <w:t>رصيد الالتزامات</w:t>
            </w:r>
          </w:p>
        </w:tc>
        <w:tc>
          <w:tcPr>
            <w:tcW w:w="3948" w:type="dxa"/>
          </w:tcPr>
          <w:p w:rsidR="00974D2C" w:rsidRPr="001F7970" w:rsidRDefault="001F7970" w:rsidP="001F7970">
            <w:pPr>
              <w:bidi/>
              <w:ind w:left="33"/>
              <w:contextualSpacing/>
              <w:jc w:val="center"/>
              <w:rPr>
                <w:rFonts w:ascii="Arabic Typesetting" w:eastAsiaTheme="minorHAnsi" w:hAnsi="Arabic Typesetting" w:cs="Arabic Typesetting"/>
                <w:iCs/>
                <w:sz w:val="28"/>
                <w:szCs w:val="28"/>
              </w:rPr>
            </w:pPr>
            <w:r w:rsidRPr="001F7970">
              <w:rPr>
                <w:rFonts w:ascii="Arabic Typesetting" w:eastAsiaTheme="minorHAnsi" w:hAnsi="Arabic Typesetting" w:cs="Arabic Typesetting"/>
                <w:iCs/>
                <w:sz w:val="28"/>
                <w:szCs w:val="28"/>
                <w:rtl/>
              </w:rPr>
              <w:t>المبالغ بالفرنكات السويسرية</w:t>
            </w:r>
          </w:p>
        </w:tc>
      </w:tr>
      <w:tr w:rsidR="00974D2C" w:rsidRPr="001F7970" w:rsidTr="00F1144E">
        <w:trPr>
          <w:trHeight w:val="296"/>
        </w:trPr>
        <w:tc>
          <w:tcPr>
            <w:tcW w:w="4536" w:type="dxa"/>
          </w:tcPr>
          <w:p w:rsidR="00974D2C" w:rsidRPr="001F7970" w:rsidRDefault="001F7970" w:rsidP="001F7970">
            <w:pPr>
              <w:bidi/>
              <w:ind w:left="33" w:right="34"/>
              <w:contextualSpacing/>
              <w:rPr>
                <w:rFonts w:ascii="Arabic Typesetting" w:eastAsiaTheme="minorHAnsi" w:hAnsi="Arabic Typesetting" w:cs="Arabic Typesetting"/>
                <w:sz w:val="28"/>
                <w:szCs w:val="28"/>
              </w:rPr>
            </w:pPr>
            <w:r w:rsidRPr="001F7970">
              <w:rPr>
                <w:rFonts w:ascii="Arabic Typesetting" w:eastAsiaTheme="minorHAnsi" w:hAnsi="Arabic Typesetting" w:cs="Arabic Typesetting"/>
                <w:sz w:val="28"/>
                <w:szCs w:val="28"/>
                <w:rtl/>
              </w:rPr>
              <w:t>رصيد الويبو المتاح</w:t>
            </w:r>
          </w:p>
        </w:tc>
        <w:tc>
          <w:tcPr>
            <w:tcW w:w="3948" w:type="dxa"/>
          </w:tcPr>
          <w:p w:rsidR="00974D2C" w:rsidRPr="00E4519F" w:rsidRDefault="001F7970" w:rsidP="00E4519F">
            <w:pPr>
              <w:keepNext/>
              <w:keepLines/>
              <w:bidi/>
              <w:contextualSpacing/>
              <w:jc w:val="right"/>
              <w:rPr>
                <w:rFonts w:ascii="Arabic Typesetting" w:eastAsiaTheme="minorHAnsi" w:hAnsi="Arabic Typesetting" w:cs="Arabic Typesetting"/>
                <w:bCs/>
                <w:sz w:val="28"/>
                <w:szCs w:val="28"/>
              </w:rPr>
            </w:pPr>
            <w:r w:rsidRPr="00E4519F">
              <w:rPr>
                <w:rFonts w:ascii="Arabic Typesetting" w:eastAsiaTheme="minorHAnsi" w:hAnsi="Arabic Typesetting" w:cs="Arabic Typesetting"/>
                <w:bCs/>
                <w:sz w:val="28"/>
                <w:szCs w:val="28"/>
                <w:rtl/>
              </w:rPr>
              <w:t>792 66</w:t>
            </w:r>
          </w:p>
        </w:tc>
      </w:tr>
      <w:tr w:rsidR="00974D2C" w:rsidRPr="001F7970" w:rsidTr="00F1144E">
        <w:trPr>
          <w:trHeight w:val="257"/>
        </w:trPr>
        <w:tc>
          <w:tcPr>
            <w:tcW w:w="4536" w:type="dxa"/>
          </w:tcPr>
          <w:p w:rsidR="00974D2C" w:rsidRPr="001F7970" w:rsidRDefault="001F7970" w:rsidP="001F7970">
            <w:pPr>
              <w:bidi/>
              <w:ind w:left="33" w:right="34"/>
              <w:contextualSpacing/>
              <w:rPr>
                <w:rFonts w:ascii="Arabic Typesetting" w:eastAsiaTheme="minorHAnsi" w:hAnsi="Arabic Typesetting" w:cs="Arabic Typesetting"/>
                <w:sz w:val="28"/>
                <w:szCs w:val="28"/>
              </w:rPr>
            </w:pPr>
            <w:r w:rsidRPr="001F7970">
              <w:rPr>
                <w:rFonts w:ascii="Arabic Typesetting" w:eastAsiaTheme="minorHAnsi" w:hAnsi="Arabic Typesetting" w:cs="Arabic Typesetting"/>
                <w:sz w:val="28"/>
                <w:szCs w:val="28"/>
                <w:rtl/>
              </w:rPr>
              <w:t>رصيد البلد المستضيف المتاح</w:t>
            </w:r>
          </w:p>
        </w:tc>
        <w:tc>
          <w:tcPr>
            <w:tcW w:w="3948" w:type="dxa"/>
          </w:tcPr>
          <w:p w:rsidR="00974D2C" w:rsidRPr="00E4519F" w:rsidRDefault="001F7970" w:rsidP="00E4519F">
            <w:pPr>
              <w:keepNext/>
              <w:keepLines/>
              <w:bidi/>
              <w:contextualSpacing/>
              <w:jc w:val="right"/>
              <w:rPr>
                <w:rFonts w:ascii="Arabic Typesetting" w:eastAsiaTheme="minorHAnsi" w:hAnsi="Arabic Typesetting" w:cs="Arabic Typesetting"/>
                <w:bCs/>
                <w:sz w:val="28"/>
                <w:szCs w:val="28"/>
              </w:rPr>
            </w:pPr>
            <w:r w:rsidRPr="00E4519F">
              <w:rPr>
                <w:rFonts w:ascii="Arabic Typesetting" w:eastAsiaTheme="minorHAnsi" w:hAnsi="Arabic Typesetting" w:cs="Arabic Typesetting"/>
                <w:bCs/>
                <w:sz w:val="28"/>
                <w:szCs w:val="28"/>
                <w:rtl/>
              </w:rPr>
              <w:t>000 133</w:t>
            </w:r>
          </w:p>
        </w:tc>
      </w:tr>
      <w:tr w:rsidR="00974D2C" w:rsidRPr="001F7970" w:rsidTr="00F1144E">
        <w:trPr>
          <w:trHeight w:val="248"/>
        </w:trPr>
        <w:tc>
          <w:tcPr>
            <w:tcW w:w="4536" w:type="dxa"/>
          </w:tcPr>
          <w:p w:rsidR="00974D2C" w:rsidRPr="001F7970" w:rsidRDefault="001F7970" w:rsidP="001F7970">
            <w:pPr>
              <w:bidi/>
              <w:ind w:left="33" w:right="34"/>
              <w:contextualSpacing/>
              <w:rPr>
                <w:rFonts w:ascii="Arabic Typesetting" w:eastAsiaTheme="minorHAnsi" w:hAnsi="Arabic Typesetting" w:cs="Arabic Typesetting"/>
                <w:sz w:val="28"/>
                <w:szCs w:val="28"/>
              </w:rPr>
            </w:pPr>
            <w:r w:rsidRPr="001F7970">
              <w:rPr>
                <w:rFonts w:ascii="Arabic Typesetting" w:eastAsiaTheme="minorHAnsi" w:hAnsi="Arabic Typesetting" w:cs="Arabic Typesetting"/>
                <w:sz w:val="28"/>
                <w:szCs w:val="28"/>
                <w:rtl/>
              </w:rPr>
              <w:t>مجموع الرصيد المتاح</w:t>
            </w:r>
          </w:p>
        </w:tc>
        <w:tc>
          <w:tcPr>
            <w:tcW w:w="3948" w:type="dxa"/>
          </w:tcPr>
          <w:p w:rsidR="00974D2C" w:rsidRPr="00E4519F" w:rsidRDefault="001F7970" w:rsidP="00E4519F">
            <w:pPr>
              <w:keepNext/>
              <w:keepLines/>
              <w:bidi/>
              <w:contextualSpacing/>
              <w:jc w:val="right"/>
              <w:rPr>
                <w:rFonts w:ascii="Arabic Typesetting" w:eastAsiaTheme="minorHAnsi" w:hAnsi="Arabic Typesetting" w:cs="Arabic Typesetting"/>
                <w:bCs/>
                <w:sz w:val="28"/>
                <w:szCs w:val="28"/>
              </w:rPr>
            </w:pPr>
            <w:r w:rsidRPr="00E4519F">
              <w:rPr>
                <w:rFonts w:ascii="Arabic Typesetting" w:eastAsiaTheme="minorHAnsi" w:hAnsi="Arabic Typesetting" w:cs="Arabic Typesetting"/>
                <w:bCs/>
                <w:sz w:val="28"/>
                <w:szCs w:val="28"/>
                <w:rtl/>
              </w:rPr>
              <w:t>792 199</w:t>
            </w:r>
          </w:p>
        </w:tc>
      </w:tr>
    </w:tbl>
    <w:p w:rsidR="001F7970" w:rsidRDefault="001F7970" w:rsidP="001F7970">
      <w:pPr>
        <w:pStyle w:val="NormalParaAR"/>
        <w:keepNext/>
        <w:numPr>
          <w:ilvl w:val="0"/>
          <w:numId w:val="21"/>
        </w:numPr>
        <w:spacing w:before="240"/>
        <w:ind w:left="0" w:firstLine="0"/>
        <w:rPr>
          <w:color w:val="000000" w:themeColor="text1"/>
        </w:rPr>
      </w:pPr>
      <w:r w:rsidRPr="001F7970">
        <w:rPr>
          <w:color w:val="000000" w:themeColor="text1"/>
          <w:rtl/>
        </w:rPr>
        <w:t>وفيما يلي فقرة قرار مقترحة.</w:t>
      </w:r>
    </w:p>
    <w:p w:rsidR="001F7970" w:rsidRPr="001F7970" w:rsidRDefault="001F7970" w:rsidP="001F7970">
      <w:pPr>
        <w:pStyle w:val="NormalParaAR"/>
        <w:numPr>
          <w:ilvl w:val="0"/>
          <w:numId w:val="21"/>
        </w:numPr>
        <w:ind w:left="5534" w:firstLine="0"/>
        <w:rPr>
          <w:i/>
          <w:iCs/>
        </w:rPr>
      </w:pPr>
      <w:r w:rsidRPr="001F7970">
        <w:rPr>
          <w:rFonts w:hint="cs"/>
          <w:i/>
          <w:iCs/>
          <w:rtl/>
        </w:rPr>
        <w:t>أحاطت لجنة البرنامج والميزانية علماً بال</w:t>
      </w:r>
      <w:r w:rsidRPr="001F7970">
        <w:rPr>
          <w:i/>
          <w:iCs/>
          <w:rtl/>
        </w:rPr>
        <w:t xml:space="preserve">تقرير </w:t>
      </w:r>
      <w:r w:rsidRPr="001F7970">
        <w:rPr>
          <w:rFonts w:hint="cs"/>
          <w:i/>
          <w:iCs/>
          <w:rtl/>
        </w:rPr>
        <w:t>ال</w:t>
      </w:r>
      <w:r w:rsidRPr="001F7970">
        <w:rPr>
          <w:i/>
          <w:iCs/>
          <w:rtl/>
        </w:rPr>
        <w:t>مرحلي عن مشروع تحسين معايير السلامة والأمن في مباني الويبو الحالية</w:t>
      </w:r>
      <w:r w:rsidRPr="001F7970">
        <w:rPr>
          <w:rFonts w:hint="cs"/>
          <w:i/>
          <w:iCs/>
          <w:rtl/>
        </w:rPr>
        <w:t xml:space="preserve"> (الوثيق</w:t>
      </w:r>
      <w:r>
        <w:rPr>
          <w:rFonts w:hint="cs"/>
          <w:i/>
          <w:iCs/>
          <w:rtl/>
        </w:rPr>
        <w:t>ة </w:t>
      </w:r>
      <w:r w:rsidRPr="001F7970">
        <w:rPr>
          <w:i/>
          <w:iCs/>
        </w:rPr>
        <w:t>WO/PBC/22/13</w:t>
      </w:r>
      <w:r w:rsidRPr="001F7970">
        <w:rPr>
          <w:rFonts w:hint="cs"/>
          <w:i/>
          <w:iCs/>
          <w:rtl/>
        </w:rPr>
        <w:t>).</w:t>
      </w:r>
    </w:p>
    <w:p w:rsidR="00974D2C" w:rsidRPr="009314C7" w:rsidRDefault="001F7970" w:rsidP="001F7970">
      <w:pPr>
        <w:pStyle w:val="EndofDocumentAR"/>
      </w:pPr>
      <w:r>
        <w:rPr>
          <w:rFonts w:hint="cs"/>
          <w:rtl/>
        </w:rPr>
        <w:t>[نهاية الوثيقة]</w:t>
      </w:r>
    </w:p>
    <w:sectPr w:rsidR="00974D2C" w:rsidRPr="009314C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EF2" w:rsidRDefault="00297EF2">
      <w:r>
        <w:separator/>
      </w:r>
    </w:p>
  </w:endnote>
  <w:endnote w:type="continuationSeparator" w:id="0">
    <w:p w:rsidR="00297EF2" w:rsidRDefault="0029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EF2" w:rsidRDefault="00297EF2" w:rsidP="009622BF">
      <w:pPr>
        <w:bidi/>
      </w:pPr>
      <w:bookmarkStart w:id="0" w:name="OLE_LINK1"/>
      <w:bookmarkStart w:id="1" w:name="OLE_LINK2"/>
      <w:r>
        <w:separator/>
      </w:r>
      <w:bookmarkEnd w:id="0"/>
      <w:bookmarkEnd w:id="1"/>
    </w:p>
  </w:footnote>
  <w:footnote w:type="continuationSeparator" w:id="0">
    <w:p w:rsidR="00297EF2" w:rsidRDefault="00297EF2"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274410">
    <w:r>
      <w:t>W</w:t>
    </w:r>
    <w:r w:rsidR="00772E46">
      <w:t>O/</w:t>
    </w:r>
    <w:r>
      <w:t>PBC</w:t>
    </w:r>
    <w:r w:rsidR="002F77FC">
      <w:t>/</w:t>
    </w:r>
    <w:r w:rsidR="00772E46">
      <w:t>2</w:t>
    </w:r>
    <w:r w:rsidR="00AA2001">
      <w:t>2</w:t>
    </w:r>
    <w:r w:rsidR="00AF4A0E">
      <w:t>/13</w:t>
    </w:r>
  </w:p>
  <w:p w:rsidR="002F77FC" w:rsidRDefault="002F77FC" w:rsidP="00D61541">
    <w:r>
      <w:fldChar w:fldCharType="begin"/>
    </w:r>
    <w:r>
      <w:instrText xml:space="preserve"> PAGE  \* MERGEFORMAT </w:instrText>
    </w:r>
    <w:r>
      <w:fldChar w:fldCharType="separate"/>
    </w:r>
    <w:r w:rsidR="00DC16FD">
      <w:rPr>
        <w:noProof/>
      </w:rPr>
      <w:t>3</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EB952BF"/>
    <w:multiLevelType w:val="hybridMultilevel"/>
    <w:tmpl w:val="AEBAA1F4"/>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257A7C"/>
    <w:multiLevelType w:val="hybridMultilevel"/>
    <w:tmpl w:val="386A9A06"/>
    <w:lvl w:ilvl="0" w:tplc="EA544D3A">
      <w:start w:val="1"/>
      <w:numFmt w:val="arabicAbjad"/>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6"/>
  </w:num>
  <w:num w:numId="3">
    <w:abstractNumId w:val="10"/>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E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95F"/>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4847"/>
    <w:rsid w:val="000A5408"/>
    <w:rsid w:val="000A6510"/>
    <w:rsid w:val="000A7E28"/>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22"/>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1F7970"/>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18AA"/>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6C9"/>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97EF2"/>
    <w:rsid w:val="002A076C"/>
    <w:rsid w:val="002A1059"/>
    <w:rsid w:val="002A3B3D"/>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07AAD"/>
    <w:rsid w:val="00311453"/>
    <w:rsid w:val="003114C9"/>
    <w:rsid w:val="0031229D"/>
    <w:rsid w:val="00312679"/>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69E1"/>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0791"/>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0D"/>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0E4"/>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97"/>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9E"/>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878"/>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16E"/>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62C9"/>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4C7"/>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D2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427"/>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7552"/>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E60"/>
    <w:rsid w:val="00A9614E"/>
    <w:rsid w:val="00A963B5"/>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08ED"/>
    <w:rsid w:val="00AC13B0"/>
    <w:rsid w:val="00AC2145"/>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A0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3FF4"/>
    <w:rsid w:val="00BB40DF"/>
    <w:rsid w:val="00BB5E2C"/>
    <w:rsid w:val="00BB7D9E"/>
    <w:rsid w:val="00BC1412"/>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3B5"/>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33CC"/>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AFC"/>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3AD"/>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6FD"/>
    <w:rsid w:val="00DC1CA3"/>
    <w:rsid w:val="00DC2641"/>
    <w:rsid w:val="00DC2B1E"/>
    <w:rsid w:val="00DC7481"/>
    <w:rsid w:val="00DC7591"/>
    <w:rsid w:val="00DD0839"/>
    <w:rsid w:val="00DD26D0"/>
    <w:rsid w:val="00DD47D5"/>
    <w:rsid w:val="00DD6729"/>
    <w:rsid w:val="00DD7960"/>
    <w:rsid w:val="00DD7B0D"/>
    <w:rsid w:val="00DE18CA"/>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39D"/>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9F"/>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44E"/>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4900"/>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6087"/>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597878"/>
    <w:rPr>
      <w:sz w:val="16"/>
      <w:szCs w:val="16"/>
    </w:rPr>
  </w:style>
  <w:style w:type="paragraph" w:styleId="CommentSubject">
    <w:name w:val="annotation subject"/>
    <w:basedOn w:val="CommentText"/>
    <w:next w:val="CommentText"/>
    <w:link w:val="CommentSubjectChar"/>
    <w:rsid w:val="00597878"/>
    <w:rPr>
      <w:b/>
      <w:bCs/>
      <w:sz w:val="20"/>
    </w:rPr>
  </w:style>
  <w:style w:type="character" w:customStyle="1" w:styleId="CommentTextChar">
    <w:name w:val="Comment Text Char"/>
    <w:basedOn w:val="DefaultParagraphFont"/>
    <w:link w:val="CommentText"/>
    <w:semiHidden/>
    <w:rsid w:val="00597878"/>
    <w:rPr>
      <w:rFonts w:ascii="Arial" w:hAnsi="Arial" w:cs="Arial"/>
      <w:sz w:val="18"/>
    </w:rPr>
  </w:style>
  <w:style w:type="character" w:customStyle="1" w:styleId="CommentSubjectChar">
    <w:name w:val="Comment Subject Char"/>
    <w:basedOn w:val="CommentTextChar"/>
    <w:link w:val="CommentSubject"/>
    <w:rsid w:val="00597878"/>
    <w:rPr>
      <w:rFonts w:ascii="Arial" w:hAnsi="Arial" w:cs="Arial"/>
      <w:b/>
      <w:bCs/>
      <w:sz w:val="18"/>
    </w:rPr>
  </w:style>
  <w:style w:type="paragraph" w:customStyle="1" w:styleId="Endofdocument-Annex">
    <w:name w:val="[End of document - Annex]"/>
    <w:basedOn w:val="Normal"/>
    <w:rsid w:val="00974D2C"/>
    <w:pPr>
      <w:ind w:left="5534"/>
    </w:pPr>
    <w:rPr>
      <w:rFonts w:eastAsia="SimSun"/>
      <w:lang w:eastAsia="zh-CN"/>
    </w:rPr>
  </w:style>
  <w:style w:type="paragraph" w:styleId="ListParagraph">
    <w:name w:val="List Paragraph"/>
    <w:basedOn w:val="Normal"/>
    <w:uiPriority w:val="34"/>
    <w:qFormat/>
    <w:rsid w:val="00974D2C"/>
    <w:pPr>
      <w:ind w:left="720"/>
      <w:contextualSpacing/>
    </w:pPr>
    <w:rPr>
      <w:rFonts w:eastAsia="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597878"/>
    <w:rPr>
      <w:sz w:val="16"/>
      <w:szCs w:val="16"/>
    </w:rPr>
  </w:style>
  <w:style w:type="paragraph" w:styleId="CommentSubject">
    <w:name w:val="annotation subject"/>
    <w:basedOn w:val="CommentText"/>
    <w:next w:val="CommentText"/>
    <w:link w:val="CommentSubjectChar"/>
    <w:rsid w:val="00597878"/>
    <w:rPr>
      <w:b/>
      <w:bCs/>
      <w:sz w:val="20"/>
    </w:rPr>
  </w:style>
  <w:style w:type="character" w:customStyle="1" w:styleId="CommentTextChar">
    <w:name w:val="Comment Text Char"/>
    <w:basedOn w:val="DefaultParagraphFont"/>
    <w:link w:val="CommentText"/>
    <w:semiHidden/>
    <w:rsid w:val="00597878"/>
    <w:rPr>
      <w:rFonts w:ascii="Arial" w:hAnsi="Arial" w:cs="Arial"/>
      <w:sz w:val="18"/>
    </w:rPr>
  </w:style>
  <w:style w:type="character" w:customStyle="1" w:styleId="CommentSubjectChar">
    <w:name w:val="Comment Subject Char"/>
    <w:basedOn w:val="CommentTextChar"/>
    <w:link w:val="CommentSubject"/>
    <w:rsid w:val="00597878"/>
    <w:rPr>
      <w:rFonts w:ascii="Arial" w:hAnsi="Arial" w:cs="Arial"/>
      <w:b/>
      <w:bCs/>
      <w:sz w:val="18"/>
    </w:rPr>
  </w:style>
  <w:style w:type="paragraph" w:customStyle="1" w:styleId="Endofdocument-Annex">
    <w:name w:val="[End of document - Annex]"/>
    <w:basedOn w:val="Normal"/>
    <w:rsid w:val="00974D2C"/>
    <w:pPr>
      <w:ind w:left="5534"/>
    </w:pPr>
    <w:rPr>
      <w:rFonts w:eastAsia="SimSun"/>
      <w:lang w:eastAsia="zh-CN"/>
    </w:rPr>
  </w:style>
  <w:style w:type="paragraph" w:styleId="ListParagraph">
    <w:name w:val="List Paragraph"/>
    <w:basedOn w:val="Normal"/>
    <w:uiPriority w:val="34"/>
    <w:qFormat/>
    <w:rsid w:val="00974D2C"/>
    <w:pPr>
      <w:ind w:left="720"/>
      <w:contextualSpacing/>
    </w:pPr>
    <w:rPr>
      <w:rFonts w:eastAsia="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5474-9F7C-4DB0-8206-7F0185CD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4574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WO/PBC/20/13 (Arabic)</vt:lpstr>
    </vt:vector>
  </TitlesOfParts>
  <Company>World Intellectual Property Organization</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WO/PBC/20/13 (Arabic)</dc:title>
  <dc:creator>HASSAN Ahmed</dc:creator>
  <cp:lastModifiedBy>DOYON Geneviève</cp:lastModifiedBy>
  <cp:revision>2</cp:revision>
  <cp:lastPrinted>2014-08-07T15:21:00Z</cp:lastPrinted>
  <dcterms:created xsi:type="dcterms:W3CDTF">2014-08-07T15:27:00Z</dcterms:created>
  <dcterms:modified xsi:type="dcterms:W3CDTF">2014-08-07T15:27:00Z</dcterms:modified>
</cp:coreProperties>
</file>