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360551">
            <w:pPr>
              <w:pStyle w:val="DocumentCodeAR"/>
              <w:bidi/>
              <w:rPr>
                <w:rtl/>
              </w:rPr>
            </w:pPr>
            <w:r>
              <w:t>WO/</w:t>
            </w:r>
            <w:r w:rsidR="00983389">
              <w:t>PBC</w:t>
            </w:r>
            <w:r w:rsidR="00100F97">
              <w:t>/</w:t>
            </w:r>
            <w:r>
              <w:t>2</w:t>
            </w:r>
            <w:r w:rsidR="00274410">
              <w:t>1</w:t>
            </w:r>
            <w:r w:rsidR="00B6101C" w:rsidRPr="00B6101C">
              <w:t>/</w:t>
            </w:r>
            <w:r w:rsidR="00360551">
              <w:t>7</w:t>
            </w:r>
          </w:p>
        </w:tc>
      </w:tr>
      <w:tr w:rsidR="001667B6" w:rsidTr="00BF164F">
        <w:tc>
          <w:tcPr>
            <w:tcW w:w="9571" w:type="dxa"/>
            <w:gridSpan w:val="3"/>
          </w:tcPr>
          <w:p w:rsidR="001667B6" w:rsidRPr="00B6101C" w:rsidRDefault="00B6101C" w:rsidP="00360551">
            <w:pPr>
              <w:pStyle w:val="DocumentLanguageAR"/>
              <w:bidi/>
              <w:rPr>
                <w:rtl/>
              </w:rPr>
            </w:pPr>
            <w:r w:rsidRPr="00B6101C">
              <w:rPr>
                <w:rFonts w:hint="cs"/>
                <w:rtl/>
              </w:rPr>
              <w:t xml:space="preserve">الأصل: </w:t>
            </w:r>
            <w:r w:rsidR="00360551">
              <w:rPr>
                <w:rFonts w:hint="cs"/>
                <w:rtl/>
              </w:rPr>
              <w:t>بالإنكليزية</w:t>
            </w:r>
          </w:p>
        </w:tc>
      </w:tr>
      <w:tr w:rsidR="001667B6" w:rsidTr="00BF164F">
        <w:tc>
          <w:tcPr>
            <w:tcW w:w="9571" w:type="dxa"/>
            <w:gridSpan w:val="3"/>
          </w:tcPr>
          <w:p w:rsidR="001667B6" w:rsidRPr="00B6101C" w:rsidRDefault="00B6101C" w:rsidP="00360551">
            <w:pPr>
              <w:pStyle w:val="DocumentDateAR"/>
              <w:bidi/>
              <w:rPr>
                <w:rtl/>
              </w:rPr>
            </w:pPr>
            <w:r w:rsidRPr="00B6101C">
              <w:rPr>
                <w:rFonts w:hint="cs"/>
                <w:rtl/>
              </w:rPr>
              <w:t xml:space="preserve">التاريخ: </w:t>
            </w:r>
            <w:r w:rsidR="00360551">
              <w:rPr>
                <w:rFonts w:hint="cs"/>
                <w:rtl/>
              </w:rPr>
              <w:t>31</w:t>
            </w:r>
            <w:r w:rsidRPr="00B6101C">
              <w:rPr>
                <w:rFonts w:hint="cs"/>
                <w:rtl/>
              </w:rPr>
              <w:t xml:space="preserve"> </w:t>
            </w:r>
            <w:r w:rsidR="00360551">
              <w:rPr>
                <w:rFonts w:hint="cs"/>
                <w:rtl/>
              </w:rPr>
              <w:t>يوليو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274410">
      <w:pPr>
        <w:pStyle w:val="MeetingSessionAR"/>
        <w:bidi/>
        <w:rPr>
          <w:rFonts w:ascii="Cambria Math" w:hAnsi="Cambria Math"/>
          <w:rtl/>
        </w:rPr>
      </w:pPr>
      <w:r w:rsidRPr="00783D11">
        <w:rPr>
          <w:rFonts w:ascii="Cambria Math" w:hAnsi="Cambria Math"/>
          <w:rtl/>
        </w:rPr>
        <w:t xml:space="preserve">الدورة </w:t>
      </w:r>
      <w:r w:rsidR="00274410">
        <w:rPr>
          <w:rFonts w:ascii="Cambria Math" w:hAnsi="Cambria Math" w:hint="cs"/>
          <w:rtl/>
        </w:rPr>
        <w:t>الحادية والعشرون</w:t>
      </w:r>
    </w:p>
    <w:p w:rsidR="00D61541" w:rsidRPr="00D61541" w:rsidRDefault="00D61541" w:rsidP="00274410">
      <w:pPr>
        <w:pStyle w:val="MeetingDatesAR"/>
        <w:bidi/>
        <w:rPr>
          <w:rtl/>
        </w:rPr>
      </w:pPr>
      <w:r w:rsidRPr="00D61541">
        <w:rPr>
          <w:rFonts w:hint="cs"/>
          <w:rtl/>
        </w:rPr>
        <w:t xml:space="preserve">جنيف، من </w:t>
      </w:r>
      <w:r w:rsidR="00274410">
        <w:rPr>
          <w:rFonts w:hint="cs"/>
          <w:rtl/>
        </w:rPr>
        <w:t>9</w:t>
      </w:r>
      <w:r w:rsidR="00983389">
        <w:rPr>
          <w:rFonts w:hint="cs"/>
          <w:rtl/>
        </w:rPr>
        <w:t xml:space="preserve"> </w:t>
      </w:r>
      <w:r w:rsidR="00100F97">
        <w:rPr>
          <w:rFonts w:hint="cs"/>
          <w:rtl/>
        </w:rPr>
        <w:t xml:space="preserve">إلى </w:t>
      </w:r>
      <w:r w:rsidR="00274410">
        <w:rPr>
          <w:rFonts w:hint="cs"/>
          <w:rtl/>
        </w:rPr>
        <w:t>13</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60551" w:rsidP="00FB7EC9">
      <w:pPr>
        <w:pStyle w:val="DocumentTitleAR"/>
        <w:bidi/>
        <w:rPr>
          <w:rtl/>
        </w:rPr>
      </w:pPr>
      <w:r w:rsidRPr="00360551">
        <w:rPr>
          <w:rtl/>
        </w:rPr>
        <w:t>وضع استخدام الأموال الاحتياطية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360551">
        <w:rPr>
          <w:rFonts w:hint="cs"/>
          <w:rtl/>
        </w:rPr>
        <w:t xml:space="preserve"> الأمانة</w:t>
      </w:r>
    </w:p>
    <w:p w:rsidR="00455B88" w:rsidRPr="006A1F01" w:rsidRDefault="00455B88" w:rsidP="005246CB">
      <w:pPr>
        <w:pStyle w:val="NumberedParaAR"/>
        <w:rPr>
          <w:lang w:val="fr-CH" w:bidi="ar-LB"/>
        </w:rPr>
      </w:pPr>
      <w:r w:rsidRPr="00767E8F">
        <w:rPr>
          <w:rtl/>
          <w:lang w:val="fr-CH" w:bidi="ar-LB"/>
        </w:rPr>
        <w:t xml:space="preserve">يرد في هذه الوثيقة عرض لما يلي: "1" وضع الأموال الاحتياطية ورؤوس الأموال العاملة (الاحتياطي) عقب إقفال </w:t>
      </w:r>
      <w:r w:rsidR="00CD16ED">
        <w:rPr>
          <w:rFonts w:hint="cs"/>
          <w:rtl/>
          <w:lang w:val="fr-CH" w:bidi="ar-LB"/>
        </w:rPr>
        <w:t>حسابات عام 2012</w:t>
      </w:r>
      <w:r w:rsidRPr="00767E8F">
        <w:rPr>
          <w:rtl/>
          <w:lang w:val="fr-CH" w:bidi="ar-LB"/>
        </w:rPr>
        <w:t xml:space="preserve">، "2" ووضع الاحتياطي المخصص </w:t>
      </w:r>
      <w:r w:rsidR="00CD16ED">
        <w:rPr>
          <w:rFonts w:hint="cs"/>
          <w:rtl/>
          <w:lang w:val="fr-CH"/>
        </w:rPr>
        <w:t xml:space="preserve">للمشروعات التي وافقت </w:t>
      </w:r>
      <w:r w:rsidR="005246CB" w:rsidRPr="00767E8F">
        <w:rPr>
          <w:rtl/>
          <w:lang w:val="fr-CH" w:bidi="ar-LB"/>
        </w:rPr>
        <w:t>الدول الأعضاء</w:t>
      </w:r>
      <w:r w:rsidR="005246CB">
        <w:rPr>
          <w:rFonts w:hint="cs"/>
          <w:rtl/>
          <w:lang w:val="fr-CH" w:bidi="ar-LB"/>
        </w:rPr>
        <w:t xml:space="preserve"> على تمويلها من احتياطي المنظمة </w:t>
      </w:r>
      <w:r w:rsidR="00CD16ED">
        <w:rPr>
          <w:rFonts w:hint="cs"/>
          <w:rtl/>
          <w:lang w:val="fr-CH" w:bidi="ar-LB"/>
        </w:rPr>
        <w:t xml:space="preserve">أو </w:t>
      </w:r>
      <w:r w:rsidR="005246CB" w:rsidRPr="006A1F01">
        <w:rPr>
          <w:rFonts w:hint="cs"/>
          <w:rtl/>
          <w:lang w:val="fr-CH" w:bidi="ar-LB"/>
        </w:rPr>
        <w:t>تلك المقترحة</w:t>
      </w:r>
      <w:r w:rsidR="00CD16ED" w:rsidRPr="006A1F01">
        <w:rPr>
          <w:rFonts w:hint="cs"/>
          <w:rtl/>
          <w:lang w:val="fr-CH" w:bidi="ar-LB"/>
        </w:rPr>
        <w:t xml:space="preserve"> </w:t>
      </w:r>
      <w:r w:rsidR="005246CB" w:rsidRPr="006A1F01">
        <w:rPr>
          <w:rFonts w:hint="cs"/>
          <w:rtl/>
          <w:lang w:val="fr-CH" w:bidi="ar-LB"/>
        </w:rPr>
        <w:t>لذلك الغرض.</w:t>
      </w:r>
    </w:p>
    <w:p w:rsidR="005246CB" w:rsidRDefault="005246CB" w:rsidP="005246CB">
      <w:pPr>
        <w:pStyle w:val="NumberedParaAR"/>
        <w:rPr>
          <w:lang w:val="fr-CH" w:bidi="ar-LB"/>
        </w:rPr>
      </w:pPr>
      <w:r>
        <w:rPr>
          <w:rFonts w:hint="cs"/>
          <w:rtl/>
          <w:lang w:val="fr-CH" w:bidi="ar-LB"/>
        </w:rPr>
        <w:t>وأُعدت البيانات المالية للمنظمة للسنة المنتهية في 31 ديسمبر 2012 وفقا للمعايير المحاسبية الدولية للقطاع العام.</w:t>
      </w:r>
    </w:p>
    <w:p w:rsidR="005246CB" w:rsidRDefault="005246CB" w:rsidP="005246CB">
      <w:pPr>
        <w:pStyle w:val="NumberedParaAR"/>
        <w:rPr>
          <w:lang w:val="fr-CH" w:bidi="ar-LB"/>
        </w:rPr>
      </w:pPr>
      <w:r>
        <w:rPr>
          <w:rFonts w:hint="cs"/>
          <w:rtl/>
          <w:lang w:val="fr-CH" w:bidi="ar-LB"/>
        </w:rPr>
        <w:t>وتحتوي هذه الوثيقة على الأجزاء التالية:</w:t>
      </w:r>
    </w:p>
    <w:p w:rsidR="006E2FCE" w:rsidRDefault="005246CB" w:rsidP="006E2FCE">
      <w:pPr>
        <w:pStyle w:val="NumberedParaAR"/>
        <w:numPr>
          <w:ilvl w:val="0"/>
          <w:numId w:val="0"/>
        </w:numPr>
        <w:ind w:left="566"/>
        <w:rPr>
          <w:rtl/>
          <w:lang w:bidi="ar-LB"/>
        </w:rPr>
      </w:pPr>
      <w:r>
        <w:rPr>
          <w:rFonts w:hint="cs"/>
          <w:rtl/>
          <w:lang w:val="fr-CH" w:bidi="ar-LB"/>
        </w:rPr>
        <w:t>(أ)</w:t>
      </w:r>
      <w:r>
        <w:rPr>
          <w:rFonts w:hint="cs"/>
          <w:rtl/>
          <w:lang w:val="fr-CH" w:bidi="ar-LB"/>
        </w:rPr>
        <w:tab/>
      </w:r>
      <w:r w:rsidR="006E2FCE">
        <w:rPr>
          <w:rFonts w:hint="cs"/>
          <w:rtl/>
          <w:lang w:val="fr-CH" w:bidi="ar-LB"/>
        </w:rPr>
        <w:t xml:space="preserve">الجزء الأول الذي يعرض وضع الاحتياطي </w:t>
      </w:r>
      <w:r w:rsidR="006E2FCE">
        <w:rPr>
          <w:rtl/>
          <w:lang w:bidi="ar-LB"/>
        </w:rPr>
        <w:t xml:space="preserve">عقب إقفال الحسابات السنوية لعام </w:t>
      </w:r>
      <w:r w:rsidR="006E2FCE">
        <w:rPr>
          <w:rFonts w:hint="cs"/>
          <w:rtl/>
          <w:lang w:bidi="ar-LB"/>
        </w:rPr>
        <w:t>2012</w:t>
      </w:r>
      <w:r w:rsidR="006E2FCE">
        <w:rPr>
          <w:rtl/>
          <w:lang w:bidi="ar-LB"/>
        </w:rPr>
        <w:t>، مع مراعاة أثر التسويات التي أجريت على أساس المعايير المحاسبية الدولية؛</w:t>
      </w:r>
    </w:p>
    <w:p w:rsidR="006E2FCE" w:rsidRPr="006E2FCE" w:rsidRDefault="006E2FCE" w:rsidP="006E2FCE">
      <w:pPr>
        <w:pStyle w:val="NumberedParaAR"/>
        <w:numPr>
          <w:ilvl w:val="0"/>
          <w:numId w:val="0"/>
        </w:numPr>
        <w:ind w:left="566"/>
        <w:rPr>
          <w:rtl/>
          <w:lang w:val="fr-CH" w:bidi="ar-LB"/>
        </w:rPr>
      </w:pPr>
      <w:r w:rsidRPr="006E2FCE">
        <w:rPr>
          <w:rtl/>
          <w:lang w:val="fr-CH" w:bidi="ar-LB"/>
        </w:rPr>
        <w:t>(ب)</w:t>
      </w:r>
      <w:r w:rsidRPr="006E2FCE">
        <w:rPr>
          <w:rFonts w:hint="cs"/>
          <w:rtl/>
          <w:lang w:val="fr-CH" w:bidi="ar-LB"/>
        </w:rPr>
        <w:tab/>
        <w:t>والجزء</w:t>
      </w:r>
      <w:r w:rsidRPr="006E2FCE">
        <w:rPr>
          <w:rtl/>
          <w:lang w:val="fr-CH" w:bidi="ar-LB"/>
        </w:rPr>
        <w:t xml:space="preserve"> الثاني</w:t>
      </w:r>
      <w:r w:rsidRPr="006E2FCE">
        <w:rPr>
          <w:rFonts w:hint="cs"/>
          <w:rtl/>
          <w:lang w:val="fr-CH" w:bidi="ar-LB"/>
        </w:rPr>
        <w:t xml:space="preserve"> الذي يعرض </w:t>
      </w:r>
      <w:r w:rsidRPr="006E2FCE">
        <w:rPr>
          <w:rtl/>
          <w:lang w:val="fr-CH" w:bidi="ar-LB"/>
        </w:rPr>
        <w:t xml:space="preserve">وضع الاحتياطي المخصص </w:t>
      </w:r>
      <w:r>
        <w:rPr>
          <w:rFonts w:hint="cs"/>
          <w:rtl/>
          <w:lang w:val="fr-CH" w:bidi="ar-LB"/>
        </w:rPr>
        <w:t>الذي وافقت عليه</w:t>
      </w:r>
      <w:r w:rsidRPr="006E2FCE">
        <w:rPr>
          <w:rtl/>
          <w:lang w:val="fr-CH" w:bidi="ar-LB"/>
        </w:rPr>
        <w:t xml:space="preserve"> الدول الأعضاء </w:t>
      </w:r>
      <w:r>
        <w:rPr>
          <w:rFonts w:hint="cs"/>
          <w:rtl/>
          <w:lang w:val="fr-CH" w:bidi="ar-LB"/>
        </w:rPr>
        <w:t>والذي اقتُرح لتوافق عليه الدول الأعضاء</w:t>
      </w:r>
      <w:r>
        <w:rPr>
          <w:rStyle w:val="FootnoteReference"/>
          <w:rtl/>
          <w:lang w:val="fr-CH" w:bidi="ar-LB"/>
        </w:rPr>
        <w:footnoteReference w:id="1"/>
      </w:r>
      <w:r w:rsidRPr="006E2FCE">
        <w:rPr>
          <w:rtl/>
          <w:lang w:val="fr-CH" w:bidi="ar-LB"/>
        </w:rPr>
        <w:t>؛</w:t>
      </w:r>
    </w:p>
    <w:p w:rsidR="006E2FCE" w:rsidRPr="006E2FCE" w:rsidRDefault="006E2FCE" w:rsidP="00EB2348">
      <w:pPr>
        <w:pStyle w:val="NumberedParaAR"/>
        <w:numPr>
          <w:ilvl w:val="0"/>
          <w:numId w:val="0"/>
        </w:numPr>
        <w:ind w:left="566"/>
        <w:rPr>
          <w:rtl/>
          <w:lang w:val="fr-CH" w:bidi="ar-LB"/>
        </w:rPr>
      </w:pPr>
      <w:r w:rsidRPr="006E2FCE">
        <w:rPr>
          <w:rtl/>
          <w:lang w:val="fr-CH" w:bidi="ar-LB"/>
        </w:rPr>
        <w:t>(ج)</w:t>
      </w:r>
      <w:r>
        <w:rPr>
          <w:rFonts w:hint="cs"/>
          <w:rtl/>
          <w:lang w:val="fr-CH" w:bidi="ar-LB"/>
        </w:rPr>
        <w:tab/>
      </w:r>
      <w:r w:rsidR="002A54B6">
        <w:rPr>
          <w:rFonts w:hint="cs"/>
          <w:rtl/>
          <w:lang w:val="fr-CH" w:bidi="ar-LB"/>
        </w:rPr>
        <w:t>والجزء</w:t>
      </w:r>
      <w:r w:rsidRPr="006E2FCE">
        <w:rPr>
          <w:rtl/>
          <w:lang w:val="fr-CH" w:bidi="ar-LB"/>
        </w:rPr>
        <w:t xml:space="preserve"> الثالث </w:t>
      </w:r>
      <w:r w:rsidR="002A54B6">
        <w:rPr>
          <w:rFonts w:hint="cs"/>
          <w:rtl/>
          <w:lang w:val="fr-CH" w:bidi="ar-LB"/>
        </w:rPr>
        <w:t xml:space="preserve">الذي </w:t>
      </w:r>
      <w:r w:rsidR="00EB2348">
        <w:rPr>
          <w:rFonts w:hint="cs"/>
          <w:rtl/>
          <w:lang w:val="fr-CH" w:bidi="ar-LB"/>
        </w:rPr>
        <w:t>يعرض</w:t>
      </w:r>
      <w:r w:rsidRPr="006E2FCE">
        <w:rPr>
          <w:rtl/>
          <w:lang w:val="fr-CH" w:bidi="ar-LB"/>
        </w:rPr>
        <w:t xml:space="preserve"> مستوي</w:t>
      </w:r>
      <w:r w:rsidR="002A54B6">
        <w:rPr>
          <w:rtl/>
          <w:lang w:val="fr-CH" w:bidi="ar-LB"/>
        </w:rPr>
        <w:t>ات الاحتياطي بعد عمليات التخصيص</w:t>
      </w:r>
      <w:r w:rsidR="002A54B6">
        <w:rPr>
          <w:rFonts w:hint="cs"/>
          <w:rtl/>
          <w:lang w:val="fr-CH" w:bidi="ar-LB"/>
        </w:rPr>
        <w:t xml:space="preserve"> إلى جانب المخصص المقترح بحسب كل اتحاد للمشروعات السبعة المقترح تمويلها من احتياطي المنظمة</w:t>
      </w:r>
      <w:r w:rsidR="002A54B6">
        <w:rPr>
          <w:rStyle w:val="FootnoteReference"/>
          <w:rtl/>
          <w:lang w:val="fr-CH" w:bidi="ar-LB"/>
        </w:rPr>
        <w:footnoteReference w:id="2"/>
      </w:r>
      <w:r w:rsidR="002A54B6">
        <w:rPr>
          <w:rFonts w:hint="cs"/>
          <w:rtl/>
          <w:lang w:val="fr-CH" w:bidi="ar-LB"/>
        </w:rPr>
        <w:t>.</w:t>
      </w:r>
    </w:p>
    <w:p w:rsidR="00D61541" w:rsidRDefault="006E2FCE" w:rsidP="00BC567C">
      <w:pPr>
        <w:pStyle w:val="NormalParaAR"/>
        <w:keepNext/>
        <w:jc w:val="center"/>
        <w:rPr>
          <w:b/>
          <w:bCs/>
          <w:lang w:bidi="ar-LB"/>
        </w:rPr>
      </w:pPr>
      <w:r w:rsidRPr="00BC567C">
        <w:rPr>
          <w:b/>
          <w:bCs/>
          <w:rtl/>
          <w:lang w:bidi="ar-LB"/>
        </w:rPr>
        <w:lastRenderedPageBreak/>
        <w:t xml:space="preserve">وضع الأموال الاحتياطية ورؤوس الأموال العاملة في 31 ديسمبر </w:t>
      </w:r>
      <w:r w:rsidR="00BC567C">
        <w:rPr>
          <w:rFonts w:hint="cs"/>
          <w:b/>
          <w:bCs/>
          <w:rtl/>
          <w:lang w:bidi="ar-LB"/>
        </w:rPr>
        <w:t>2012</w:t>
      </w:r>
    </w:p>
    <w:p w:rsidR="009C5C15" w:rsidRPr="009C5C15" w:rsidRDefault="009C5C15" w:rsidP="009C5C15">
      <w:pPr>
        <w:pStyle w:val="NormalParaAR"/>
        <w:keepNext/>
        <w:spacing w:after="0"/>
        <w:jc w:val="center"/>
        <w:rPr>
          <w:rtl/>
          <w:lang w:bidi="ar-LB"/>
        </w:rPr>
      </w:pPr>
      <w:r w:rsidRPr="009C5C15">
        <w:rPr>
          <w:rtl/>
          <w:lang w:bidi="ar-LB"/>
        </w:rPr>
        <w:t xml:space="preserve">الجدول 1: </w:t>
      </w:r>
      <w:r>
        <w:rPr>
          <w:rFonts w:hint="cs"/>
          <w:rtl/>
        </w:rPr>
        <w:t>النتائج الأولية و</w:t>
      </w:r>
      <w:r w:rsidRPr="009C5C15">
        <w:rPr>
          <w:rtl/>
          <w:lang w:bidi="ar-LB"/>
        </w:rPr>
        <w:t xml:space="preserve">الاحتياطي بحسب كل اتحاد في نهاية عام </w:t>
      </w:r>
      <w:r>
        <w:rPr>
          <w:rFonts w:hint="cs"/>
          <w:rtl/>
          <w:lang w:bidi="ar-LB"/>
        </w:rPr>
        <w:t>2012</w:t>
      </w:r>
    </w:p>
    <w:p w:rsidR="009C5C15" w:rsidRPr="009C5C15" w:rsidRDefault="009C5C15" w:rsidP="009C5C15">
      <w:pPr>
        <w:pStyle w:val="NormalParaAR"/>
        <w:keepNext/>
        <w:jc w:val="center"/>
        <w:rPr>
          <w:lang w:bidi="ar-LB"/>
        </w:rPr>
      </w:pPr>
      <w:r w:rsidRPr="009C5C15">
        <w:rPr>
          <w:rtl/>
          <w:lang w:bidi="ar-LB"/>
        </w:rPr>
        <w:t>(</w:t>
      </w:r>
      <w:r w:rsidRPr="00EB2348">
        <w:rPr>
          <w:i/>
          <w:iCs/>
          <w:rtl/>
          <w:lang w:bidi="ar-LB"/>
        </w:rPr>
        <w:t>بآلاف الفرنكات السويسرية</w:t>
      </w:r>
      <w:r w:rsidRPr="009C5C15">
        <w:rPr>
          <w:rtl/>
          <w:lang w:bidi="ar-LB"/>
        </w:rPr>
        <w:t>)</w:t>
      </w:r>
    </w:p>
    <w:p w:rsidR="00CB79E4" w:rsidRPr="00BC567C" w:rsidRDefault="006A1F01" w:rsidP="006A1F01">
      <w:pPr>
        <w:pStyle w:val="NormalParaAR"/>
        <w:spacing w:line="240" w:lineRule="auto"/>
        <w:jc w:val="center"/>
      </w:pPr>
      <w:r w:rsidRPr="006A1F01">
        <w:rPr>
          <w:noProof/>
          <w:rtl/>
        </w:rPr>
        <w:drawing>
          <wp:inline distT="0" distB="0" distL="0" distR="0" wp14:anchorId="207697EE" wp14:editId="00AF424F">
            <wp:extent cx="5940425" cy="319064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190649"/>
                    </a:xfrm>
                    <a:prstGeom prst="rect">
                      <a:avLst/>
                    </a:prstGeom>
                    <a:noFill/>
                    <a:ln>
                      <a:noFill/>
                    </a:ln>
                  </pic:spPr>
                </pic:pic>
              </a:graphicData>
            </a:graphic>
          </wp:inline>
        </w:drawing>
      </w:r>
    </w:p>
    <w:p w:rsidR="00BC567C" w:rsidRPr="00CE0091" w:rsidRDefault="009C5C15" w:rsidP="006E5465">
      <w:pPr>
        <w:pStyle w:val="NumberedParaAR"/>
        <w:rPr>
          <w:lang w:bidi="ar-LB"/>
        </w:rPr>
      </w:pPr>
      <w:r>
        <w:rPr>
          <w:rFonts w:hint="cs"/>
          <w:rtl/>
          <w:lang w:val="fr-CH" w:bidi="ar-LB"/>
        </w:rPr>
        <w:t xml:space="preserve">بلغت النتيجة التشغيلية للمنظمة لعام 2012 على أساس المعايير المحاسبية الدولية 25,6 مليون فرنك سويسري. وبمراعاة النفقات من الأموال الاحتياطية وما يقابلها من </w:t>
      </w:r>
      <w:r w:rsidR="004977D9">
        <w:rPr>
          <w:rFonts w:hint="cs"/>
          <w:rtl/>
          <w:lang w:val="fr-CH" w:bidi="ar-LB"/>
        </w:rPr>
        <w:t>ال</w:t>
      </w:r>
      <w:r>
        <w:rPr>
          <w:rFonts w:hint="cs"/>
          <w:rtl/>
          <w:lang w:val="fr-CH" w:bidi="ar-LB"/>
        </w:rPr>
        <w:t>تسويات</w:t>
      </w:r>
      <w:r w:rsidR="004977D9">
        <w:rPr>
          <w:rFonts w:hint="cs"/>
          <w:rtl/>
          <w:lang w:val="fr-CH" w:bidi="ar-LB"/>
        </w:rPr>
        <w:t xml:space="preserve"> التي أجريت على أساس</w:t>
      </w:r>
      <w:r>
        <w:rPr>
          <w:rFonts w:hint="cs"/>
          <w:rtl/>
          <w:lang w:val="fr-CH" w:bidi="ar-LB"/>
        </w:rPr>
        <w:t xml:space="preserve"> المعايير المحاسبية الدولية، كانت النتيجة الإجمالية في عام</w:t>
      </w:r>
      <w:r w:rsidR="006E5465">
        <w:rPr>
          <w:rFonts w:hint="eastAsia"/>
          <w:rtl/>
          <w:lang w:val="fr-CH" w:bidi="ar-LB"/>
        </w:rPr>
        <w:t> </w:t>
      </w:r>
      <w:r>
        <w:rPr>
          <w:rFonts w:hint="cs"/>
          <w:rtl/>
          <w:lang w:val="fr-CH" w:bidi="ar-LB"/>
        </w:rPr>
        <w:t>2012 ف</w:t>
      </w:r>
      <w:r w:rsidR="006E5465">
        <w:rPr>
          <w:rFonts w:hint="cs"/>
          <w:rtl/>
          <w:lang w:val="fr-CH" w:bidi="ar-LB"/>
        </w:rPr>
        <w:t>ائضا بلغ 15,7 مليون فرنك سويسري. ووصلت النفقات من الأموال الاحتياطية 14,8 مليون فرنك سويسري على أساس الميزانية (9,9 ملايين فرنك سويسري بعد إدخال تسويات المعايير المحاسبية الدولية) على المشروعات التي وافقت عليها الدول الأعضاء.</w:t>
      </w:r>
    </w:p>
    <w:p w:rsidR="006E5465" w:rsidRPr="00CE0091" w:rsidRDefault="006E5465" w:rsidP="00EB2348">
      <w:pPr>
        <w:pStyle w:val="NumberedParaAR"/>
        <w:rPr>
          <w:lang w:bidi="ar-LB"/>
        </w:rPr>
      </w:pPr>
      <w:r w:rsidRPr="006E5465">
        <w:rPr>
          <w:rtl/>
          <w:lang w:val="fr-CH" w:bidi="ar-LB"/>
        </w:rPr>
        <w:t>ونتيجة لذلك</w:t>
      </w:r>
      <w:r>
        <w:rPr>
          <w:rFonts w:hint="cs"/>
          <w:rtl/>
          <w:lang w:val="fr-CH" w:bidi="ar-LB"/>
        </w:rPr>
        <w:t>،</w:t>
      </w:r>
      <w:r w:rsidRPr="006E5465">
        <w:rPr>
          <w:rtl/>
          <w:lang w:val="fr-CH" w:bidi="ar-LB"/>
        </w:rPr>
        <w:t xml:space="preserve"> بلغ احتياطي الويبو، في نهاية </w:t>
      </w:r>
      <w:r>
        <w:rPr>
          <w:rFonts w:hint="cs"/>
          <w:rtl/>
          <w:lang w:val="fr-CH" w:bidi="ar-LB"/>
        </w:rPr>
        <w:t>عام 2012 ما قدره</w:t>
      </w:r>
      <w:r w:rsidRPr="006E5465">
        <w:rPr>
          <w:rtl/>
          <w:lang w:val="fr-CH" w:bidi="ar-LB"/>
        </w:rPr>
        <w:t xml:space="preserve"> </w:t>
      </w:r>
      <w:r>
        <w:rPr>
          <w:rFonts w:hint="cs"/>
          <w:rtl/>
          <w:lang w:val="fr-CH" w:bidi="ar-LB"/>
        </w:rPr>
        <w:t>178</w:t>
      </w:r>
      <w:r w:rsidRPr="006E5465">
        <w:rPr>
          <w:rtl/>
          <w:lang w:val="fr-CH" w:bidi="ar-LB"/>
        </w:rPr>
        <w:t>,</w:t>
      </w:r>
      <w:r>
        <w:rPr>
          <w:rFonts w:hint="cs"/>
          <w:rtl/>
          <w:lang w:val="fr-CH" w:bidi="ar-LB"/>
        </w:rPr>
        <w:t>2</w:t>
      </w:r>
      <w:r w:rsidRPr="006E5465">
        <w:rPr>
          <w:rtl/>
          <w:lang w:val="fr-CH" w:bidi="ar-LB"/>
        </w:rPr>
        <w:t xml:space="preserve"> مليون فرنك سويسري</w:t>
      </w:r>
      <w:r>
        <w:rPr>
          <w:rFonts w:hint="cs"/>
          <w:rtl/>
          <w:lang w:val="fr-CH" w:bidi="ar-LB"/>
        </w:rPr>
        <w:t xml:space="preserve"> </w:t>
      </w:r>
      <w:r w:rsidRPr="006E5465">
        <w:rPr>
          <w:rtl/>
          <w:lang w:val="fr-CH" w:bidi="ar-LB"/>
        </w:rPr>
        <w:t xml:space="preserve">مقارنة </w:t>
      </w:r>
      <w:r>
        <w:rPr>
          <w:rFonts w:hint="cs"/>
          <w:rtl/>
          <w:lang w:val="fr-CH" w:bidi="ar-LB"/>
        </w:rPr>
        <w:t>ب</w:t>
      </w:r>
      <w:r w:rsidRPr="006E5465">
        <w:rPr>
          <w:rtl/>
          <w:lang w:val="fr-CH" w:bidi="ar-LB"/>
        </w:rPr>
        <w:t xml:space="preserve">الرصيد الافتتاحي البالغ </w:t>
      </w:r>
      <w:r>
        <w:rPr>
          <w:rFonts w:hint="cs"/>
          <w:rtl/>
          <w:lang w:val="fr-CH" w:bidi="ar-LB"/>
        </w:rPr>
        <w:t>162</w:t>
      </w:r>
      <w:r w:rsidRPr="006E5465">
        <w:rPr>
          <w:rtl/>
          <w:lang w:val="fr-CH" w:bidi="ar-LB"/>
        </w:rPr>
        <w:t>,</w:t>
      </w:r>
      <w:r>
        <w:rPr>
          <w:rFonts w:hint="cs"/>
          <w:rtl/>
          <w:lang w:val="fr-CH" w:bidi="ar-LB"/>
        </w:rPr>
        <w:t>5</w:t>
      </w:r>
      <w:r w:rsidRPr="006E5465">
        <w:rPr>
          <w:rtl/>
          <w:lang w:val="fr-CH" w:bidi="ar-LB"/>
        </w:rPr>
        <w:t xml:space="preserve"> مليون فرنك سويسري</w:t>
      </w:r>
      <w:r>
        <w:rPr>
          <w:rFonts w:hint="cs"/>
          <w:rtl/>
          <w:lang w:val="fr-CH" w:bidi="ar-LB"/>
        </w:rPr>
        <w:t xml:space="preserve">. </w:t>
      </w:r>
      <w:r w:rsidR="00EB2348">
        <w:rPr>
          <w:rFonts w:hint="cs"/>
          <w:rtl/>
          <w:lang w:val="fr-CH" w:bidi="ar-LB"/>
        </w:rPr>
        <w:t>ويعرض</w:t>
      </w:r>
      <w:r w:rsidRPr="006E5465">
        <w:rPr>
          <w:rtl/>
          <w:lang w:val="fr-CH" w:bidi="ar-LB"/>
        </w:rPr>
        <w:t xml:space="preserve"> الجدول 2 </w:t>
      </w:r>
      <w:r w:rsidR="00EB2348">
        <w:rPr>
          <w:rFonts w:hint="cs"/>
          <w:rtl/>
          <w:lang w:val="fr-CH" w:bidi="ar-LB"/>
        </w:rPr>
        <w:t>ال</w:t>
      </w:r>
      <w:r w:rsidRPr="006E5465">
        <w:rPr>
          <w:rtl/>
          <w:lang w:val="fr-CH" w:bidi="ar-LB"/>
        </w:rPr>
        <w:t>تسويات</w:t>
      </w:r>
      <w:r w:rsidR="004977D9">
        <w:rPr>
          <w:rFonts w:hint="cs"/>
          <w:rtl/>
          <w:lang w:val="fr-CH" w:bidi="ar-LB"/>
        </w:rPr>
        <w:t xml:space="preserve"> التي أجريت على أساس</w:t>
      </w:r>
      <w:r>
        <w:rPr>
          <w:rFonts w:hint="cs"/>
          <w:rtl/>
          <w:lang w:val="fr-CH" w:bidi="ar-LB"/>
        </w:rPr>
        <w:t xml:space="preserve"> المعايير المحاسبية الدولية </w:t>
      </w:r>
      <w:r w:rsidR="004977D9">
        <w:rPr>
          <w:rFonts w:hint="cs"/>
          <w:rtl/>
          <w:lang w:val="fr-CH" w:bidi="ar-LB"/>
        </w:rPr>
        <w:t xml:space="preserve">في </w:t>
      </w:r>
      <w:r>
        <w:rPr>
          <w:rFonts w:hint="cs"/>
          <w:rtl/>
          <w:lang w:val="fr-CH" w:bidi="ar-LB"/>
        </w:rPr>
        <w:t xml:space="preserve">عام 2012 مقارنة بالتسويات المماثلة في السنتين </w:t>
      </w:r>
      <w:r w:rsidR="004977D9">
        <w:rPr>
          <w:rFonts w:hint="cs"/>
          <w:rtl/>
          <w:lang w:val="fr-CH" w:bidi="ar-LB"/>
        </w:rPr>
        <w:t>السالفتين</w:t>
      </w:r>
      <w:r>
        <w:rPr>
          <w:rFonts w:hint="cs"/>
          <w:rtl/>
          <w:lang w:val="fr-CH" w:bidi="ar-LB"/>
        </w:rPr>
        <w:t>.</w:t>
      </w:r>
    </w:p>
    <w:p w:rsidR="004977D9" w:rsidRDefault="004977D9" w:rsidP="004977D9">
      <w:pPr>
        <w:pStyle w:val="NumberedParaAR"/>
        <w:keepNext/>
        <w:numPr>
          <w:ilvl w:val="0"/>
          <w:numId w:val="0"/>
        </w:numPr>
        <w:spacing w:after="0"/>
        <w:jc w:val="center"/>
        <w:rPr>
          <w:rtl/>
          <w:lang w:val="fr-CH" w:bidi="ar-LB"/>
        </w:rPr>
      </w:pPr>
      <w:r>
        <w:rPr>
          <w:rFonts w:hint="cs"/>
          <w:rtl/>
          <w:lang w:val="fr-CH" w:bidi="ar-LB"/>
        </w:rPr>
        <w:lastRenderedPageBreak/>
        <w:t>الجدول 2: ملخص التسويات التي أجريت على أساس المعايير المحاسبية الدولية</w:t>
      </w:r>
    </w:p>
    <w:p w:rsidR="004977D9" w:rsidRPr="009C5C15" w:rsidRDefault="004977D9" w:rsidP="004977D9">
      <w:pPr>
        <w:pStyle w:val="NormalParaAR"/>
        <w:keepNext/>
        <w:jc w:val="center"/>
        <w:rPr>
          <w:lang w:bidi="ar-LB"/>
        </w:rPr>
      </w:pPr>
      <w:r w:rsidRPr="009C5C15">
        <w:rPr>
          <w:rtl/>
          <w:lang w:bidi="ar-LB"/>
        </w:rPr>
        <w:t>(</w:t>
      </w:r>
      <w:r w:rsidRPr="00EB2348">
        <w:rPr>
          <w:rFonts w:hint="cs"/>
          <w:i/>
          <w:iCs/>
          <w:rtl/>
          <w:lang w:bidi="ar-LB"/>
        </w:rPr>
        <w:t>بملايين</w:t>
      </w:r>
      <w:r w:rsidRPr="00EB2348">
        <w:rPr>
          <w:i/>
          <w:iCs/>
          <w:rtl/>
          <w:lang w:bidi="ar-LB"/>
        </w:rPr>
        <w:t xml:space="preserve"> الفرنكات السويسرية</w:t>
      </w:r>
      <w:r w:rsidRPr="009C5C15">
        <w:rPr>
          <w:rtl/>
          <w:lang w:bidi="ar-LB"/>
        </w:rPr>
        <w:t>)</w:t>
      </w:r>
    </w:p>
    <w:p w:rsidR="004977D9" w:rsidRDefault="006A1F01" w:rsidP="004977D9">
      <w:pPr>
        <w:pStyle w:val="NumberedParaAR"/>
        <w:numPr>
          <w:ilvl w:val="0"/>
          <w:numId w:val="0"/>
        </w:numPr>
        <w:spacing w:line="240" w:lineRule="auto"/>
        <w:jc w:val="center"/>
        <w:rPr>
          <w:rtl/>
          <w:lang w:val="fr-CH" w:bidi="ar-LB"/>
        </w:rPr>
      </w:pPr>
      <w:r w:rsidRPr="006A1F01">
        <w:rPr>
          <w:rFonts w:hint="cs"/>
          <w:noProof/>
          <w:rtl/>
        </w:rPr>
        <w:drawing>
          <wp:inline distT="0" distB="0" distL="0" distR="0" wp14:anchorId="5B16BAB8" wp14:editId="1205FC23">
            <wp:extent cx="4400550" cy="3117057"/>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7229" cy="3121788"/>
                    </a:xfrm>
                    <a:prstGeom prst="rect">
                      <a:avLst/>
                    </a:prstGeom>
                    <a:noFill/>
                    <a:ln>
                      <a:noFill/>
                    </a:ln>
                  </pic:spPr>
                </pic:pic>
              </a:graphicData>
            </a:graphic>
          </wp:inline>
        </w:drawing>
      </w:r>
    </w:p>
    <w:p w:rsidR="004977D9" w:rsidRDefault="004977D9" w:rsidP="004977D9">
      <w:pPr>
        <w:pStyle w:val="NumberedParaAR"/>
        <w:keepNext/>
        <w:numPr>
          <w:ilvl w:val="0"/>
          <w:numId w:val="0"/>
        </w:numPr>
        <w:spacing w:line="240" w:lineRule="auto"/>
        <w:rPr>
          <w:b/>
          <w:bCs/>
          <w:rtl/>
          <w:lang w:val="fr-CH" w:bidi="ar-LB"/>
        </w:rPr>
      </w:pPr>
      <w:r w:rsidRPr="004977D9">
        <w:rPr>
          <w:rFonts w:hint="cs"/>
          <w:b/>
          <w:bCs/>
          <w:rtl/>
          <w:lang w:val="fr-CH" w:bidi="ar-LB"/>
        </w:rPr>
        <w:t>المشروعات الممولة من الأموال الاحتياطية</w:t>
      </w:r>
    </w:p>
    <w:p w:rsidR="00916E44" w:rsidRDefault="00EB2348" w:rsidP="00EB2348">
      <w:pPr>
        <w:pStyle w:val="NumberedParaAR"/>
        <w:rPr>
          <w:lang w:val="fr-CH" w:bidi="ar-LB"/>
        </w:rPr>
      </w:pPr>
      <w:r>
        <w:rPr>
          <w:rFonts w:hint="cs"/>
          <w:rtl/>
          <w:lang w:val="fr-CH" w:bidi="ar-LB"/>
        </w:rPr>
        <w:t>يعرض الجدول 3 النفقات على أبرز المشروعات الجاري تنفيذها أو المعروضة على الدول الأعضاء للموافقة عليها.</w:t>
      </w:r>
    </w:p>
    <w:p w:rsidR="00EB2348" w:rsidRDefault="00EB2348" w:rsidP="004D3980">
      <w:pPr>
        <w:pStyle w:val="NumberedParaAR"/>
        <w:keepNext/>
        <w:numPr>
          <w:ilvl w:val="0"/>
          <w:numId w:val="0"/>
        </w:numPr>
        <w:spacing w:after="0"/>
        <w:jc w:val="center"/>
        <w:rPr>
          <w:rtl/>
          <w:lang w:val="fr-CH" w:bidi="ar-LB"/>
        </w:rPr>
      </w:pPr>
      <w:r>
        <w:rPr>
          <w:rFonts w:hint="cs"/>
          <w:rtl/>
          <w:lang w:val="fr-CH" w:bidi="ar-LB"/>
        </w:rPr>
        <w:t>الجدول 3: عرض لأبرز المشروعات</w:t>
      </w:r>
    </w:p>
    <w:p w:rsidR="00EB2348" w:rsidRPr="00CE0091" w:rsidRDefault="00EB2348" w:rsidP="00EB2348">
      <w:pPr>
        <w:pStyle w:val="NormalParaAR"/>
        <w:keepNext/>
        <w:jc w:val="center"/>
        <w:rPr>
          <w:lang w:val="fr-CH" w:bidi="ar-LB"/>
        </w:rPr>
      </w:pPr>
      <w:r w:rsidRPr="009C5C15">
        <w:rPr>
          <w:rtl/>
          <w:lang w:bidi="ar-LB"/>
        </w:rPr>
        <w:t>(</w:t>
      </w:r>
      <w:r w:rsidRPr="00EB2348">
        <w:rPr>
          <w:i/>
          <w:iCs/>
          <w:rtl/>
          <w:lang w:bidi="ar-LB"/>
        </w:rPr>
        <w:t>بآلاف الفرنكات السويسرية</w:t>
      </w:r>
      <w:r w:rsidRPr="009C5C15">
        <w:rPr>
          <w:rtl/>
          <w:lang w:bidi="ar-LB"/>
        </w:rPr>
        <w:t>)</w:t>
      </w:r>
    </w:p>
    <w:p w:rsidR="00EB2348" w:rsidRDefault="004D3980" w:rsidP="00EB2348">
      <w:pPr>
        <w:pStyle w:val="NumberedParaAR"/>
        <w:numPr>
          <w:ilvl w:val="0"/>
          <w:numId w:val="0"/>
        </w:numPr>
        <w:spacing w:line="240" w:lineRule="auto"/>
        <w:jc w:val="center"/>
        <w:rPr>
          <w:rtl/>
          <w:lang w:val="fr-CH" w:bidi="ar-LB"/>
        </w:rPr>
      </w:pPr>
      <w:r w:rsidRPr="004D3980">
        <w:rPr>
          <w:rFonts w:hint="cs"/>
          <w:noProof/>
          <w:rtl/>
        </w:rPr>
        <w:drawing>
          <wp:inline distT="0" distB="0" distL="0" distR="0" wp14:anchorId="5474CCF7" wp14:editId="1FE80350">
            <wp:extent cx="5940425" cy="643546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6435460"/>
                    </a:xfrm>
                    <a:prstGeom prst="rect">
                      <a:avLst/>
                    </a:prstGeom>
                    <a:noFill/>
                    <a:ln>
                      <a:noFill/>
                    </a:ln>
                  </pic:spPr>
                </pic:pic>
              </a:graphicData>
            </a:graphic>
          </wp:inline>
        </w:drawing>
      </w:r>
    </w:p>
    <w:p w:rsidR="00EB2348" w:rsidRDefault="00EB2348" w:rsidP="00EB2348">
      <w:pPr>
        <w:pStyle w:val="NumberedParaAR"/>
        <w:keepNext/>
        <w:numPr>
          <w:ilvl w:val="0"/>
          <w:numId w:val="0"/>
        </w:numPr>
        <w:spacing w:line="240" w:lineRule="auto"/>
        <w:rPr>
          <w:b/>
          <w:bCs/>
          <w:rtl/>
          <w:lang w:val="fr-CH" w:bidi="ar-LB"/>
        </w:rPr>
      </w:pPr>
      <w:r w:rsidRPr="00EB2348">
        <w:rPr>
          <w:b/>
          <w:bCs/>
          <w:rtl/>
          <w:lang w:val="fr-CH" w:bidi="ar-LB"/>
        </w:rPr>
        <w:t>أرصدة الاحتياطي بعد عمليات التخصيص</w:t>
      </w:r>
    </w:p>
    <w:p w:rsidR="00EB2348" w:rsidRDefault="00EB2348" w:rsidP="00A37653">
      <w:pPr>
        <w:pStyle w:val="NumberedParaAR"/>
        <w:rPr>
          <w:lang w:val="fr-CH" w:bidi="ar-LB"/>
        </w:rPr>
      </w:pPr>
      <w:r w:rsidRPr="00A37653">
        <w:rPr>
          <w:rFonts w:hint="cs"/>
          <w:rtl/>
          <w:lang w:val="fr-CH" w:bidi="ar-LB"/>
        </w:rPr>
        <w:t>يتضمن</w:t>
      </w:r>
      <w:r w:rsidRPr="00A37653">
        <w:rPr>
          <w:rtl/>
          <w:lang w:val="fr-CH" w:bidi="ar-LB"/>
        </w:rPr>
        <w:t xml:space="preserve"> الجدول </w:t>
      </w:r>
      <w:r w:rsidRPr="00A37653">
        <w:rPr>
          <w:rFonts w:hint="cs"/>
          <w:rtl/>
          <w:lang w:val="fr-CH" w:bidi="ar-LB"/>
        </w:rPr>
        <w:t>4</w:t>
      </w:r>
      <w:r w:rsidRPr="00A37653">
        <w:rPr>
          <w:rtl/>
          <w:lang w:val="fr-CH" w:bidi="ar-LB"/>
        </w:rPr>
        <w:t xml:space="preserve"> عرضا لأرصدة الاحتياطي بحسب كل اتحاد</w:t>
      </w:r>
      <w:r w:rsidRPr="00A37653">
        <w:rPr>
          <w:rFonts w:hint="cs"/>
          <w:rtl/>
          <w:lang w:val="fr-CH" w:bidi="ar-LB"/>
        </w:rPr>
        <w:t>.</w:t>
      </w:r>
      <w:r w:rsidR="00A37653" w:rsidRPr="00A37653">
        <w:rPr>
          <w:rFonts w:hint="cs"/>
          <w:rtl/>
          <w:lang w:val="fr-CH" w:bidi="ar-LB"/>
        </w:rPr>
        <w:t xml:space="preserve"> وتبلغ </w:t>
      </w:r>
      <w:r w:rsidRPr="00A37653">
        <w:rPr>
          <w:rtl/>
          <w:lang w:val="fr-CH" w:bidi="ar-LB"/>
        </w:rPr>
        <w:t>المخصصات التي اعتُمدت ولم تُنفق بعد</w:t>
      </w:r>
      <w:r w:rsidR="00A37653">
        <w:rPr>
          <w:rFonts w:hint="cs"/>
          <w:rtl/>
          <w:lang w:val="fr-CH" w:bidi="ar-LB"/>
        </w:rPr>
        <w:t>ُ</w:t>
      </w:r>
      <w:r w:rsidRPr="00A37653">
        <w:rPr>
          <w:rtl/>
          <w:lang w:val="fr-CH" w:bidi="ar-LB"/>
        </w:rPr>
        <w:t xml:space="preserve"> </w:t>
      </w:r>
      <w:r w:rsidR="00A37653" w:rsidRPr="00A37653">
        <w:rPr>
          <w:rFonts w:hint="cs"/>
          <w:rtl/>
          <w:lang w:val="fr-CH" w:bidi="ar-LB"/>
        </w:rPr>
        <w:t>36</w:t>
      </w:r>
      <w:r w:rsidRPr="00A37653">
        <w:rPr>
          <w:rtl/>
          <w:lang w:val="fr-CH" w:bidi="ar-LB"/>
        </w:rPr>
        <w:t>,</w:t>
      </w:r>
      <w:r w:rsidR="00A37653" w:rsidRPr="00A37653">
        <w:rPr>
          <w:rFonts w:hint="cs"/>
          <w:rtl/>
          <w:lang w:val="fr-CH" w:bidi="ar-LB"/>
        </w:rPr>
        <w:t>9</w:t>
      </w:r>
      <w:r w:rsidR="00A37653">
        <w:rPr>
          <w:rtl/>
          <w:lang w:val="fr-CH" w:bidi="ar-LB"/>
        </w:rPr>
        <w:t xml:space="preserve"> مليون فرنك سويسري</w:t>
      </w:r>
      <w:r w:rsidR="00A37653">
        <w:rPr>
          <w:rFonts w:hint="cs"/>
          <w:rtl/>
          <w:lang w:val="fr-CH" w:bidi="ar-LB"/>
        </w:rPr>
        <w:t xml:space="preserve"> في نهاية عام 2012. ووصل رصيد الاحتياطي بعد عمليات التخصيص الموافق عليها إلى 141,4 مليون فرنك سويسري. وبمراعاة المشروعات الجديدة المقترحة في إطار </w:t>
      </w:r>
      <w:r w:rsidR="00A37653" w:rsidRPr="00A37653">
        <w:rPr>
          <w:rtl/>
          <w:lang w:val="fr-CH" w:bidi="ar-LB"/>
        </w:rPr>
        <w:t>الخطة الرأسمالية الرئيسية</w:t>
      </w:r>
      <w:r w:rsidR="00A37653">
        <w:rPr>
          <w:rFonts w:hint="cs"/>
          <w:rtl/>
          <w:lang w:val="fr-CH" w:bidi="ar-LB"/>
        </w:rPr>
        <w:t>، سيظل رصيد الاحتياطي في مستوى يتجاوز الرصيد المنشود بمبلغ قدره 9,6 ملايين فرنك سويسري</w:t>
      </w:r>
      <w:r w:rsidR="0077757F">
        <w:rPr>
          <w:rFonts w:hint="cs"/>
          <w:rtl/>
          <w:lang w:val="fr-CH" w:bidi="ar-LB"/>
        </w:rPr>
        <w:t xml:space="preserve"> مليون.</w:t>
      </w:r>
    </w:p>
    <w:p w:rsidR="0077757F" w:rsidRDefault="0077757F" w:rsidP="004D3980">
      <w:pPr>
        <w:pStyle w:val="NumberedParaAR"/>
        <w:keepNext/>
        <w:numPr>
          <w:ilvl w:val="0"/>
          <w:numId w:val="0"/>
        </w:numPr>
        <w:spacing w:after="0"/>
        <w:jc w:val="center"/>
        <w:rPr>
          <w:rtl/>
          <w:lang w:val="fr-CH" w:bidi="ar-LB"/>
        </w:rPr>
      </w:pPr>
      <w:r>
        <w:rPr>
          <w:rFonts w:hint="cs"/>
          <w:rtl/>
          <w:lang w:val="fr-CH" w:bidi="ar-LB"/>
        </w:rPr>
        <w:t>الجدول 4: عرض للاحتياطي بحسب كل اتحاد</w:t>
      </w:r>
    </w:p>
    <w:p w:rsidR="0077757F" w:rsidRPr="009C5C15" w:rsidRDefault="0077757F" w:rsidP="0077757F">
      <w:pPr>
        <w:pStyle w:val="NormalParaAR"/>
        <w:keepNext/>
        <w:jc w:val="center"/>
        <w:rPr>
          <w:lang w:bidi="ar-LB"/>
        </w:rPr>
      </w:pPr>
      <w:r w:rsidRPr="009C5C15">
        <w:rPr>
          <w:rtl/>
          <w:lang w:bidi="ar-LB"/>
        </w:rPr>
        <w:t>(</w:t>
      </w:r>
      <w:r w:rsidRPr="00EB2348">
        <w:rPr>
          <w:i/>
          <w:iCs/>
          <w:rtl/>
          <w:lang w:bidi="ar-LB"/>
        </w:rPr>
        <w:t>بآلاف الفرنكات السويسرية</w:t>
      </w:r>
      <w:r w:rsidRPr="009C5C15">
        <w:rPr>
          <w:rtl/>
          <w:lang w:bidi="ar-LB"/>
        </w:rPr>
        <w:t>)</w:t>
      </w:r>
    </w:p>
    <w:p w:rsidR="0077757F" w:rsidRDefault="00C50B0E" w:rsidP="0077757F">
      <w:pPr>
        <w:pStyle w:val="NumberedParaAR"/>
        <w:numPr>
          <w:ilvl w:val="0"/>
          <w:numId w:val="0"/>
        </w:numPr>
        <w:spacing w:line="240" w:lineRule="auto"/>
        <w:jc w:val="center"/>
        <w:rPr>
          <w:rtl/>
          <w:lang w:val="fr-CH" w:bidi="ar-LB"/>
        </w:rPr>
      </w:pPr>
      <w:r w:rsidRPr="00C50B0E">
        <w:rPr>
          <w:rFonts w:hint="cs"/>
          <w:noProof/>
          <w:rtl/>
        </w:rPr>
        <w:drawing>
          <wp:inline distT="0" distB="0" distL="0" distR="0" wp14:anchorId="3C5FD523" wp14:editId="43807A61">
            <wp:extent cx="5940425" cy="1955816"/>
            <wp:effectExtent l="0" t="0" r="317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1955816"/>
                    </a:xfrm>
                    <a:prstGeom prst="rect">
                      <a:avLst/>
                    </a:prstGeom>
                    <a:noFill/>
                    <a:ln>
                      <a:noFill/>
                    </a:ln>
                  </pic:spPr>
                </pic:pic>
              </a:graphicData>
            </a:graphic>
          </wp:inline>
        </w:drawing>
      </w:r>
    </w:p>
    <w:p w:rsidR="0077757F" w:rsidRPr="0077757F" w:rsidRDefault="0077757F" w:rsidP="0077757F">
      <w:pPr>
        <w:pStyle w:val="DecisionParaAR"/>
        <w:rPr>
          <w:lang w:val="fr-CH" w:bidi="ar-LB"/>
        </w:rPr>
      </w:pPr>
      <w:r w:rsidRPr="00767E8F">
        <w:rPr>
          <w:rtl/>
          <w:lang w:bidi="ar-LB"/>
        </w:rPr>
        <w:t xml:space="preserve">إن لجنة البرنامج والميزانية مدعوة إلى أن </w:t>
      </w:r>
      <w:r w:rsidRPr="00767E8F">
        <w:rPr>
          <w:rtl/>
        </w:rPr>
        <w:t>توصي</w:t>
      </w:r>
      <w:r w:rsidRPr="00767E8F">
        <w:rPr>
          <w:rtl/>
          <w:lang w:bidi="ar-LB"/>
        </w:rPr>
        <w:t xml:space="preserve"> جمعيات الدول</w:t>
      </w:r>
      <w:r>
        <w:rPr>
          <w:rtl/>
          <w:lang w:bidi="ar-LB"/>
        </w:rPr>
        <w:t xml:space="preserve"> الأعضاء في الويبو</w:t>
      </w:r>
      <w:r>
        <w:rPr>
          <w:rFonts w:hint="cs"/>
          <w:rtl/>
          <w:lang w:bidi="ar-LB"/>
        </w:rPr>
        <w:t xml:space="preserve"> بالإحاطة علما بمضمون هذه الوثيقة.</w:t>
      </w:r>
    </w:p>
    <w:p w:rsidR="0077757F" w:rsidRPr="00EB2348" w:rsidRDefault="0077757F" w:rsidP="0077757F">
      <w:pPr>
        <w:pStyle w:val="EndofDocumentAR"/>
        <w:rPr>
          <w:lang w:val="fr-CH" w:bidi="ar-LB"/>
        </w:rPr>
      </w:pPr>
      <w:r>
        <w:rPr>
          <w:rFonts w:hint="cs"/>
          <w:rtl/>
          <w:lang w:bidi="ar-LB"/>
        </w:rPr>
        <w:t>[نهاية الوثيقة]</w:t>
      </w:r>
    </w:p>
    <w:sectPr w:rsidR="0077757F" w:rsidRPr="00EB2348" w:rsidSect="00EB7752">
      <w:headerReference w:type="default" r:id="rId14"/>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80" w:rsidRDefault="004D3980">
      <w:r>
        <w:separator/>
      </w:r>
    </w:p>
  </w:endnote>
  <w:endnote w:type="continuationSeparator" w:id="0">
    <w:p w:rsidR="004D3980" w:rsidRDefault="004D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80" w:rsidRDefault="004D3980" w:rsidP="009622BF">
      <w:pPr>
        <w:bidi/>
      </w:pPr>
      <w:bookmarkStart w:id="0" w:name="OLE_LINK1"/>
      <w:bookmarkStart w:id="1" w:name="OLE_LINK2"/>
      <w:r>
        <w:separator/>
      </w:r>
      <w:bookmarkEnd w:id="0"/>
      <w:bookmarkEnd w:id="1"/>
    </w:p>
  </w:footnote>
  <w:footnote w:type="continuationSeparator" w:id="0">
    <w:p w:rsidR="004D3980" w:rsidRDefault="004D3980" w:rsidP="009622BF">
      <w:pPr>
        <w:bidi/>
      </w:pPr>
      <w:r>
        <w:separator/>
      </w:r>
    </w:p>
  </w:footnote>
  <w:footnote w:id="1">
    <w:p w:rsidR="004D3980" w:rsidRDefault="004D3980" w:rsidP="002A54B6">
      <w:pPr>
        <w:pStyle w:val="FootnoteText"/>
      </w:pPr>
      <w:r>
        <w:rPr>
          <w:rStyle w:val="FootnoteReference"/>
        </w:rPr>
        <w:footnoteRef/>
      </w:r>
      <w:r>
        <w:rPr>
          <w:rtl/>
        </w:rPr>
        <w:t xml:space="preserve"> </w:t>
      </w:r>
      <w:r>
        <w:rPr>
          <w:rFonts w:hint="cs"/>
          <w:rtl/>
        </w:rPr>
        <w:t>انظر ال</w:t>
      </w:r>
      <w:r w:rsidRPr="006E2FCE">
        <w:rPr>
          <w:rtl/>
        </w:rPr>
        <w:t xml:space="preserve">خطة </w:t>
      </w:r>
      <w:r>
        <w:rPr>
          <w:rFonts w:hint="cs"/>
          <w:rtl/>
        </w:rPr>
        <w:t>ال</w:t>
      </w:r>
      <w:r w:rsidRPr="006E2FCE">
        <w:rPr>
          <w:rtl/>
        </w:rPr>
        <w:t>رأس</w:t>
      </w:r>
      <w:r>
        <w:rPr>
          <w:rFonts w:hint="cs"/>
          <w:rtl/>
        </w:rPr>
        <w:t>مالية</w:t>
      </w:r>
      <w:r w:rsidRPr="006E2FCE">
        <w:rPr>
          <w:rtl/>
        </w:rPr>
        <w:t xml:space="preserve"> الرئيسية</w:t>
      </w:r>
      <w:r>
        <w:rPr>
          <w:rFonts w:hint="cs"/>
          <w:rtl/>
        </w:rPr>
        <w:t xml:space="preserve"> في الوثيقة </w:t>
      </w:r>
      <w:r w:rsidRPr="006E2FCE">
        <w:t>WO/PBC/21/18</w:t>
      </w:r>
      <w:r>
        <w:rPr>
          <w:rFonts w:hint="cs"/>
          <w:rtl/>
        </w:rPr>
        <w:t>.</w:t>
      </w:r>
    </w:p>
  </w:footnote>
  <w:footnote w:id="2">
    <w:p w:rsidR="004D3980" w:rsidRDefault="004D3980">
      <w:pPr>
        <w:pStyle w:val="FootnoteText"/>
      </w:pPr>
      <w:r>
        <w:rPr>
          <w:rStyle w:val="FootnoteReference"/>
        </w:rPr>
        <w:footnoteRef/>
      </w:r>
      <w:r>
        <w:rPr>
          <w:rtl/>
        </w:rPr>
        <w:t xml:space="preserve"> </w:t>
      </w:r>
      <w:r>
        <w:rPr>
          <w:rFonts w:hint="cs"/>
          <w:rtl/>
        </w:rPr>
        <w:t>المرجع نفسه.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980" w:rsidRDefault="004D3980" w:rsidP="00274410">
    <w:r>
      <w:t>WO/PBC/21/7</w:t>
    </w:r>
  </w:p>
  <w:p w:rsidR="004D3980" w:rsidRDefault="004D3980" w:rsidP="00D61541">
    <w:r>
      <w:fldChar w:fldCharType="begin"/>
    </w:r>
    <w:r>
      <w:instrText xml:space="preserve"> PAGE  \* MERGEFORMAT </w:instrText>
    </w:r>
    <w:r>
      <w:fldChar w:fldCharType="separate"/>
    </w:r>
    <w:r w:rsidR="00CE0091">
      <w:rPr>
        <w:noProof/>
      </w:rPr>
      <w:t>5</w:t>
    </w:r>
    <w:r>
      <w:fldChar w:fldCharType="end"/>
    </w:r>
  </w:p>
  <w:p w:rsidR="004D3980" w:rsidRDefault="004D3980"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F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4C33"/>
    <w:rsid w:val="00085A0B"/>
    <w:rsid w:val="000863B7"/>
    <w:rsid w:val="00087DB6"/>
    <w:rsid w:val="00090139"/>
    <w:rsid w:val="0009024C"/>
    <w:rsid w:val="00090ADD"/>
    <w:rsid w:val="000913C0"/>
    <w:rsid w:val="00091F52"/>
    <w:rsid w:val="00092302"/>
    <w:rsid w:val="00092982"/>
    <w:rsid w:val="00092DD6"/>
    <w:rsid w:val="00094BE3"/>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A70"/>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7AE6"/>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3A"/>
    <w:rsid w:val="00232C51"/>
    <w:rsid w:val="00233414"/>
    <w:rsid w:val="00233D69"/>
    <w:rsid w:val="002343F3"/>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54B6"/>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37F9"/>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0551"/>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B88"/>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977D9"/>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3980"/>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6CB"/>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4108"/>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F01"/>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2FCE"/>
    <w:rsid w:val="006E4601"/>
    <w:rsid w:val="006E5465"/>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57F"/>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6E44"/>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DF4"/>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5C15"/>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653"/>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67C"/>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0B0E"/>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16ED"/>
    <w:rsid w:val="00CD297A"/>
    <w:rsid w:val="00CD3DB0"/>
    <w:rsid w:val="00CD4129"/>
    <w:rsid w:val="00CD5DBB"/>
    <w:rsid w:val="00CD675D"/>
    <w:rsid w:val="00CD67E7"/>
    <w:rsid w:val="00CD7388"/>
    <w:rsid w:val="00CE0091"/>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348"/>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77EC7"/>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C1E11-A2A1-43F7-BB7A-D929CE96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445</Words>
  <Characters>2388</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WO/PBC/21/7 (Arabic)</vt:lpstr>
    </vt:vector>
  </TitlesOfParts>
  <Company>World Intellectual Property Organization</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WO/PBC/21/7 (Arabic)</dc:title>
  <dc:creator>من إعداد الأمانة</dc:creator>
  <cp:lastModifiedBy>DOYON Geneviève</cp:lastModifiedBy>
  <cp:revision>2</cp:revision>
  <cp:lastPrinted>2013-08-07T07:53:00Z</cp:lastPrinted>
  <dcterms:created xsi:type="dcterms:W3CDTF">2013-08-07T10:00:00Z</dcterms:created>
  <dcterms:modified xsi:type="dcterms:W3CDTF">2013-08-07T10:00:00Z</dcterms:modified>
</cp:coreProperties>
</file>