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7916" w:rsidTr="008E27CF">
        <w:tc>
          <w:tcPr>
            <w:tcW w:w="4843" w:type="dxa"/>
            <w:tcBorders>
              <w:bottom w:val="single" w:sz="4" w:space="0" w:color="auto"/>
            </w:tcBorders>
          </w:tcPr>
          <w:p w:rsidR="00167916" w:rsidRDefault="00167916" w:rsidP="008E27CF">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7916" w:rsidRDefault="00695ED8" w:rsidP="008E27CF">
            <w:pPr>
              <w:bidi/>
              <w:spacing w:after="20"/>
              <w:rPr>
                <w:rFonts w:ascii="Arabic Typesetting" w:hAnsi="Arabic Typesetting" w:cs="Arabic Typesetting"/>
                <w:sz w:val="36"/>
                <w:szCs w:val="36"/>
                <w:rtl/>
              </w:rPr>
            </w:pPr>
            <w:r>
              <w:rPr>
                <w:noProof/>
              </w:rPr>
              <w:drawing>
                <wp:inline distT="0" distB="0" distL="0" distR="0">
                  <wp:extent cx="1319530" cy="1216025"/>
                  <wp:effectExtent l="0" t="0" r="0" b="3175"/>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A-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9530" cy="1216025"/>
                          </a:xfrm>
                          <a:prstGeom prst="rect">
                            <a:avLst/>
                          </a:prstGeom>
                          <a:noFill/>
                          <a:ln>
                            <a:noFill/>
                          </a:ln>
                        </pic:spPr>
                      </pic:pic>
                    </a:graphicData>
                  </a:graphic>
                </wp:inline>
              </w:drawing>
            </w:r>
          </w:p>
        </w:tc>
        <w:tc>
          <w:tcPr>
            <w:tcW w:w="505" w:type="dxa"/>
            <w:tcBorders>
              <w:bottom w:val="single" w:sz="4" w:space="0" w:color="auto"/>
            </w:tcBorders>
          </w:tcPr>
          <w:p w:rsidR="00167916" w:rsidRPr="001667B6" w:rsidRDefault="00167916" w:rsidP="008E27CF">
            <w:pPr>
              <w:rPr>
                <w:b/>
                <w:bCs/>
                <w:sz w:val="40"/>
                <w:szCs w:val="40"/>
              </w:rPr>
            </w:pPr>
            <w:r>
              <w:rPr>
                <w:b/>
                <w:bCs/>
                <w:sz w:val="40"/>
                <w:szCs w:val="40"/>
              </w:rPr>
              <w:t>A</w:t>
            </w:r>
          </w:p>
        </w:tc>
      </w:tr>
      <w:tr w:rsidR="00167916" w:rsidTr="008E27CF">
        <w:trPr>
          <w:trHeight w:val="333"/>
        </w:trPr>
        <w:tc>
          <w:tcPr>
            <w:tcW w:w="9571" w:type="dxa"/>
            <w:gridSpan w:val="3"/>
            <w:tcBorders>
              <w:top w:val="single" w:sz="4" w:space="0" w:color="auto"/>
            </w:tcBorders>
            <w:vAlign w:val="bottom"/>
          </w:tcPr>
          <w:p w:rsidR="00167916" w:rsidRPr="00B6101C" w:rsidRDefault="00167916" w:rsidP="000B2049">
            <w:pPr>
              <w:pStyle w:val="DocumentCodeAR"/>
              <w:bidi/>
              <w:rPr>
                <w:rtl/>
              </w:rPr>
            </w:pPr>
            <w:r>
              <w:t>WO/PBC/21</w:t>
            </w:r>
            <w:r w:rsidRPr="00B6101C">
              <w:t>/</w:t>
            </w:r>
            <w:r>
              <w:t>17</w:t>
            </w:r>
          </w:p>
        </w:tc>
      </w:tr>
      <w:tr w:rsidR="00167916" w:rsidTr="008E27CF">
        <w:tc>
          <w:tcPr>
            <w:tcW w:w="9571" w:type="dxa"/>
            <w:gridSpan w:val="3"/>
          </w:tcPr>
          <w:p w:rsidR="00167916" w:rsidRPr="00B6101C" w:rsidRDefault="00167916" w:rsidP="000B2049">
            <w:pPr>
              <w:pStyle w:val="DocumentLanguageAR"/>
              <w:bidi/>
              <w:rPr>
                <w:rtl/>
              </w:rPr>
            </w:pPr>
            <w:r w:rsidRPr="00B6101C">
              <w:rPr>
                <w:rtl/>
              </w:rPr>
              <w:t xml:space="preserve">الأصل: </w:t>
            </w:r>
            <w:r>
              <w:rPr>
                <w:rtl/>
              </w:rPr>
              <w:t>بالإنكليزية</w:t>
            </w:r>
          </w:p>
        </w:tc>
      </w:tr>
      <w:tr w:rsidR="00167916" w:rsidTr="008E27CF">
        <w:tc>
          <w:tcPr>
            <w:tcW w:w="9571" w:type="dxa"/>
            <w:gridSpan w:val="3"/>
          </w:tcPr>
          <w:p w:rsidR="00167916" w:rsidRPr="00B6101C" w:rsidRDefault="00167916" w:rsidP="000B2049">
            <w:pPr>
              <w:pStyle w:val="DocumentDateAR"/>
              <w:bidi/>
              <w:rPr>
                <w:rtl/>
              </w:rPr>
            </w:pPr>
            <w:r w:rsidRPr="00B6101C">
              <w:rPr>
                <w:rtl/>
              </w:rPr>
              <w:t xml:space="preserve">التاريخ: </w:t>
            </w:r>
            <w:r>
              <w:t>5</w:t>
            </w:r>
            <w:r w:rsidRPr="00B6101C">
              <w:rPr>
                <w:rtl/>
              </w:rPr>
              <w:t xml:space="preserve"> </w:t>
            </w:r>
            <w:r>
              <w:rPr>
                <w:rtl/>
              </w:rPr>
              <w:t>يوليو</w:t>
            </w:r>
            <w:r w:rsidRPr="00B6101C">
              <w:rPr>
                <w:rtl/>
              </w:rPr>
              <w:t xml:space="preserve"> </w:t>
            </w:r>
            <w:r>
              <w:rPr>
                <w:rtl/>
              </w:rPr>
              <w:t>2013</w:t>
            </w:r>
          </w:p>
        </w:tc>
      </w:tr>
    </w:tbl>
    <w:p w:rsidR="00167916" w:rsidRDefault="00167916" w:rsidP="000B2049">
      <w:pPr>
        <w:bidi/>
        <w:spacing w:line="360" w:lineRule="exact"/>
        <w:rPr>
          <w:rFonts w:ascii="Arabic Typesetting" w:hAnsi="Arabic Typesetting" w:cs="Arabic Typesetting"/>
          <w:sz w:val="36"/>
          <w:szCs w:val="36"/>
          <w:rtl/>
        </w:rPr>
      </w:pPr>
    </w:p>
    <w:p w:rsidR="00167916" w:rsidRDefault="00167916" w:rsidP="000B2049">
      <w:pPr>
        <w:bidi/>
        <w:spacing w:line="360" w:lineRule="exact"/>
        <w:rPr>
          <w:rFonts w:ascii="Arabic Typesetting" w:hAnsi="Arabic Typesetting" w:cs="Arabic Typesetting"/>
          <w:sz w:val="36"/>
          <w:szCs w:val="36"/>
          <w:rtl/>
        </w:rPr>
      </w:pPr>
    </w:p>
    <w:p w:rsidR="00167916" w:rsidRDefault="00167916" w:rsidP="000B2049">
      <w:pPr>
        <w:bidi/>
        <w:spacing w:line="360" w:lineRule="exact"/>
        <w:rPr>
          <w:rFonts w:ascii="Arabic Typesetting" w:hAnsi="Arabic Typesetting" w:cs="Arabic Typesetting"/>
          <w:sz w:val="36"/>
          <w:szCs w:val="36"/>
          <w:rtl/>
        </w:rPr>
      </w:pPr>
    </w:p>
    <w:p w:rsidR="00167916" w:rsidRPr="00772E46" w:rsidRDefault="00167916" w:rsidP="000B2049">
      <w:pPr>
        <w:pStyle w:val="MeetingTitleAR"/>
        <w:bidi/>
        <w:ind w:right="550"/>
        <w:rPr>
          <w:rtl/>
          <w:lang w:val="fr-CH"/>
        </w:rPr>
      </w:pPr>
      <w:r w:rsidRPr="00100F97">
        <w:rPr>
          <w:rFonts w:hint="eastAsia"/>
          <w:rtl/>
        </w:rPr>
        <w:t>لجنة</w:t>
      </w:r>
      <w:r w:rsidRPr="00100F97">
        <w:rPr>
          <w:rtl/>
        </w:rPr>
        <w:t xml:space="preserve"> </w:t>
      </w:r>
      <w:r>
        <w:rPr>
          <w:rFonts w:hint="eastAsia"/>
          <w:rtl/>
          <w:lang w:val="fr-CH"/>
        </w:rPr>
        <w:t>البرنامج</w:t>
      </w:r>
      <w:r>
        <w:rPr>
          <w:rtl/>
          <w:lang w:val="fr-CH"/>
        </w:rPr>
        <w:t xml:space="preserve"> </w:t>
      </w:r>
      <w:r>
        <w:rPr>
          <w:rFonts w:hint="eastAsia"/>
          <w:rtl/>
          <w:lang w:val="fr-CH"/>
        </w:rPr>
        <w:t>والميزانية</w:t>
      </w:r>
    </w:p>
    <w:p w:rsidR="00167916" w:rsidRDefault="00167916" w:rsidP="000B2049">
      <w:pPr>
        <w:bidi/>
        <w:spacing w:line="360" w:lineRule="exact"/>
        <w:rPr>
          <w:rFonts w:ascii="Arabic Typesetting" w:hAnsi="Arabic Typesetting" w:cs="Arabic Typesetting"/>
          <w:sz w:val="36"/>
          <w:szCs w:val="36"/>
          <w:rtl/>
        </w:rPr>
      </w:pPr>
    </w:p>
    <w:p w:rsidR="00167916" w:rsidRPr="00783D11" w:rsidRDefault="00167916" w:rsidP="000B2049">
      <w:pPr>
        <w:pStyle w:val="MeetingSessionAR"/>
        <w:bidi/>
        <w:rPr>
          <w:rFonts w:ascii="Cambria Math" w:hAnsi="Cambria Math"/>
          <w:rtl/>
        </w:rPr>
      </w:pPr>
      <w:r w:rsidRPr="00783D11">
        <w:rPr>
          <w:rFonts w:ascii="Cambria Math" w:hAnsi="Cambria Math" w:hint="eastAsia"/>
          <w:rtl/>
        </w:rPr>
        <w:t>الدورة</w:t>
      </w:r>
      <w:r w:rsidRPr="00783D11">
        <w:rPr>
          <w:rFonts w:ascii="Cambria Math" w:hAnsi="Cambria Math"/>
          <w:rtl/>
        </w:rPr>
        <w:t xml:space="preserve"> </w:t>
      </w:r>
      <w:r>
        <w:rPr>
          <w:rFonts w:ascii="Cambria Math" w:hAnsi="Cambria Math" w:hint="eastAsia"/>
          <w:rtl/>
        </w:rPr>
        <w:t>الحادية</w:t>
      </w:r>
      <w:r>
        <w:rPr>
          <w:rFonts w:ascii="Cambria Math" w:hAnsi="Cambria Math"/>
          <w:rtl/>
        </w:rPr>
        <w:t xml:space="preserve"> </w:t>
      </w:r>
      <w:r>
        <w:rPr>
          <w:rFonts w:ascii="Cambria Math" w:hAnsi="Cambria Math" w:hint="eastAsia"/>
          <w:rtl/>
        </w:rPr>
        <w:t>والعشرون</w:t>
      </w:r>
    </w:p>
    <w:p w:rsidR="00167916" w:rsidRPr="00D61541" w:rsidRDefault="00167916" w:rsidP="000B2049">
      <w:pPr>
        <w:pStyle w:val="MeetingDatesAR"/>
        <w:bidi/>
        <w:rPr>
          <w:rtl/>
        </w:rPr>
      </w:pPr>
      <w:r w:rsidRPr="00D61541">
        <w:rPr>
          <w:rtl/>
        </w:rPr>
        <w:t xml:space="preserve">جنيف، من </w:t>
      </w:r>
      <w:r>
        <w:rPr>
          <w:rtl/>
        </w:rPr>
        <w:t>9 إلى 13 سبتمبر 2013</w:t>
      </w:r>
    </w:p>
    <w:p w:rsidR="00167916" w:rsidRDefault="00167916" w:rsidP="000B2049">
      <w:pPr>
        <w:bidi/>
        <w:spacing w:line="360" w:lineRule="exact"/>
        <w:rPr>
          <w:rFonts w:ascii="Arabic Typesetting" w:hAnsi="Arabic Typesetting" w:cs="Arabic Typesetting"/>
          <w:sz w:val="36"/>
          <w:szCs w:val="36"/>
          <w:rtl/>
        </w:rPr>
      </w:pPr>
    </w:p>
    <w:p w:rsidR="00167916" w:rsidRDefault="00167916" w:rsidP="000B2049">
      <w:pPr>
        <w:bidi/>
        <w:spacing w:line="360" w:lineRule="exact"/>
        <w:rPr>
          <w:rFonts w:ascii="Arabic Typesetting" w:hAnsi="Arabic Typesetting" w:cs="Arabic Typesetting"/>
          <w:sz w:val="36"/>
          <w:szCs w:val="36"/>
          <w:rtl/>
        </w:rPr>
      </w:pPr>
    </w:p>
    <w:p w:rsidR="00167916" w:rsidRPr="002C4946" w:rsidRDefault="00167916" w:rsidP="002C4946">
      <w:pPr>
        <w:pStyle w:val="DocumentTitleAR"/>
        <w:bidi/>
        <w:rPr>
          <w:rtl/>
        </w:rPr>
      </w:pPr>
      <w:r w:rsidRPr="002C4946">
        <w:rPr>
          <w:rFonts w:hint="eastAsia"/>
          <w:rtl/>
        </w:rPr>
        <w:t>التقرير</w:t>
      </w:r>
      <w:r w:rsidRPr="002C4946">
        <w:rPr>
          <w:rtl/>
        </w:rPr>
        <w:t xml:space="preserve"> </w:t>
      </w:r>
      <w:r w:rsidRPr="002C4946">
        <w:rPr>
          <w:rFonts w:hint="eastAsia"/>
          <w:rtl/>
        </w:rPr>
        <w:t>السنوي</w:t>
      </w:r>
      <w:r w:rsidRPr="002C4946">
        <w:rPr>
          <w:rtl/>
        </w:rPr>
        <w:t xml:space="preserve"> </w:t>
      </w:r>
      <w:r w:rsidRPr="002C4946">
        <w:rPr>
          <w:rFonts w:hint="eastAsia"/>
          <w:rtl/>
        </w:rPr>
        <w:t>الموجز</w:t>
      </w:r>
      <w:r w:rsidRPr="002C4946">
        <w:rPr>
          <w:rtl/>
        </w:rPr>
        <w:t xml:space="preserve"> </w:t>
      </w:r>
      <w:r w:rsidRPr="002C4946">
        <w:rPr>
          <w:rFonts w:hint="eastAsia"/>
          <w:rtl/>
        </w:rPr>
        <w:t>لمدير</w:t>
      </w:r>
      <w:r w:rsidRPr="002C4946">
        <w:rPr>
          <w:rtl/>
        </w:rPr>
        <w:t xml:space="preserve"> </w:t>
      </w:r>
      <w:r w:rsidRPr="002C4946">
        <w:rPr>
          <w:rFonts w:hint="eastAsia"/>
          <w:rtl/>
        </w:rPr>
        <w:t>شعبة</w:t>
      </w:r>
      <w:r w:rsidRPr="002C4946">
        <w:rPr>
          <w:rtl/>
        </w:rPr>
        <w:t xml:space="preserve"> </w:t>
      </w:r>
      <w:r w:rsidRPr="002C4946">
        <w:rPr>
          <w:rFonts w:hint="eastAsia"/>
          <w:rtl/>
        </w:rPr>
        <w:t>التدقيق</w:t>
      </w:r>
      <w:r w:rsidRPr="002C4946">
        <w:rPr>
          <w:rtl/>
        </w:rPr>
        <w:t xml:space="preserve"> </w:t>
      </w:r>
      <w:r w:rsidRPr="002C4946">
        <w:rPr>
          <w:rFonts w:hint="eastAsia"/>
          <w:rtl/>
        </w:rPr>
        <w:t>الداخلي</w:t>
      </w:r>
      <w:r w:rsidRPr="002C4946">
        <w:rPr>
          <w:rtl/>
        </w:rPr>
        <w:t xml:space="preserve"> </w:t>
      </w:r>
      <w:r w:rsidRPr="002C4946">
        <w:rPr>
          <w:rFonts w:hint="eastAsia"/>
          <w:rtl/>
        </w:rPr>
        <w:t>والرقابة</w:t>
      </w:r>
      <w:r w:rsidRPr="002C4946">
        <w:rPr>
          <w:rtl/>
        </w:rPr>
        <w:t xml:space="preserve"> </w:t>
      </w:r>
      <w:r w:rsidRPr="002C4946">
        <w:rPr>
          <w:rFonts w:hint="eastAsia"/>
          <w:rtl/>
        </w:rPr>
        <w:t>الإدارية</w:t>
      </w:r>
    </w:p>
    <w:p w:rsidR="00167916" w:rsidRPr="002C4946" w:rsidRDefault="00167916" w:rsidP="002C4946">
      <w:pPr>
        <w:pStyle w:val="PreparedbyAR"/>
        <w:bidi/>
      </w:pPr>
      <w:r w:rsidRPr="00D61541">
        <w:rPr>
          <w:rtl/>
        </w:rPr>
        <w:t xml:space="preserve">من </w:t>
      </w:r>
      <w:r w:rsidRPr="00931859">
        <w:rPr>
          <w:rtl/>
        </w:rPr>
        <w:t>إعداد</w:t>
      </w:r>
      <w:r>
        <w:rPr>
          <w:rtl/>
        </w:rPr>
        <w:t xml:space="preserve"> الأمانة</w:t>
      </w:r>
    </w:p>
    <w:p w:rsidR="00167916" w:rsidRPr="008B7A66" w:rsidRDefault="00167916" w:rsidP="0018104B">
      <w:pPr>
        <w:pStyle w:val="NumberedParaAR"/>
        <w:numPr>
          <w:ilvl w:val="0"/>
          <w:numId w:val="48"/>
        </w:numPr>
        <w:spacing w:after="220"/>
        <w:rPr>
          <w:i/>
        </w:rPr>
      </w:pPr>
      <w:r w:rsidRPr="002C4946">
        <w:rPr>
          <w:rtl/>
          <w:lang w:bidi="ar-EG"/>
        </w:rPr>
        <w:t>وفقًا للفقرة 25 من ميثاق الرقابة الداخلية، يقدم مدير شعبة التدقيق الداخلي والرقابة الإدارية تقريرًا مرحليًا كتابيًا إلى لجنة البرنامج والميزانية.</w:t>
      </w:r>
      <w:r>
        <w:rPr>
          <w:rtl/>
        </w:rPr>
        <w:t xml:space="preserve"> </w:t>
      </w:r>
      <w:r w:rsidRPr="002C4946">
        <w:rPr>
          <w:rtl/>
          <w:lang w:bidi="ar-EG"/>
        </w:rPr>
        <w:t>ويرد تقرير مدير الشعبة بالمرفق.</w:t>
      </w:r>
      <w:r>
        <w:rPr>
          <w:rtl/>
        </w:rPr>
        <w:t xml:space="preserve"> </w:t>
      </w:r>
      <w:r w:rsidRPr="002C4946">
        <w:rPr>
          <w:rtl/>
          <w:lang w:bidi="ar-EG"/>
        </w:rPr>
        <w:t>ويحوي التقرير معلومات حول الأنشطة الرئيسية للشعبة في الفترة من 1 يوليو 2012 إلى 30 يونيو 2013.</w:t>
      </w:r>
    </w:p>
    <w:p w:rsidR="00167916" w:rsidRPr="002C4946" w:rsidRDefault="00167916" w:rsidP="008B7A66">
      <w:pPr>
        <w:pStyle w:val="DecisionParaAR"/>
      </w:pPr>
      <w:r w:rsidRPr="002C4946">
        <w:rPr>
          <w:rtl/>
          <w:lang w:bidi="ar-EG"/>
        </w:rPr>
        <w:t>إن لجنة البرنامج والميزانية مدعوة إلى توصية الجمعية العامة بالإحاطة علمًا بمحتويات هذه</w:t>
      </w:r>
      <w:r w:rsidR="008B7A66">
        <w:rPr>
          <w:lang w:bidi="ar-EG"/>
        </w:rPr>
        <w:t> </w:t>
      </w:r>
      <w:r w:rsidRPr="002C4946">
        <w:rPr>
          <w:rtl/>
          <w:lang w:bidi="ar-EG"/>
        </w:rPr>
        <w:t>الوثيقة.</w:t>
      </w:r>
    </w:p>
    <w:p w:rsidR="00167916" w:rsidRPr="008B7A66" w:rsidRDefault="00167916" w:rsidP="0018104B">
      <w:pPr>
        <w:bidi/>
        <w:spacing w:after="220"/>
        <w:rPr>
          <w:rFonts w:ascii="Arabic Typesetting" w:hAnsi="Arabic Typesetting" w:cs="Arabic Typesetting"/>
          <w:i/>
          <w:sz w:val="36"/>
          <w:szCs w:val="36"/>
          <w:lang w:bidi="ar-EG"/>
        </w:rPr>
      </w:pPr>
    </w:p>
    <w:p w:rsidR="00167916" w:rsidRPr="002C4946" w:rsidRDefault="00167916" w:rsidP="0018104B">
      <w:pPr>
        <w:bidi/>
        <w:ind w:left="5534"/>
        <w:rPr>
          <w:rFonts w:ascii="Arabic Typesetting" w:hAnsi="Arabic Typesetting" w:cs="Arabic Typesetting"/>
          <w:sz w:val="36"/>
          <w:szCs w:val="36"/>
        </w:rPr>
      </w:pPr>
      <w:r w:rsidRPr="002C4946">
        <w:rPr>
          <w:rFonts w:ascii="Arabic Typesetting" w:hAnsi="Arabic Typesetting" w:cs="Arabic Typesetting"/>
          <w:sz w:val="36"/>
          <w:szCs w:val="36"/>
          <w:rtl/>
          <w:lang w:bidi="ar-EG"/>
        </w:rPr>
        <w:t>[يلي ذلك التقرير السنوي الموجز لمدير شعبة التدقيق الداخلي والرقابة الإدارية]</w:t>
      </w:r>
    </w:p>
    <w:p w:rsidR="00167916" w:rsidRPr="002C4946" w:rsidRDefault="00167916" w:rsidP="0018104B">
      <w:pPr>
        <w:bidi/>
        <w:spacing w:after="220"/>
        <w:ind w:left="5533"/>
        <w:rPr>
          <w:rFonts w:ascii="Arabic Typesetting" w:hAnsi="Arabic Typesetting" w:cs="Arabic Typesetting"/>
          <w:sz w:val="36"/>
          <w:szCs w:val="36"/>
        </w:rPr>
      </w:pPr>
    </w:p>
    <w:p w:rsidR="00167916" w:rsidRPr="002C4946" w:rsidRDefault="00167916" w:rsidP="0018104B">
      <w:pPr>
        <w:bidi/>
        <w:jc w:val="both"/>
        <w:rPr>
          <w:rFonts w:ascii="Arabic Typesetting" w:hAnsi="Arabic Typesetting" w:cs="Arabic Typesetting"/>
          <w:sz w:val="36"/>
          <w:szCs w:val="36"/>
        </w:rPr>
      </w:pPr>
    </w:p>
    <w:p w:rsidR="00167916" w:rsidRPr="00727D92" w:rsidRDefault="00167916" w:rsidP="00727D92">
      <w:pPr>
        <w:pStyle w:val="StyleBoldCentered"/>
        <w:keepLines/>
        <w:bidi/>
        <w:rPr>
          <w:rFonts w:ascii="Arabic Typesetting" w:hAnsi="Arabic Typesetting" w:cs="Arabic Typesetting"/>
          <w:sz w:val="36"/>
          <w:szCs w:val="36"/>
        </w:rPr>
      </w:pPr>
      <w:r w:rsidRPr="002C4946">
        <w:rPr>
          <w:rFonts w:ascii="Arabic Typesetting" w:hAnsi="Arabic Typesetting" w:cs="Arabic Typesetting"/>
          <w:bCs w:val="0"/>
          <w:sz w:val="36"/>
          <w:szCs w:val="36"/>
        </w:rPr>
        <w:br w:type="page"/>
      </w:r>
      <w:r w:rsidRPr="00727D92">
        <w:rPr>
          <w:rFonts w:ascii="Arabic Typesetting" w:hAnsi="Arabic Typesetting" w:cs="Arabic Typesetting"/>
          <w:sz w:val="36"/>
          <w:szCs w:val="36"/>
          <w:rtl/>
          <w:lang w:bidi="ar-EG"/>
        </w:rPr>
        <w:lastRenderedPageBreak/>
        <w:t>المحتويات</w:t>
      </w:r>
    </w:p>
    <w:p w:rsidR="00167916" w:rsidRPr="00727D92" w:rsidRDefault="00167916" w:rsidP="0018209F">
      <w:pPr>
        <w:pStyle w:val="StyleBoldCentered"/>
        <w:keepLines/>
        <w:bidi/>
        <w:spacing w:line="360" w:lineRule="exact"/>
        <w:rPr>
          <w:rFonts w:ascii="Arabic Typesetting" w:hAnsi="Arabic Typesetting" w:cs="Arabic Typesetting"/>
          <w:bCs w:val="0"/>
          <w:sz w:val="36"/>
          <w:szCs w:val="36"/>
        </w:rPr>
      </w:pPr>
    </w:p>
    <w:p w:rsidR="00167916" w:rsidRPr="00BD4A81" w:rsidRDefault="00167916" w:rsidP="004D54E9">
      <w:pPr>
        <w:pStyle w:val="TOC1"/>
        <w:tabs>
          <w:tab w:val="left" w:pos="555"/>
          <w:tab w:val="right" w:leader="dot" w:pos="9345"/>
        </w:tabs>
        <w:bidi/>
        <w:spacing w:line="360" w:lineRule="exact"/>
        <w:rPr>
          <w:rStyle w:val="Hyperlink"/>
          <w:rFonts w:ascii="Arabic Typesetting" w:eastAsia="Times New Roman" w:hAnsi="Arabic Typesetting" w:cs="Arabic Typesetting"/>
          <w:noProof/>
          <w:color w:val="auto"/>
          <w:sz w:val="36"/>
          <w:szCs w:val="36"/>
        </w:rPr>
      </w:pPr>
      <w:r w:rsidRPr="00BD4A81">
        <w:rPr>
          <w:rFonts w:ascii="Arabic Typesetting" w:hAnsi="Arabic Typesetting" w:cs="Arabic Typesetting"/>
        </w:rPr>
        <w:fldChar w:fldCharType="begin"/>
      </w:r>
      <w:r w:rsidRPr="00BD4A81">
        <w:rPr>
          <w:rFonts w:ascii="Arabic Typesetting" w:hAnsi="Arabic Typesetting" w:cs="Arabic Typesetting"/>
        </w:rPr>
        <w:instrText xml:space="preserve"> TOC \o "1-2" \h \z \u </w:instrText>
      </w:r>
      <w:r w:rsidRPr="00BD4A81">
        <w:rPr>
          <w:rFonts w:ascii="Arabic Typesetting" w:hAnsi="Arabic Typesetting" w:cs="Arabic Typesetting"/>
        </w:rPr>
        <w:fldChar w:fldCharType="separate"/>
      </w:r>
      <w:hyperlink w:anchor="_Toc361774204" w:history="1">
        <w:r w:rsidRPr="00BD4A81">
          <w:rPr>
            <w:rStyle w:val="Hyperlink"/>
            <w:rFonts w:ascii="Arabic Typesetting" w:hAnsi="Arabic Typesetting" w:cs="Arabic Typesetting"/>
            <w:noProof/>
            <w:color w:val="auto"/>
            <w:sz w:val="36"/>
            <w:szCs w:val="36"/>
            <w:rtl/>
          </w:rPr>
          <w:t>قائمة المختصرات المستخدمة في النص الإنكليزي</w:t>
        </w:r>
        <w:r w:rsidRPr="00BD4A81">
          <w:rPr>
            <w:rStyle w:val="Hyperlink"/>
            <w:rFonts w:ascii="Arabic Typesetting" w:eastAsia="Times New Roman" w:hAnsi="Arabic Typesetting" w:cs="Arabic Typesetting"/>
            <w:noProof/>
            <w:webHidden/>
            <w:color w:val="auto"/>
            <w:sz w:val="36"/>
            <w:szCs w:val="36"/>
          </w:rPr>
          <w:tab/>
        </w:r>
        <w:r w:rsidRPr="00BD4A81">
          <w:rPr>
            <w:rStyle w:val="Hyperlink"/>
            <w:rFonts w:ascii="Arabic Typesetting" w:eastAsia="Times New Roman" w:hAnsi="Arabic Typesetting" w:cs="Arabic Typesetting"/>
            <w:noProof/>
            <w:webHidden/>
            <w:color w:val="auto"/>
            <w:sz w:val="36"/>
            <w:szCs w:val="36"/>
          </w:rPr>
          <w:fldChar w:fldCharType="begin"/>
        </w:r>
        <w:r w:rsidRPr="00BD4A81">
          <w:rPr>
            <w:rStyle w:val="Hyperlink"/>
            <w:rFonts w:ascii="Arabic Typesetting" w:eastAsia="Times New Roman" w:hAnsi="Arabic Typesetting" w:cs="Arabic Typesetting"/>
            <w:noProof/>
            <w:webHidden/>
            <w:color w:val="auto"/>
            <w:sz w:val="36"/>
            <w:szCs w:val="36"/>
          </w:rPr>
          <w:instrText xml:space="preserve"> PAGEREF _Toc361774204 \h </w:instrText>
        </w:r>
        <w:r w:rsidRPr="00BD4A81">
          <w:rPr>
            <w:rStyle w:val="Hyperlink"/>
            <w:rFonts w:ascii="Arabic Typesetting" w:eastAsia="Times New Roman" w:hAnsi="Arabic Typesetting" w:cs="Arabic Typesetting"/>
            <w:noProof/>
            <w:webHidden/>
            <w:color w:val="auto"/>
            <w:sz w:val="36"/>
            <w:szCs w:val="36"/>
          </w:rPr>
        </w:r>
        <w:r w:rsidRPr="00BD4A81">
          <w:rPr>
            <w:rStyle w:val="Hyperlink"/>
            <w:rFonts w:ascii="Arabic Typesetting" w:eastAsia="Times New Roman" w:hAnsi="Arabic Typesetting" w:cs="Arabic Typesetting"/>
            <w:noProof/>
            <w:webHidden/>
            <w:color w:val="auto"/>
            <w:sz w:val="36"/>
            <w:szCs w:val="36"/>
          </w:rPr>
          <w:fldChar w:fldCharType="separate"/>
        </w:r>
        <w:r w:rsidR="00BE0778">
          <w:rPr>
            <w:rStyle w:val="Hyperlink"/>
            <w:rFonts w:ascii="Arabic Typesetting" w:eastAsia="Times New Roman" w:hAnsi="Arabic Typesetting" w:cs="Arabic Typesetting"/>
            <w:noProof/>
            <w:webHidden/>
            <w:color w:val="auto"/>
            <w:sz w:val="36"/>
            <w:szCs w:val="36"/>
            <w:rtl/>
          </w:rPr>
          <w:t>3</w:t>
        </w:r>
        <w:r w:rsidRPr="00BD4A81">
          <w:rPr>
            <w:rStyle w:val="Hyperlink"/>
            <w:rFonts w:ascii="Arabic Typesetting" w:eastAsia="Times New Roman" w:hAnsi="Arabic Typesetting" w:cs="Arabic Typesetting"/>
            <w:noProof/>
            <w:webHidden/>
            <w:color w:val="auto"/>
            <w:sz w:val="36"/>
            <w:szCs w:val="36"/>
          </w:rPr>
          <w:fldChar w:fldCharType="end"/>
        </w:r>
      </w:hyperlink>
    </w:p>
    <w:p w:rsidR="00167916" w:rsidRPr="00BD4A81" w:rsidRDefault="00BE0778" w:rsidP="004D54E9">
      <w:pPr>
        <w:pStyle w:val="TOC1"/>
        <w:tabs>
          <w:tab w:val="left" w:pos="555"/>
          <w:tab w:val="right" w:leader="dot" w:pos="9345"/>
        </w:tabs>
        <w:bidi/>
        <w:spacing w:line="360" w:lineRule="exact"/>
        <w:rPr>
          <w:rStyle w:val="Hyperlink"/>
          <w:rFonts w:ascii="Arabic Typesetting" w:eastAsia="Times New Roman" w:hAnsi="Arabic Typesetting" w:cs="Arabic Typesetting"/>
          <w:noProof/>
          <w:color w:val="auto"/>
          <w:sz w:val="36"/>
          <w:szCs w:val="36"/>
        </w:rPr>
      </w:pPr>
      <w:hyperlink w:anchor="_Toc361774205" w:history="1">
        <w:r w:rsidR="00167916" w:rsidRPr="00BD4A81">
          <w:rPr>
            <w:rStyle w:val="Hyperlink"/>
            <w:rFonts w:ascii="Arabic Typesetting" w:hAnsi="Arabic Typesetting" w:cs="Arabic Typesetting"/>
            <w:noProof/>
            <w:color w:val="auto"/>
            <w:sz w:val="36"/>
            <w:szCs w:val="36"/>
            <w:rtl/>
          </w:rPr>
          <w:t>التقرير السنوي الموجز لمدير شعبة التدقيق الداخلي والرقابة الإدارية</w:t>
        </w:r>
        <w:r w:rsidR="00167916" w:rsidRPr="00BD4A81">
          <w:rPr>
            <w:rStyle w:val="Hyperlink"/>
            <w:rFonts w:ascii="Arabic Typesetting" w:eastAsia="Times New Roman" w:hAnsi="Arabic Typesetting" w:cs="Arabic Typesetting"/>
            <w:noProof/>
            <w:webHidden/>
            <w:color w:val="auto"/>
            <w:sz w:val="36"/>
            <w:szCs w:val="36"/>
          </w:rPr>
          <w:tab/>
        </w:r>
        <w:r w:rsidR="00167916" w:rsidRPr="00BD4A81">
          <w:rPr>
            <w:rStyle w:val="Hyperlink"/>
            <w:rFonts w:ascii="Arabic Typesetting" w:eastAsia="Times New Roman" w:hAnsi="Arabic Typesetting" w:cs="Arabic Typesetting"/>
            <w:noProof/>
            <w:webHidden/>
            <w:color w:val="auto"/>
            <w:sz w:val="36"/>
            <w:szCs w:val="36"/>
          </w:rPr>
          <w:fldChar w:fldCharType="begin"/>
        </w:r>
        <w:r w:rsidR="00167916" w:rsidRPr="00BD4A81">
          <w:rPr>
            <w:rStyle w:val="Hyperlink"/>
            <w:rFonts w:ascii="Arabic Typesetting" w:eastAsia="Times New Roman" w:hAnsi="Arabic Typesetting" w:cs="Arabic Typesetting"/>
            <w:noProof/>
            <w:webHidden/>
            <w:color w:val="auto"/>
            <w:sz w:val="36"/>
            <w:szCs w:val="36"/>
          </w:rPr>
          <w:instrText xml:space="preserve"> PAGEREF _Toc361774205 \h </w:instrText>
        </w:r>
        <w:r w:rsidR="00167916" w:rsidRPr="00BD4A81">
          <w:rPr>
            <w:rStyle w:val="Hyperlink"/>
            <w:rFonts w:ascii="Arabic Typesetting" w:eastAsia="Times New Roman" w:hAnsi="Arabic Typesetting" w:cs="Arabic Typesetting"/>
            <w:noProof/>
            <w:webHidden/>
            <w:color w:val="auto"/>
            <w:sz w:val="36"/>
            <w:szCs w:val="36"/>
          </w:rPr>
        </w:r>
        <w:r w:rsidR="00167916" w:rsidRPr="00BD4A81">
          <w:rPr>
            <w:rStyle w:val="Hyperlink"/>
            <w:rFonts w:ascii="Arabic Typesetting" w:eastAsia="Times New Roman" w:hAnsi="Arabic Typesetting" w:cs="Arabic Typesetting"/>
            <w:noProof/>
            <w:webHidden/>
            <w:color w:val="auto"/>
            <w:sz w:val="36"/>
            <w:szCs w:val="36"/>
          </w:rPr>
          <w:fldChar w:fldCharType="separate"/>
        </w:r>
        <w:r>
          <w:rPr>
            <w:rStyle w:val="Hyperlink"/>
            <w:rFonts w:ascii="Arabic Typesetting" w:eastAsia="Times New Roman" w:hAnsi="Arabic Typesetting" w:cs="Arabic Typesetting"/>
            <w:noProof/>
            <w:webHidden/>
            <w:color w:val="auto"/>
            <w:sz w:val="36"/>
            <w:szCs w:val="36"/>
            <w:rtl/>
          </w:rPr>
          <w:t>4</w:t>
        </w:r>
        <w:r w:rsidR="00167916" w:rsidRPr="00BD4A81">
          <w:rPr>
            <w:rStyle w:val="Hyperlink"/>
            <w:rFonts w:ascii="Arabic Typesetting" w:eastAsia="Times New Roman" w:hAnsi="Arabic Typesetting" w:cs="Arabic Typesetting"/>
            <w:noProof/>
            <w:webHidden/>
            <w:color w:val="auto"/>
            <w:sz w:val="36"/>
            <w:szCs w:val="36"/>
          </w:rPr>
          <w:fldChar w:fldCharType="end"/>
        </w:r>
      </w:hyperlink>
    </w:p>
    <w:p w:rsidR="00167916" w:rsidRPr="00BD4A81" w:rsidRDefault="008B7A66" w:rsidP="004D54E9">
      <w:pPr>
        <w:pStyle w:val="TOC1"/>
        <w:tabs>
          <w:tab w:val="left" w:pos="555"/>
          <w:tab w:val="right" w:leader="dot" w:pos="9345"/>
        </w:tabs>
        <w:bidi/>
        <w:spacing w:line="360" w:lineRule="exact"/>
        <w:rPr>
          <w:rStyle w:val="Hyperlink"/>
          <w:rFonts w:ascii="Arabic Typesetting" w:eastAsia="Times New Roman" w:hAnsi="Arabic Typesetting" w:cs="Arabic Typesetting"/>
          <w:noProof/>
          <w:color w:val="auto"/>
          <w:sz w:val="36"/>
          <w:szCs w:val="36"/>
        </w:rPr>
      </w:pPr>
      <w:r w:rsidRPr="00BD4A81">
        <w:rPr>
          <w:rFonts w:ascii="Arabic Typesetting" w:hAnsi="Arabic Typesetting" w:cs="Arabic Typesetting"/>
          <w:noProof/>
          <w:sz w:val="36"/>
          <w:szCs w:val="36"/>
          <w:rtl/>
        </w:rPr>
        <w:t>1</w:t>
      </w:r>
      <w:hyperlink w:anchor="_Toc361774206" w:history="1">
        <w:r w:rsidR="00167916" w:rsidRPr="00BD4A81">
          <w:rPr>
            <w:rStyle w:val="Hyperlink"/>
            <w:rFonts w:ascii="Arabic Typesetting" w:eastAsia="Times New Roman" w:hAnsi="Arabic Typesetting" w:cs="Arabic Typesetting"/>
            <w:noProof/>
            <w:color w:val="auto"/>
            <w:sz w:val="36"/>
            <w:szCs w:val="36"/>
          </w:rPr>
          <w:t>.</w:t>
        </w:r>
        <w:r w:rsidR="00167916" w:rsidRPr="00BD4A81">
          <w:rPr>
            <w:rStyle w:val="Hyperlink"/>
            <w:rFonts w:ascii="Arabic Typesetting" w:eastAsia="Times New Roman" w:hAnsi="Arabic Typesetting" w:cs="Arabic Typesetting"/>
            <w:noProof/>
            <w:color w:val="auto"/>
            <w:sz w:val="36"/>
            <w:szCs w:val="36"/>
          </w:rPr>
          <w:tab/>
        </w:r>
        <w:r w:rsidR="00167916" w:rsidRPr="00BD4A81">
          <w:rPr>
            <w:rStyle w:val="Hyperlink"/>
            <w:rFonts w:ascii="Arabic Typesetting" w:hAnsi="Arabic Typesetting" w:cs="Arabic Typesetting"/>
            <w:noProof/>
            <w:color w:val="auto"/>
            <w:sz w:val="36"/>
            <w:szCs w:val="36"/>
            <w:rtl/>
          </w:rPr>
          <w:t>معلومات أساسية</w:t>
        </w:r>
        <w:r w:rsidR="00167916" w:rsidRPr="00BD4A81">
          <w:rPr>
            <w:rStyle w:val="Hyperlink"/>
            <w:rFonts w:ascii="Arabic Typesetting" w:eastAsia="Times New Roman" w:hAnsi="Arabic Typesetting" w:cs="Arabic Typesetting"/>
            <w:noProof/>
            <w:webHidden/>
            <w:color w:val="auto"/>
            <w:sz w:val="36"/>
            <w:szCs w:val="36"/>
          </w:rPr>
          <w:tab/>
        </w:r>
        <w:r w:rsidR="00167916" w:rsidRPr="00BD4A81">
          <w:rPr>
            <w:rStyle w:val="Hyperlink"/>
            <w:rFonts w:ascii="Arabic Typesetting" w:eastAsia="Times New Roman" w:hAnsi="Arabic Typesetting" w:cs="Arabic Typesetting"/>
            <w:noProof/>
            <w:webHidden/>
            <w:color w:val="auto"/>
            <w:sz w:val="36"/>
            <w:szCs w:val="36"/>
          </w:rPr>
          <w:fldChar w:fldCharType="begin"/>
        </w:r>
        <w:r w:rsidR="00167916" w:rsidRPr="00BD4A81">
          <w:rPr>
            <w:rStyle w:val="Hyperlink"/>
            <w:rFonts w:ascii="Arabic Typesetting" w:eastAsia="Times New Roman" w:hAnsi="Arabic Typesetting" w:cs="Arabic Typesetting"/>
            <w:noProof/>
            <w:webHidden/>
            <w:color w:val="auto"/>
            <w:sz w:val="36"/>
            <w:szCs w:val="36"/>
          </w:rPr>
          <w:instrText xml:space="preserve"> PAGEREF _Toc361774206 \h </w:instrText>
        </w:r>
        <w:r w:rsidR="00167916" w:rsidRPr="00BD4A81">
          <w:rPr>
            <w:rStyle w:val="Hyperlink"/>
            <w:rFonts w:ascii="Arabic Typesetting" w:eastAsia="Times New Roman" w:hAnsi="Arabic Typesetting" w:cs="Arabic Typesetting"/>
            <w:noProof/>
            <w:webHidden/>
            <w:color w:val="auto"/>
            <w:sz w:val="36"/>
            <w:szCs w:val="36"/>
          </w:rPr>
        </w:r>
        <w:r w:rsidR="00167916" w:rsidRPr="00BD4A81">
          <w:rPr>
            <w:rStyle w:val="Hyperlink"/>
            <w:rFonts w:ascii="Arabic Typesetting" w:eastAsia="Times New Roman" w:hAnsi="Arabic Typesetting" w:cs="Arabic Typesetting"/>
            <w:noProof/>
            <w:webHidden/>
            <w:color w:val="auto"/>
            <w:sz w:val="36"/>
            <w:szCs w:val="36"/>
          </w:rPr>
          <w:fldChar w:fldCharType="separate"/>
        </w:r>
        <w:r w:rsidR="00BE0778">
          <w:rPr>
            <w:rStyle w:val="Hyperlink"/>
            <w:rFonts w:ascii="Arabic Typesetting" w:eastAsia="Times New Roman" w:hAnsi="Arabic Typesetting" w:cs="Arabic Typesetting"/>
            <w:noProof/>
            <w:webHidden/>
            <w:color w:val="auto"/>
            <w:sz w:val="36"/>
            <w:szCs w:val="36"/>
            <w:rtl/>
          </w:rPr>
          <w:t>4</w:t>
        </w:r>
        <w:r w:rsidR="00167916" w:rsidRPr="00BD4A81">
          <w:rPr>
            <w:rStyle w:val="Hyperlink"/>
            <w:rFonts w:ascii="Arabic Typesetting" w:eastAsia="Times New Roman" w:hAnsi="Arabic Typesetting" w:cs="Arabic Typesetting"/>
            <w:noProof/>
            <w:webHidden/>
            <w:color w:val="auto"/>
            <w:sz w:val="36"/>
            <w:szCs w:val="36"/>
          </w:rPr>
          <w:fldChar w:fldCharType="end"/>
        </w:r>
      </w:hyperlink>
    </w:p>
    <w:p w:rsidR="00167916" w:rsidRPr="00BD4A81" w:rsidRDefault="00BE0778" w:rsidP="008B7A66">
      <w:pPr>
        <w:pStyle w:val="TOC1"/>
        <w:tabs>
          <w:tab w:val="left" w:pos="555"/>
          <w:tab w:val="right" w:leader="dot" w:pos="9345"/>
        </w:tabs>
        <w:bidi/>
        <w:spacing w:line="360" w:lineRule="exact"/>
        <w:rPr>
          <w:rStyle w:val="Hyperlink"/>
          <w:rFonts w:ascii="Arabic Typesetting" w:eastAsia="Times New Roman" w:hAnsi="Arabic Typesetting" w:cs="Arabic Typesetting"/>
          <w:noProof/>
          <w:color w:val="auto"/>
          <w:sz w:val="36"/>
          <w:szCs w:val="36"/>
        </w:rPr>
      </w:pPr>
      <w:hyperlink w:anchor="_Toc361774207" w:history="1">
        <w:r w:rsidR="00167916" w:rsidRPr="00BD4A81">
          <w:rPr>
            <w:rStyle w:val="Hyperlink"/>
            <w:rFonts w:ascii="Arabic Typesetting" w:eastAsia="Times New Roman" w:hAnsi="Arabic Typesetting" w:cs="Arabic Typesetting"/>
            <w:noProof/>
            <w:color w:val="auto"/>
            <w:sz w:val="36"/>
            <w:szCs w:val="36"/>
          </w:rPr>
          <w:t>2</w:t>
        </w:r>
        <w:r w:rsidR="008B7A66" w:rsidRPr="00BD4A81">
          <w:rPr>
            <w:rStyle w:val="Hyperlink"/>
            <w:rFonts w:ascii="Arabic Typesetting" w:eastAsia="Times New Roman" w:hAnsi="Arabic Typesetting" w:cs="Arabic Typesetting"/>
            <w:noProof/>
            <w:color w:val="auto"/>
            <w:sz w:val="36"/>
            <w:szCs w:val="36"/>
            <w:rtl/>
          </w:rPr>
          <w:t>.</w:t>
        </w:r>
        <w:r w:rsidR="00167916" w:rsidRPr="00BD4A81">
          <w:rPr>
            <w:rStyle w:val="Hyperlink"/>
            <w:rFonts w:ascii="Arabic Typesetting" w:eastAsia="Times New Roman" w:hAnsi="Arabic Typesetting" w:cs="Arabic Typesetting"/>
            <w:noProof/>
            <w:color w:val="auto"/>
            <w:sz w:val="36"/>
            <w:szCs w:val="36"/>
          </w:rPr>
          <w:tab/>
        </w:r>
        <w:r w:rsidR="00167916" w:rsidRPr="00BD4A81">
          <w:rPr>
            <w:rStyle w:val="Hyperlink"/>
            <w:rFonts w:ascii="Arabic Typesetting" w:hAnsi="Arabic Typesetting" w:cs="Arabic Typesetting"/>
            <w:noProof/>
            <w:color w:val="auto"/>
            <w:sz w:val="36"/>
            <w:szCs w:val="36"/>
            <w:rtl/>
          </w:rPr>
          <w:t>التخطيط والمعايير والقواعد</w:t>
        </w:r>
        <w:r w:rsidR="00167916" w:rsidRPr="00BD4A81">
          <w:rPr>
            <w:rStyle w:val="Hyperlink"/>
            <w:rFonts w:ascii="Arabic Typesetting" w:eastAsia="Times New Roman" w:hAnsi="Arabic Typesetting" w:cs="Arabic Typesetting"/>
            <w:noProof/>
            <w:webHidden/>
            <w:color w:val="auto"/>
            <w:sz w:val="36"/>
            <w:szCs w:val="36"/>
          </w:rPr>
          <w:tab/>
        </w:r>
        <w:r w:rsidR="00167916" w:rsidRPr="00BD4A81">
          <w:rPr>
            <w:rStyle w:val="Hyperlink"/>
            <w:rFonts w:ascii="Arabic Typesetting" w:eastAsia="Times New Roman" w:hAnsi="Arabic Typesetting" w:cs="Arabic Typesetting"/>
            <w:noProof/>
            <w:webHidden/>
            <w:color w:val="auto"/>
            <w:sz w:val="36"/>
            <w:szCs w:val="36"/>
          </w:rPr>
          <w:fldChar w:fldCharType="begin"/>
        </w:r>
        <w:r w:rsidR="00167916" w:rsidRPr="00BD4A81">
          <w:rPr>
            <w:rStyle w:val="Hyperlink"/>
            <w:rFonts w:ascii="Arabic Typesetting" w:eastAsia="Times New Roman" w:hAnsi="Arabic Typesetting" w:cs="Arabic Typesetting"/>
            <w:noProof/>
            <w:webHidden/>
            <w:color w:val="auto"/>
            <w:sz w:val="36"/>
            <w:szCs w:val="36"/>
          </w:rPr>
          <w:instrText xml:space="preserve"> PAGEREF _Toc361774207 \h </w:instrText>
        </w:r>
        <w:r w:rsidR="00167916" w:rsidRPr="00BD4A81">
          <w:rPr>
            <w:rStyle w:val="Hyperlink"/>
            <w:rFonts w:ascii="Arabic Typesetting" w:eastAsia="Times New Roman" w:hAnsi="Arabic Typesetting" w:cs="Arabic Typesetting"/>
            <w:noProof/>
            <w:webHidden/>
            <w:color w:val="auto"/>
            <w:sz w:val="36"/>
            <w:szCs w:val="36"/>
          </w:rPr>
        </w:r>
        <w:r w:rsidR="00167916" w:rsidRPr="00BD4A81">
          <w:rPr>
            <w:rStyle w:val="Hyperlink"/>
            <w:rFonts w:ascii="Arabic Typesetting" w:eastAsia="Times New Roman" w:hAnsi="Arabic Typesetting" w:cs="Arabic Typesetting"/>
            <w:noProof/>
            <w:webHidden/>
            <w:color w:val="auto"/>
            <w:sz w:val="36"/>
            <w:szCs w:val="36"/>
          </w:rPr>
          <w:fldChar w:fldCharType="separate"/>
        </w:r>
        <w:r>
          <w:rPr>
            <w:rStyle w:val="Hyperlink"/>
            <w:rFonts w:ascii="Arabic Typesetting" w:eastAsia="Times New Roman" w:hAnsi="Arabic Typesetting" w:cs="Arabic Typesetting"/>
            <w:noProof/>
            <w:webHidden/>
            <w:color w:val="auto"/>
            <w:sz w:val="36"/>
            <w:szCs w:val="36"/>
            <w:rtl/>
          </w:rPr>
          <w:t>4</w:t>
        </w:r>
        <w:r w:rsidR="00167916" w:rsidRPr="00BD4A81">
          <w:rPr>
            <w:rStyle w:val="Hyperlink"/>
            <w:rFonts w:ascii="Arabic Typesetting" w:eastAsia="Times New Roman" w:hAnsi="Arabic Typesetting" w:cs="Arabic Typesetting"/>
            <w:noProof/>
            <w:webHidden/>
            <w:color w:val="auto"/>
            <w:sz w:val="36"/>
            <w:szCs w:val="36"/>
          </w:rPr>
          <w:fldChar w:fldCharType="end"/>
        </w:r>
      </w:hyperlink>
    </w:p>
    <w:p w:rsidR="00167916" w:rsidRPr="00BD4A81" w:rsidRDefault="00BE0778" w:rsidP="008B7A66">
      <w:pPr>
        <w:pStyle w:val="TOC1"/>
        <w:tabs>
          <w:tab w:val="left" w:pos="555"/>
          <w:tab w:val="right" w:leader="dot" w:pos="9345"/>
        </w:tabs>
        <w:bidi/>
        <w:spacing w:line="360" w:lineRule="exact"/>
        <w:rPr>
          <w:rStyle w:val="Hyperlink"/>
          <w:rFonts w:ascii="Arabic Typesetting" w:hAnsi="Arabic Typesetting" w:cs="Arabic Typesetting"/>
          <w:noProof/>
          <w:color w:val="auto"/>
          <w:sz w:val="36"/>
          <w:szCs w:val="36"/>
        </w:rPr>
      </w:pPr>
      <w:hyperlink w:anchor="_Toc361774208" w:history="1">
        <w:r w:rsidR="00167916" w:rsidRPr="00BD4A81">
          <w:rPr>
            <w:rStyle w:val="Hyperlink"/>
            <w:rFonts w:ascii="Arabic Typesetting" w:eastAsia="Times New Roman" w:hAnsi="Arabic Typesetting" w:cs="Arabic Typesetting"/>
            <w:noProof/>
            <w:color w:val="auto"/>
            <w:sz w:val="36"/>
            <w:szCs w:val="36"/>
          </w:rPr>
          <w:t>3</w:t>
        </w:r>
        <w:r w:rsidR="008B7A66" w:rsidRPr="00BD4A81">
          <w:rPr>
            <w:rStyle w:val="Hyperlink"/>
            <w:rFonts w:ascii="Arabic Typesetting" w:eastAsia="Times New Roman" w:hAnsi="Arabic Typesetting" w:cs="Arabic Typesetting"/>
            <w:noProof/>
            <w:color w:val="auto"/>
            <w:sz w:val="36"/>
            <w:szCs w:val="36"/>
            <w:rtl/>
          </w:rPr>
          <w:t>.</w:t>
        </w:r>
        <w:r w:rsidR="00167916" w:rsidRPr="00BD4A81">
          <w:rPr>
            <w:rStyle w:val="Hyperlink"/>
            <w:rFonts w:ascii="Arabic Typesetting" w:eastAsia="Times New Roman" w:hAnsi="Arabic Typesetting" w:cs="Arabic Typesetting"/>
            <w:noProof/>
            <w:color w:val="auto"/>
            <w:sz w:val="36"/>
            <w:szCs w:val="36"/>
          </w:rPr>
          <w:tab/>
        </w:r>
        <w:r w:rsidR="00167916" w:rsidRPr="00BD4A81">
          <w:rPr>
            <w:rStyle w:val="Hyperlink"/>
            <w:rFonts w:ascii="Arabic Typesetting" w:hAnsi="Arabic Typesetting" w:cs="Arabic Typesetting"/>
            <w:noProof/>
            <w:color w:val="auto"/>
            <w:sz w:val="36"/>
            <w:szCs w:val="36"/>
            <w:rtl/>
          </w:rPr>
          <w:t>نتائج وتوصيات مهمة للرقابة الداخلية</w:t>
        </w:r>
        <w:r w:rsidR="00167916" w:rsidRPr="00BD4A81">
          <w:rPr>
            <w:rStyle w:val="Hyperlink"/>
            <w:rFonts w:ascii="Arabic Typesetting" w:eastAsia="Times New Roman" w:hAnsi="Arabic Typesetting" w:cs="Arabic Typesetting"/>
            <w:noProof/>
            <w:webHidden/>
            <w:color w:val="auto"/>
            <w:sz w:val="36"/>
            <w:szCs w:val="36"/>
          </w:rPr>
          <w:tab/>
        </w:r>
        <w:r w:rsidR="00167916" w:rsidRPr="00BD4A81">
          <w:rPr>
            <w:rStyle w:val="Hyperlink"/>
            <w:rFonts w:ascii="Arabic Typesetting" w:eastAsia="Times New Roman" w:hAnsi="Arabic Typesetting" w:cs="Arabic Typesetting"/>
            <w:noProof/>
            <w:webHidden/>
            <w:color w:val="auto"/>
            <w:sz w:val="36"/>
            <w:szCs w:val="36"/>
          </w:rPr>
          <w:fldChar w:fldCharType="begin"/>
        </w:r>
        <w:r w:rsidR="00167916" w:rsidRPr="00BD4A81">
          <w:rPr>
            <w:rStyle w:val="Hyperlink"/>
            <w:rFonts w:ascii="Arabic Typesetting" w:eastAsia="Times New Roman" w:hAnsi="Arabic Typesetting" w:cs="Arabic Typesetting"/>
            <w:noProof/>
            <w:webHidden/>
            <w:color w:val="auto"/>
            <w:sz w:val="36"/>
            <w:szCs w:val="36"/>
          </w:rPr>
          <w:instrText xml:space="preserve"> PAGEREF _Toc361774208 \h </w:instrText>
        </w:r>
        <w:r w:rsidR="00167916" w:rsidRPr="00BD4A81">
          <w:rPr>
            <w:rStyle w:val="Hyperlink"/>
            <w:rFonts w:ascii="Arabic Typesetting" w:eastAsia="Times New Roman" w:hAnsi="Arabic Typesetting" w:cs="Arabic Typesetting"/>
            <w:noProof/>
            <w:webHidden/>
            <w:color w:val="auto"/>
            <w:sz w:val="36"/>
            <w:szCs w:val="36"/>
          </w:rPr>
        </w:r>
        <w:r w:rsidR="00167916" w:rsidRPr="00BD4A81">
          <w:rPr>
            <w:rStyle w:val="Hyperlink"/>
            <w:rFonts w:ascii="Arabic Typesetting" w:eastAsia="Times New Roman" w:hAnsi="Arabic Typesetting" w:cs="Arabic Typesetting"/>
            <w:noProof/>
            <w:webHidden/>
            <w:color w:val="auto"/>
            <w:sz w:val="36"/>
            <w:szCs w:val="36"/>
          </w:rPr>
          <w:fldChar w:fldCharType="separate"/>
        </w:r>
        <w:r>
          <w:rPr>
            <w:rStyle w:val="Hyperlink"/>
            <w:rFonts w:ascii="Arabic Typesetting" w:eastAsia="Times New Roman" w:hAnsi="Arabic Typesetting" w:cs="Arabic Typesetting"/>
            <w:noProof/>
            <w:webHidden/>
            <w:color w:val="auto"/>
            <w:sz w:val="36"/>
            <w:szCs w:val="36"/>
            <w:rtl/>
          </w:rPr>
          <w:t>5</w:t>
        </w:r>
        <w:r w:rsidR="00167916" w:rsidRPr="00BD4A81">
          <w:rPr>
            <w:rStyle w:val="Hyperlink"/>
            <w:rFonts w:ascii="Arabic Typesetting" w:eastAsia="Times New Roman" w:hAnsi="Arabic Typesetting" w:cs="Arabic Typesetting"/>
            <w:noProof/>
            <w:webHidden/>
            <w:color w:val="auto"/>
            <w:sz w:val="36"/>
            <w:szCs w:val="36"/>
          </w:rPr>
          <w:fldChar w:fldCharType="end"/>
        </w:r>
      </w:hyperlink>
    </w:p>
    <w:p w:rsidR="00167916" w:rsidRPr="00BD4A81" w:rsidRDefault="00BE0778" w:rsidP="004D54E9">
      <w:pPr>
        <w:pStyle w:val="TOC2"/>
        <w:tabs>
          <w:tab w:val="clear" w:pos="709"/>
          <w:tab w:val="left" w:pos="885"/>
        </w:tabs>
        <w:bidi/>
        <w:spacing w:line="360" w:lineRule="exact"/>
        <w:rPr>
          <w:rStyle w:val="Hyperlink"/>
          <w:rFonts w:ascii="Arabic Typesetting" w:hAnsi="Arabic Typesetting" w:cs="Arabic Typesetting"/>
          <w:noProof/>
          <w:color w:val="auto"/>
          <w:sz w:val="36"/>
          <w:szCs w:val="36"/>
        </w:rPr>
      </w:pPr>
      <w:hyperlink w:anchor="_Toc361774209" w:history="1">
        <w:r w:rsidR="00167916" w:rsidRPr="00BD4A81">
          <w:rPr>
            <w:rStyle w:val="Hyperlink"/>
            <w:rFonts w:ascii="Arabic Typesetting" w:hAnsi="Arabic Typesetting" w:cs="Arabic Typesetting"/>
            <w:noProof/>
            <w:color w:val="auto"/>
            <w:sz w:val="36"/>
            <w:szCs w:val="36"/>
            <w:rtl/>
          </w:rPr>
          <w:t>ألف</w:t>
        </w:r>
        <w:r w:rsidR="00167916" w:rsidRPr="00BD4A81">
          <w:rPr>
            <w:rStyle w:val="Hyperlink"/>
            <w:rFonts w:ascii="Arabic Typesetting" w:eastAsia="Times New Roman" w:hAnsi="Arabic Typesetting" w:cs="Arabic Typesetting"/>
            <w:noProof/>
            <w:color w:val="auto"/>
            <w:sz w:val="36"/>
            <w:szCs w:val="36"/>
          </w:rPr>
          <w:t>.</w:t>
        </w:r>
        <w:r w:rsidR="00167916" w:rsidRPr="00BD4A81">
          <w:rPr>
            <w:rStyle w:val="Hyperlink"/>
            <w:rFonts w:ascii="Arabic Typesetting" w:hAnsi="Arabic Typesetting" w:cs="Arabic Typesetting"/>
            <w:noProof/>
            <w:color w:val="auto"/>
            <w:sz w:val="36"/>
            <w:szCs w:val="36"/>
          </w:rPr>
          <w:tab/>
        </w:r>
        <w:r w:rsidR="00167916" w:rsidRPr="00BD4A81">
          <w:rPr>
            <w:rStyle w:val="Hyperlink"/>
            <w:rFonts w:ascii="Arabic Typesetting" w:hAnsi="Arabic Typesetting" w:cs="Arabic Typesetting"/>
            <w:noProof/>
            <w:color w:val="auto"/>
            <w:sz w:val="36"/>
            <w:szCs w:val="36"/>
            <w:rtl/>
          </w:rPr>
          <w:t>إدارة البرامج والمشروعات</w:t>
        </w:r>
        <w:r w:rsidR="00167916" w:rsidRPr="00BD4A81">
          <w:rPr>
            <w:rStyle w:val="Hyperlink"/>
            <w:rFonts w:ascii="Arabic Typesetting" w:eastAsia="Times New Roman" w:hAnsi="Arabic Typesetting" w:cs="Arabic Typesetting"/>
            <w:noProof/>
            <w:webHidden/>
            <w:color w:val="auto"/>
            <w:sz w:val="36"/>
            <w:szCs w:val="36"/>
          </w:rPr>
          <w:tab/>
        </w:r>
        <w:r w:rsidR="00167916" w:rsidRPr="00BD4A81">
          <w:rPr>
            <w:rStyle w:val="Hyperlink"/>
            <w:rFonts w:ascii="Arabic Typesetting" w:eastAsia="Times New Roman" w:hAnsi="Arabic Typesetting" w:cs="Arabic Typesetting"/>
            <w:noProof/>
            <w:webHidden/>
            <w:color w:val="auto"/>
            <w:sz w:val="36"/>
            <w:szCs w:val="36"/>
          </w:rPr>
          <w:fldChar w:fldCharType="begin"/>
        </w:r>
        <w:r w:rsidR="00167916" w:rsidRPr="00BD4A81">
          <w:rPr>
            <w:rStyle w:val="Hyperlink"/>
            <w:rFonts w:ascii="Arabic Typesetting" w:eastAsia="Times New Roman" w:hAnsi="Arabic Typesetting" w:cs="Arabic Typesetting"/>
            <w:noProof/>
            <w:webHidden/>
            <w:color w:val="auto"/>
            <w:sz w:val="36"/>
            <w:szCs w:val="36"/>
          </w:rPr>
          <w:instrText xml:space="preserve"> PAGEREF _Toc361774209 \h </w:instrText>
        </w:r>
        <w:r w:rsidR="00167916" w:rsidRPr="00BD4A81">
          <w:rPr>
            <w:rStyle w:val="Hyperlink"/>
            <w:rFonts w:ascii="Arabic Typesetting" w:eastAsia="Times New Roman" w:hAnsi="Arabic Typesetting" w:cs="Arabic Typesetting"/>
            <w:noProof/>
            <w:webHidden/>
            <w:color w:val="auto"/>
            <w:sz w:val="36"/>
            <w:szCs w:val="36"/>
          </w:rPr>
        </w:r>
        <w:r w:rsidR="00167916" w:rsidRPr="00BD4A81">
          <w:rPr>
            <w:rStyle w:val="Hyperlink"/>
            <w:rFonts w:ascii="Arabic Typesetting" w:eastAsia="Times New Roman" w:hAnsi="Arabic Typesetting" w:cs="Arabic Typesetting"/>
            <w:noProof/>
            <w:webHidden/>
            <w:color w:val="auto"/>
            <w:sz w:val="36"/>
            <w:szCs w:val="36"/>
          </w:rPr>
          <w:fldChar w:fldCharType="separate"/>
        </w:r>
        <w:r>
          <w:rPr>
            <w:rStyle w:val="Hyperlink"/>
            <w:rFonts w:ascii="Arabic Typesetting" w:eastAsia="Times New Roman" w:hAnsi="Arabic Typesetting" w:cs="Arabic Typesetting"/>
            <w:noProof/>
            <w:webHidden/>
            <w:color w:val="auto"/>
            <w:sz w:val="36"/>
            <w:szCs w:val="36"/>
            <w:rtl/>
          </w:rPr>
          <w:t>5</w:t>
        </w:r>
        <w:r w:rsidR="00167916" w:rsidRPr="00BD4A81">
          <w:rPr>
            <w:rStyle w:val="Hyperlink"/>
            <w:rFonts w:ascii="Arabic Typesetting" w:eastAsia="Times New Roman" w:hAnsi="Arabic Typesetting" w:cs="Arabic Typesetting"/>
            <w:noProof/>
            <w:webHidden/>
            <w:color w:val="auto"/>
            <w:sz w:val="36"/>
            <w:szCs w:val="36"/>
          </w:rPr>
          <w:fldChar w:fldCharType="end"/>
        </w:r>
      </w:hyperlink>
    </w:p>
    <w:p w:rsidR="00167916" w:rsidRPr="00BD4A81" w:rsidRDefault="00BE0778" w:rsidP="004D54E9">
      <w:pPr>
        <w:pStyle w:val="TOC2"/>
        <w:tabs>
          <w:tab w:val="clear" w:pos="709"/>
          <w:tab w:val="left" w:pos="885"/>
        </w:tabs>
        <w:bidi/>
        <w:spacing w:line="360" w:lineRule="exact"/>
        <w:rPr>
          <w:rStyle w:val="Hyperlink"/>
          <w:rFonts w:ascii="Arabic Typesetting" w:hAnsi="Arabic Typesetting" w:cs="Arabic Typesetting"/>
          <w:noProof/>
          <w:color w:val="auto"/>
          <w:sz w:val="36"/>
          <w:szCs w:val="36"/>
        </w:rPr>
      </w:pPr>
      <w:hyperlink w:anchor="_Toc361774210" w:history="1">
        <w:r w:rsidR="00167916" w:rsidRPr="00BD4A81">
          <w:rPr>
            <w:rStyle w:val="Hyperlink"/>
            <w:rFonts w:ascii="Arabic Typesetting" w:hAnsi="Arabic Typesetting" w:cs="Arabic Typesetting"/>
            <w:noProof/>
            <w:color w:val="auto"/>
            <w:sz w:val="36"/>
            <w:szCs w:val="36"/>
            <w:rtl/>
          </w:rPr>
          <w:t>باء</w:t>
        </w:r>
        <w:r w:rsidR="00167916" w:rsidRPr="00BD4A81">
          <w:rPr>
            <w:rStyle w:val="Hyperlink"/>
            <w:rFonts w:ascii="Arabic Typesetting" w:eastAsia="Times New Roman" w:hAnsi="Arabic Typesetting" w:cs="Arabic Typesetting"/>
            <w:noProof/>
            <w:color w:val="auto"/>
            <w:sz w:val="36"/>
            <w:szCs w:val="36"/>
          </w:rPr>
          <w:t>.</w:t>
        </w:r>
        <w:r w:rsidR="00167916" w:rsidRPr="00BD4A81">
          <w:rPr>
            <w:rStyle w:val="Hyperlink"/>
            <w:rFonts w:ascii="Arabic Typesetting" w:hAnsi="Arabic Typesetting" w:cs="Arabic Typesetting"/>
            <w:noProof/>
            <w:color w:val="auto"/>
            <w:sz w:val="36"/>
            <w:szCs w:val="36"/>
          </w:rPr>
          <w:tab/>
        </w:r>
        <w:r w:rsidR="00167916" w:rsidRPr="00BD4A81">
          <w:rPr>
            <w:rStyle w:val="Hyperlink"/>
            <w:rFonts w:ascii="Arabic Typesetting" w:hAnsi="Arabic Typesetting" w:cs="Arabic Typesetting"/>
            <w:noProof/>
            <w:color w:val="auto"/>
            <w:sz w:val="36"/>
            <w:szCs w:val="36"/>
            <w:rtl/>
          </w:rPr>
          <w:t>عملية توليد الإيرادات بناءً على معاهدة التعاون بشأن البراءات</w:t>
        </w:r>
        <w:r w:rsidR="00167916" w:rsidRPr="00BD4A81">
          <w:rPr>
            <w:rStyle w:val="Hyperlink"/>
            <w:rFonts w:ascii="Arabic Typesetting" w:eastAsia="Times New Roman" w:hAnsi="Arabic Typesetting" w:cs="Arabic Typesetting"/>
            <w:noProof/>
            <w:webHidden/>
            <w:color w:val="auto"/>
            <w:sz w:val="36"/>
            <w:szCs w:val="36"/>
          </w:rPr>
          <w:tab/>
        </w:r>
        <w:r w:rsidR="00167916" w:rsidRPr="00BD4A81">
          <w:rPr>
            <w:rStyle w:val="Hyperlink"/>
            <w:rFonts w:ascii="Arabic Typesetting" w:eastAsia="Times New Roman" w:hAnsi="Arabic Typesetting" w:cs="Arabic Typesetting"/>
            <w:noProof/>
            <w:webHidden/>
            <w:color w:val="auto"/>
            <w:sz w:val="36"/>
            <w:szCs w:val="36"/>
          </w:rPr>
          <w:fldChar w:fldCharType="begin"/>
        </w:r>
        <w:r w:rsidR="00167916" w:rsidRPr="00BD4A81">
          <w:rPr>
            <w:rStyle w:val="Hyperlink"/>
            <w:rFonts w:ascii="Arabic Typesetting" w:eastAsia="Times New Roman" w:hAnsi="Arabic Typesetting" w:cs="Arabic Typesetting"/>
            <w:noProof/>
            <w:webHidden/>
            <w:color w:val="auto"/>
            <w:sz w:val="36"/>
            <w:szCs w:val="36"/>
          </w:rPr>
          <w:instrText xml:space="preserve"> PAGEREF _Toc361774210 \h </w:instrText>
        </w:r>
        <w:r w:rsidR="00167916" w:rsidRPr="00BD4A81">
          <w:rPr>
            <w:rStyle w:val="Hyperlink"/>
            <w:rFonts w:ascii="Arabic Typesetting" w:eastAsia="Times New Roman" w:hAnsi="Arabic Typesetting" w:cs="Arabic Typesetting"/>
            <w:noProof/>
            <w:webHidden/>
            <w:color w:val="auto"/>
            <w:sz w:val="36"/>
            <w:szCs w:val="36"/>
          </w:rPr>
        </w:r>
        <w:r w:rsidR="00167916" w:rsidRPr="00BD4A81">
          <w:rPr>
            <w:rStyle w:val="Hyperlink"/>
            <w:rFonts w:ascii="Arabic Typesetting" w:eastAsia="Times New Roman" w:hAnsi="Arabic Typesetting" w:cs="Arabic Typesetting"/>
            <w:noProof/>
            <w:webHidden/>
            <w:color w:val="auto"/>
            <w:sz w:val="36"/>
            <w:szCs w:val="36"/>
          </w:rPr>
          <w:fldChar w:fldCharType="separate"/>
        </w:r>
        <w:r>
          <w:rPr>
            <w:rStyle w:val="Hyperlink"/>
            <w:rFonts w:ascii="Arabic Typesetting" w:eastAsia="Times New Roman" w:hAnsi="Arabic Typesetting" w:cs="Arabic Typesetting"/>
            <w:noProof/>
            <w:webHidden/>
            <w:color w:val="auto"/>
            <w:sz w:val="36"/>
            <w:szCs w:val="36"/>
            <w:rtl/>
          </w:rPr>
          <w:t>6</w:t>
        </w:r>
        <w:r w:rsidR="00167916" w:rsidRPr="00BD4A81">
          <w:rPr>
            <w:rStyle w:val="Hyperlink"/>
            <w:rFonts w:ascii="Arabic Typesetting" w:eastAsia="Times New Roman" w:hAnsi="Arabic Typesetting" w:cs="Arabic Typesetting"/>
            <w:noProof/>
            <w:webHidden/>
            <w:color w:val="auto"/>
            <w:sz w:val="36"/>
            <w:szCs w:val="36"/>
          </w:rPr>
          <w:fldChar w:fldCharType="end"/>
        </w:r>
      </w:hyperlink>
    </w:p>
    <w:p w:rsidR="00167916" w:rsidRPr="00BD4A81" w:rsidRDefault="00BE0778" w:rsidP="00361399">
      <w:pPr>
        <w:pStyle w:val="TOC2"/>
        <w:tabs>
          <w:tab w:val="clear" w:pos="709"/>
          <w:tab w:val="left" w:pos="885"/>
        </w:tabs>
        <w:bidi/>
        <w:spacing w:line="360" w:lineRule="exact"/>
        <w:rPr>
          <w:rStyle w:val="Hyperlink"/>
          <w:rFonts w:ascii="Arabic Typesetting" w:hAnsi="Arabic Typesetting" w:cs="Arabic Typesetting"/>
          <w:noProof/>
          <w:color w:val="auto"/>
          <w:sz w:val="36"/>
          <w:szCs w:val="36"/>
        </w:rPr>
      </w:pPr>
      <w:hyperlink w:anchor="_Toc361774211" w:history="1">
        <w:r w:rsidR="00167916" w:rsidRPr="00BD4A81">
          <w:rPr>
            <w:rStyle w:val="Hyperlink"/>
            <w:rFonts w:ascii="Arabic Typesetting" w:hAnsi="Arabic Typesetting" w:cs="Arabic Typesetting"/>
            <w:noProof/>
            <w:color w:val="auto"/>
            <w:sz w:val="36"/>
            <w:szCs w:val="36"/>
            <w:rtl/>
          </w:rPr>
          <w:t>جيم</w:t>
        </w:r>
        <w:r w:rsidR="00167916" w:rsidRPr="00BD4A81">
          <w:rPr>
            <w:rStyle w:val="Hyperlink"/>
            <w:rFonts w:ascii="Arabic Typesetting" w:eastAsia="Times New Roman" w:hAnsi="Arabic Typesetting" w:cs="Arabic Typesetting"/>
            <w:noProof/>
            <w:color w:val="auto"/>
            <w:sz w:val="36"/>
            <w:szCs w:val="36"/>
          </w:rPr>
          <w:t>.</w:t>
        </w:r>
        <w:r w:rsidR="00167916" w:rsidRPr="00BD4A81">
          <w:rPr>
            <w:rStyle w:val="Hyperlink"/>
            <w:rFonts w:ascii="Arabic Typesetting" w:hAnsi="Arabic Typesetting" w:cs="Arabic Typesetting"/>
            <w:noProof/>
            <w:color w:val="auto"/>
            <w:sz w:val="36"/>
            <w:szCs w:val="36"/>
          </w:rPr>
          <w:tab/>
        </w:r>
        <w:r w:rsidR="00167916" w:rsidRPr="00BD4A81">
          <w:rPr>
            <w:rStyle w:val="Hyperlink"/>
            <w:rFonts w:ascii="Arabic Typesetting" w:hAnsi="Arabic Typesetting" w:cs="Arabic Typesetting"/>
            <w:noProof/>
            <w:color w:val="auto"/>
            <w:sz w:val="36"/>
            <w:szCs w:val="36"/>
            <w:rtl/>
          </w:rPr>
          <w:t>إدارة الأسفار</w:t>
        </w:r>
        <w:r w:rsidR="00167916" w:rsidRPr="00BD4A81">
          <w:rPr>
            <w:rStyle w:val="Hyperlink"/>
            <w:rFonts w:ascii="Arabic Typesetting" w:eastAsia="Times New Roman" w:hAnsi="Arabic Typesetting" w:cs="Arabic Typesetting"/>
            <w:noProof/>
            <w:webHidden/>
            <w:color w:val="auto"/>
            <w:sz w:val="36"/>
            <w:szCs w:val="36"/>
          </w:rPr>
          <w:tab/>
        </w:r>
        <w:r w:rsidR="00167916" w:rsidRPr="00BD4A81">
          <w:rPr>
            <w:rStyle w:val="Hyperlink"/>
            <w:rFonts w:ascii="Arabic Typesetting" w:eastAsia="Times New Roman" w:hAnsi="Arabic Typesetting" w:cs="Arabic Typesetting"/>
            <w:noProof/>
            <w:webHidden/>
            <w:color w:val="auto"/>
            <w:sz w:val="36"/>
            <w:szCs w:val="36"/>
          </w:rPr>
          <w:fldChar w:fldCharType="begin"/>
        </w:r>
        <w:r w:rsidR="00167916" w:rsidRPr="00BD4A81">
          <w:rPr>
            <w:rStyle w:val="Hyperlink"/>
            <w:rFonts w:ascii="Arabic Typesetting" w:eastAsia="Times New Roman" w:hAnsi="Arabic Typesetting" w:cs="Arabic Typesetting"/>
            <w:noProof/>
            <w:webHidden/>
            <w:color w:val="auto"/>
            <w:sz w:val="36"/>
            <w:szCs w:val="36"/>
          </w:rPr>
          <w:instrText xml:space="preserve"> PAGEREF _Toc361774211 \h </w:instrText>
        </w:r>
        <w:r w:rsidR="00167916" w:rsidRPr="00BD4A81">
          <w:rPr>
            <w:rStyle w:val="Hyperlink"/>
            <w:rFonts w:ascii="Arabic Typesetting" w:eastAsia="Times New Roman" w:hAnsi="Arabic Typesetting" w:cs="Arabic Typesetting"/>
            <w:noProof/>
            <w:webHidden/>
            <w:color w:val="auto"/>
            <w:sz w:val="36"/>
            <w:szCs w:val="36"/>
          </w:rPr>
        </w:r>
        <w:r w:rsidR="00167916" w:rsidRPr="00BD4A81">
          <w:rPr>
            <w:rStyle w:val="Hyperlink"/>
            <w:rFonts w:ascii="Arabic Typesetting" w:eastAsia="Times New Roman" w:hAnsi="Arabic Typesetting" w:cs="Arabic Typesetting"/>
            <w:noProof/>
            <w:webHidden/>
            <w:color w:val="auto"/>
            <w:sz w:val="36"/>
            <w:szCs w:val="36"/>
          </w:rPr>
          <w:fldChar w:fldCharType="separate"/>
        </w:r>
        <w:r>
          <w:rPr>
            <w:rStyle w:val="Hyperlink"/>
            <w:rFonts w:ascii="Arabic Typesetting" w:eastAsia="Times New Roman" w:hAnsi="Arabic Typesetting" w:cs="Arabic Typesetting"/>
            <w:noProof/>
            <w:webHidden/>
            <w:color w:val="auto"/>
            <w:sz w:val="36"/>
            <w:szCs w:val="36"/>
            <w:rtl/>
          </w:rPr>
          <w:t>6</w:t>
        </w:r>
        <w:r w:rsidR="00167916" w:rsidRPr="00BD4A81">
          <w:rPr>
            <w:rStyle w:val="Hyperlink"/>
            <w:rFonts w:ascii="Arabic Typesetting" w:eastAsia="Times New Roman" w:hAnsi="Arabic Typesetting" w:cs="Arabic Typesetting"/>
            <w:noProof/>
            <w:webHidden/>
            <w:color w:val="auto"/>
            <w:sz w:val="36"/>
            <w:szCs w:val="36"/>
          </w:rPr>
          <w:fldChar w:fldCharType="end"/>
        </w:r>
      </w:hyperlink>
    </w:p>
    <w:p w:rsidR="00167916" w:rsidRPr="00BD4A81" w:rsidRDefault="00BE0778" w:rsidP="004D54E9">
      <w:pPr>
        <w:pStyle w:val="TOC2"/>
        <w:tabs>
          <w:tab w:val="clear" w:pos="709"/>
          <w:tab w:val="left" w:pos="885"/>
        </w:tabs>
        <w:bidi/>
        <w:spacing w:line="360" w:lineRule="exact"/>
        <w:rPr>
          <w:rStyle w:val="Hyperlink"/>
          <w:rFonts w:ascii="Arabic Typesetting" w:hAnsi="Arabic Typesetting" w:cs="Arabic Typesetting"/>
          <w:noProof/>
          <w:color w:val="auto"/>
          <w:sz w:val="36"/>
          <w:szCs w:val="36"/>
        </w:rPr>
      </w:pPr>
      <w:hyperlink w:anchor="_Toc361774212" w:history="1">
        <w:r w:rsidR="00167916" w:rsidRPr="00BD4A81">
          <w:rPr>
            <w:rStyle w:val="Hyperlink"/>
            <w:rFonts w:ascii="Arabic Typesetting" w:hAnsi="Arabic Typesetting" w:cs="Arabic Typesetting"/>
            <w:noProof/>
            <w:color w:val="auto"/>
            <w:sz w:val="36"/>
            <w:szCs w:val="36"/>
            <w:rtl/>
          </w:rPr>
          <w:t>دال</w:t>
        </w:r>
        <w:r w:rsidR="00167916" w:rsidRPr="00BD4A81">
          <w:rPr>
            <w:rStyle w:val="Hyperlink"/>
            <w:rFonts w:ascii="Arabic Typesetting" w:eastAsia="Times New Roman" w:hAnsi="Arabic Typesetting" w:cs="Arabic Typesetting"/>
            <w:noProof/>
            <w:color w:val="auto"/>
            <w:sz w:val="36"/>
            <w:szCs w:val="36"/>
          </w:rPr>
          <w:t>.</w:t>
        </w:r>
        <w:r w:rsidR="00167916" w:rsidRPr="00BD4A81">
          <w:rPr>
            <w:rStyle w:val="Hyperlink"/>
            <w:rFonts w:ascii="Arabic Typesetting" w:hAnsi="Arabic Typesetting" w:cs="Arabic Typesetting"/>
            <w:noProof/>
            <w:color w:val="auto"/>
            <w:sz w:val="36"/>
            <w:szCs w:val="36"/>
          </w:rPr>
          <w:tab/>
        </w:r>
        <w:r w:rsidR="00167916" w:rsidRPr="00BD4A81">
          <w:rPr>
            <w:rStyle w:val="Hyperlink"/>
            <w:rFonts w:ascii="Arabic Typesetting" w:hAnsi="Arabic Typesetting" w:cs="Arabic Typesetting"/>
            <w:noProof/>
            <w:color w:val="auto"/>
            <w:sz w:val="36"/>
            <w:szCs w:val="36"/>
            <w:rtl/>
          </w:rPr>
          <w:t>إدارة دورة الدفع</w:t>
        </w:r>
        <w:r w:rsidR="00167916" w:rsidRPr="00BD4A81">
          <w:rPr>
            <w:rStyle w:val="Hyperlink"/>
            <w:rFonts w:ascii="Arabic Typesetting" w:eastAsia="Times New Roman" w:hAnsi="Arabic Typesetting" w:cs="Arabic Typesetting"/>
            <w:noProof/>
            <w:webHidden/>
            <w:color w:val="auto"/>
            <w:sz w:val="36"/>
            <w:szCs w:val="36"/>
          </w:rPr>
          <w:tab/>
        </w:r>
        <w:r w:rsidR="00167916" w:rsidRPr="00BD4A81">
          <w:rPr>
            <w:rStyle w:val="Hyperlink"/>
            <w:rFonts w:ascii="Arabic Typesetting" w:eastAsia="Times New Roman" w:hAnsi="Arabic Typesetting" w:cs="Arabic Typesetting"/>
            <w:noProof/>
            <w:webHidden/>
            <w:color w:val="auto"/>
            <w:sz w:val="36"/>
            <w:szCs w:val="36"/>
          </w:rPr>
          <w:fldChar w:fldCharType="begin"/>
        </w:r>
        <w:r w:rsidR="00167916" w:rsidRPr="00BD4A81">
          <w:rPr>
            <w:rStyle w:val="Hyperlink"/>
            <w:rFonts w:ascii="Arabic Typesetting" w:eastAsia="Times New Roman" w:hAnsi="Arabic Typesetting" w:cs="Arabic Typesetting"/>
            <w:noProof/>
            <w:webHidden/>
            <w:color w:val="auto"/>
            <w:sz w:val="36"/>
            <w:szCs w:val="36"/>
          </w:rPr>
          <w:instrText xml:space="preserve"> PAGEREF _Toc361774212 \h </w:instrText>
        </w:r>
        <w:r w:rsidR="00167916" w:rsidRPr="00BD4A81">
          <w:rPr>
            <w:rStyle w:val="Hyperlink"/>
            <w:rFonts w:ascii="Arabic Typesetting" w:eastAsia="Times New Roman" w:hAnsi="Arabic Typesetting" w:cs="Arabic Typesetting"/>
            <w:noProof/>
            <w:webHidden/>
            <w:color w:val="auto"/>
            <w:sz w:val="36"/>
            <w:szCs w:val="36"/>
          </w:rPr>
        </w:r>
        <w:r w:rsidR="00167916" w:rsidRPr="00BD4A81">
          <w:rPr>
            <w:rStyle w:val="Hyperlink"/>
            <w:rFonts w:ascii="Arabic Typesetting" w:eastAsia="Times New Roman" w:hAnsi="Arabic Typesetting" w:cs="Arabic Typesetting"/>
            <w:noProof/>
            <w:webHidden/>
            <w:color w:val="auto"/>
            <w:sz w:val="36"/>
            <w:szCs w:val="36"/>
          </w:rPr>
          <w:fldChar w:fldCharType="separate"/>
        </w:r>
        <w:r>
          <w:rPr>
            <w:rStyle w:val="Hyperlink"/>
            <w:rFonts w:ascii="Arabic Typesetting" w:eastAsia="Times New Roman" w:hAnsi="Arabic Typesetting" w:cs="Arabic Typesetting"/>
            <w:noProof/>
            <w:webHidden/>
            <w:color w:val="auto"/>
            <w:sz w:val="36"/>
            <w:szCs w:val="36"/>
            <w:rtl/>
          </w:rPr>
          <w:t>7</w:t>
        </w:r>
        <w:r w:rsidR="00167916" w:rsidRPr="00BD4A81">
          <w:rPr>
            <w:rStyle w:val="Hyperlink"/>
            <w:rFonts w:ascii="Arabic Typesetting" w:eastAsia="Times New Roman" w:hAnsi="Arabic Typesetting" w:cs="Arabic Typesetting"/>
            <w:noProof/>
            <w:webHidden/>
            <w:color w:val="auto"/>
            <w:sz w:val="36"/>
            <w:szCs w:val="36"/>
          </w:rPr>
          <w:fldChar w:fldCharType="end"/>
        </w:r>
      </w:hyperlink>
    </w:p>
    <w:p w:rsidR="00167916" w:rsidRPr="00BD4A81" w:rsidRDefault="00BE0778" w:rsidP="004D54E9">
      <w:pPr>
        <w:pStyle w:val="TOC2"/>
        <w:tabs>
          <w:tab w:val="clear" w:pos="709"/>
          <w:tab w:val="left" w:pos="885"/>
        </w:tabs>
        <w:bidi/>
        <w:spacing w:line="360" w:lineRule="exact"/>
        <w:rPr>
          <w:rStyle w:val="Hyperlink"/>
          <w:rFonts w:ascii="Arabic Typesetting" w:hAnsi="Arabic Typesetting" w:cs="Arabic Typesetting"/>
          <w:noProof/>
          <w:color w:val="auto"/>
          <w:sz w:val="36"/>
          <w:szCs w:val="36"/>
        </w:rPr>
      </w:pPr>
      <w:hyperlink w:anchor="_Toc361774213" w:history="1">
        <w:r w:rsidR="00167916" w:rsidRPr="00BD4A81">
          <w:rPr>
            <w:rStyle w:val="Hyperlink"/>
            <w:rFonts w:ascii="Arabic Typesetting" w:hAnsi="Arabic Typesetting" w:cs="Arabic Typesetting"/>
            <w:noProof/>
            <w:color w:val="auto"/>
            <w:sz w:val="36"/>
            <w:szCs w:val="36"/>
            <w:rtl/>
          </w:rPr>
          <w:t>هاء</w:t>
        </w:r>
        <w:r w:rsidR="00167916" w:rsidRPr="00BD4A81">
          <w:rPr>
            <w:rStyle w:val="Hyperlink"/>
            <w:rFonts w:ascii="Arabic Typesetting" w:eastAsia="Times New Roman" w:hAnsi="Arabic Typesetting" w:cs="Arabic Typesetting"/>
            <w:noProof/>
            <w:color w:val="auto"/>
            <w:sz w:val="36"/>
            <w:szCs w:val="36"/>
          </w:rPr>
          <w:t>.</w:t>
        </w:r>
        <w:r w:rsidR="00167916" w:rsidRPr="00BD4A81">
          <w:rPr>
            <w:rStyle w:val="Hyperlink"/>
            <w:rFonts w:ascii="Arabic Typesetting" w:hAnsi="Arabic Typesetting" w:cs="Arabic Typesetting"/>
            <w:noProof/>
            <w:color w:val="auto"/>
            <w:sz w:val="36"/>
            <w:szCs w:val="36"/>
          </w:rPr>
          <w:tab/>
        </w:r>
        <w:r w:rsidR="00167916" w:rsidRPr="00BD4A81">
          <w:rPr>
            <w:rStyle w:val="Hyperlink"/>
            <w:rFonts w:ascii="Arabic Typesetting" w:hAnsi="Arabic Typesetting" w:cs="Arabic Typesetting"/>
            <w:noProof/>
            <w:color w:val="auto"/>
            <w:sz w:val="36"/>
            <w:szCs w:val="36"/>
            <w:rtl/>
          </w:rPr>
          <w:t>إدارة خدمات المؤتمرات واللغات</w:t>
        </w:r>
        <w:r w:rsidR="00167916" w:rsidRPr="00BD4A81">
          <w:rPr>
            <w:rStyle w:val="Hyperlink"/>
            <w:rFonts w:ascii="Arabic Typesetting" w:eastAsia="Times New Roman" w:hAnsi="Arabic Typesetting" w:cs="Arabic Typesetting"/>
            <w:noProof/>
            <w:webHidden/>
            <w:color w:val="auto"/>
            <w:sz w:val="36"/>
            <w:szCs w:val="36"/>
          </w:rPr>
          <w:tab/>
        </w:r>
        <w:r w:rsidR="00167916" w:rsidRPr="00BD4A81">
          <w:rPr>
            <w:rStyle w:val="Hyperlink"/>
            <w:rFonts w:ascii="Arabic Typesetting" w:eastAsia="Times New Roman" w:hAnsi="Arabic Typesetting" w:cs="Arabic Typesetting"/>
            <w:noProof/>
            <w:webHidden/>
            <w:color w:val="auto"/>
            <w:sz w:val="36"/>
            <w:szCs w:val="36"/>
          </w:rPr>
          <w:fldChar w:fldCharType="begin"/>
        </w:r>
        <w:r w:rsidR="00167916" w:rsidRPr="00BD4A81">
          <w:rPr>
            <w:rStyle w:val="Hyperlink"/>
            <w:rFonts w:ascii="Arabic Typesetting" w:eastAsia="Times New Roman" w:hAnsi="Arabic Typesetting" w:cs="Arabic Typesetting"/>
            <w:noProof/>
            <w:webHidden/>
            <w:color w:val="auto"/>
            <w:sz w:val="36"/>
            <w:szCs w:val="36"/>
          </w:rPr>
          <w:instrText xml:space="preserve"> PAGEREF _Toc361774213 \h </w:instrText>
        </w:r>
        <w:r w:rsidR="00167916" w:rsidRPr="00BD4A81">
          <w:rPr>
            <w:rStyle w:val="Hyperlink"/>
            <w:rFonts w:ascii="Arabic Typesetting" w:eastAsia="Times New Roman" w:hAnsi="Arabic Typesetting" w:cs="Arabic Typesetting"/>
            <w:noProof/>
            <w:webHidden/>
            <w:color w:val="auto"/>
            <w:sz w:val="36"/>
            <w:szCs w:val="36"/>
          </w:rPr>
        </w:r>
        <w:r w:rsidR="00167916" w:rsidRPr="00BD4A81">
          <w:rPr>
            <w:rStyle w:val="Hyperlink"/>
            <w:rFonts w:ascii="Arabic Typesetting" w:eastAsia="Times New Roman" w:hAnsi="Arabic Typesetting" w:cs="Arabic Typesetting"/>
            <w:noProof/>
            <w:webHidden/>
            <w:color w:val="auto"/>
            <w:sz w:val="36"/>
            <w:szCs w:val="36"/>
          </w:rPr>
          <w:fldChar w:fldCharType="separate"/>
        </w:r>
        <w:r>
          <w:rPr>
            <w:rStyle w:val="Hyperlink"/>
            <w:rFonts w:ascii="Arabic Typesetting" w:eastAsia="Times New Roman" w:hAnsi="Arabic Typesetting" w:cs="Arabic Typesetting"/>
            <w:noProof/>
            <w:webHidden/>
            <w:color w:val="auto"/>
            <w:sz w:val="36"/>
            <w:szCs w:val="36"/>
            <w:rtl/>
          </w:rPr>
          <w:t>8</w:t>
        </w:r>
        <w:r w:rsidR="00167916" w:rsidRPr="00BD4A81">
          <w:rPr>
            <w:rStyle w:val="Hyperlink"/>
            <w:rFonts w:ascii="Arabic Typesetting" w:eastAsia="Times New Roman" w:hAnsi="Arabic Typesetting" w:cs="Arabic Typesetting"/>
            <w:noProof/>
            <w:webHidden/>
            <w:color w:val="auto"/>
            <w:sz w:val="36"/>
            <w:szCs w:val="36"/>
          </w:rPr>
          <w:fldChar w:fldCharType="end"/>
        </w:r>
      </w:hyperlink>
    </w:p>
    <w:p w:rsidR="00167916" w:rsidRPr="00BD4A81" w:rsidRDefault="00BE0778" w:rsidP="0018209F">
      <w:pPr>
        <w:pStyle w:val="TOC2"/>
        <w:bidi/>
        <w:spacing w:line="360" w:lineRule="exact"/>
        <w:rPr>
          <w:rFonts w:ascii="Arabic Typesetting" w:eastAsia="Times New Roman" w:hAnsi="Arabic Typesetting" w:cs="Arabic Typesetting"/>
          <w:noProof/>
          <w:sz w:val="36"/>
          <w:szCs w:val="36"/>
        </w:rPr>
      </w:pPr>
      <w:hyperlink w:anchor="_Toc361774214" w:history="1">
        <w:r w:rsidR="00167916" w:rsidRPr="00BD4A81">
          <w:rPr>
            <w:rStyle w:val="Hyperlink"/>
            <w:rFonts w:ascii="Arabic Typesetting" w:hAnsi="Arabic Typesetting" w:cs="Arabic Typesetting"/>
            <w:noProof/>
            <w:color w:val="auto"/>
            <w:sz w:val="36"/>
            <w:szCs w:val="36"/>
            <w:rtl/>
            <w:lang w:bidi="ar-EG"/>
          </w:rPr>
          <w:t>واو</w:t>
        </w:r>
        <w:r w:rsidR="00167916" w:rsidRPr="00BD4A81">
          <w:rPr>
            <w:rStyle w:val="Hyperlink"/>
            <w:rFonts w:ascii="Arabic Typesetting" w:hAnsi="Arabic Typesetting" w:cs="Arabic Typesetting"/>
            <w:noProof/>
            <w:color w:val="auto"/>
            <w:sz w:val="36"/>
            <w:szCs w:val="36"/>
          </w:rPr>
          <w:t>.</w:t>
        </w:r>
        <w:r w:rsidR="00167916" w:rsidRPr="00BD4A81">
          <w:rPr>
            <w:rFonts w:ascii="Arabic Typesetting" w:eastAsia="Times New Roman" w:hAnsi="Arabic Typesetting" w:cs="Arabic Typesetting"/>
            <w:noProof/>
            <w:sz w:val="36"/>
            <w:szCs w:val="36"/>
          </w:rPr>
          <w:tab/>
        </w:r>
        <w:r w:rsidR="00167916" w:rsidRPr="00BD4A81">
          <w:rPr>
            <w:rStyle w:val="Hyperlink"/>
            <w:rFonts w:ascii="Arabic Typesetting" w:hAnsi="Arabic Typesetting" w:cs="Arabic Typesetting"/>
            <w:noProof/>
            <w:color w:val="auto"/>
            <w:sz w:val="36"/>
            <w:szCs w:val="36"/>
            <w:rtl/>
            <w:lang w:bidi="ar-EG"/>
          </w:rPr>
          <w:t>بناء قاعة المؤتمرات الجديدة</w:t>
        </w:r>
        <w:r w:rsidR="00167916" w:rsidRPr="00BD4A81">
          <w:rPr>
            <w:rFonts w:ascii="Arabic Typesetting" w:hAnsi="Arabic Typesetting" w:cs="Arabic Typesetting"/>
            <w:noProof/>
            <w:webHidden/>
            <w:sz w:val="36"/>
            <w:szCs w:val="36"/>
          </w:rPr>
          <w:tab/>
        </w:r>
        <w:r w:rsidR="00167916" w:rsidRPr="00BD4A81">
          <w:rPr>
            <w:rFonts w:ascii="Arabic Typesetting" w:hAnsi="Arabic Typesetting" w:cs="Arabic Typesetting"/>
            <w:noProof/>
            <w:webHidden/>
            <w:sz w:val="36"/>
            <w:szCs w:val="36"/>
          </w:rPr>
          <w:fldChar w:fldCharType="begin"/>
        </w:r>
        <w:r w:rsidR="00167916" w:rsidRPr="00BD4A81">
          <w:rPr>
            <w:rFonts w:ascii="Arabic Typesetting" w:hAnsi="Arabic Typesetting" w:cs="Arabic Typesetting"/>
            <w:noProof/>
            <w:webHidden/>
            <w:sz w:val="36"/>
            <w:szCs w:val="36"/>
          </w:rPr>
          <w:instrText xml:space="preserve"> PAGEREF _Toc361774214 \h </w:instrText>
        </w:r>
        <w:r w:rsidR="00167916" w:rsidRPr="00BD4A81">
          <w:rPr>
            <w:rFonts w:ascii="Arabic Typesetting" w:hAnsi="Arabic Typesetting" w:cs="Arabic Typesetting"/>
            <w:noProof/>
            <w:webHidden/>
            <w:sz w:val="36"/>
            <w:szCs w:val="36"/>
          </w:rPr>
        </w:r>
        <w:r w:rsidR="00167916" w:rsidRPr="00BD4A81">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8</w:t>
        </w:r>
        <w:r w:rsidR="00167916" w:rsidRPr="00BD4A81">
          <w:rPr>
            <w:rFonts w:ascii="Arabic Typesetting" w:hAnsi="Arabic Typesetting" w:cs="Arabic Typesetting"/>
            <w:noProof/>
            <w:webHidden/>
            <w:sz w:val="36"/>
            <w:szCs w:val="36"/>
          </w:rPr>
          <w:fldChar w:fldCharType="end"/>
        </w:r>
      </w:hyperlink>
    </w:p>
    <w:p w:rsidR="00167916" w:rsidRPr="00BD4A81" w:rsidRDefault="00BE0778" w:rsidP="008B7A66">
      <w:pPr>
        <w:pStyle w:val="TOC1"/>
        <w:tabs>
          <w:tab w:val="left" w:pos="555"/>
          <w:tab w:val="right" w:leader="dot" w:pos="9345"/>
        </w:tabs>
        <w:bidi/>
        <w:spacing w:line="360" w:lineRule="exact"/>
        <w:rPr>
          <w:rStyle w:val="Hyperlink"/>
          <w:rFonts w:ascii="Arabic Typesetting" w:hAnsi="Arabic Typesetting" w:cs="Arabic Typesetting"/>
          <w:noProof/>
          <w:color w:val="auto"/>
          <w:sz w:val="36"/>
          <w:szCs w:val="36"/>
        </w:rPr>
      </w:pPr>
      <w:hyperlink w:anchor="_Toc361774215" w:history="1">
        <w:r w:rsidR="00167916" w:rsidRPr="00BD4A81">
          <w:rPr>
            <w:rStyle w:val="Hyperlink"/>
            <w:rFonts w:ascii="Arabic Typesetting" w:eastAsia="Times New Roman" w:hAnsi="Arabic Typesetting" w:cs="Arabic Typesetting"/>
            <w:noProof/>
            <w:color w:val="auto"/>
            <w:sz w:val="36"/>
            <w:szCs w:val="36"/>
          </w:rPr>
          <w:t>4</w:t>
        </w:r>
        <w:r w:rsidR="008B7A66" w:rsidRPr="00BD4A81">
          <w:rPr>
            <w:rStyle w:val="Hyperlink"/>
            <w:rFonts w:ascii="Arabic Typesetting" w:eastAsia="Times New Roman" w:hAnsi="Arabic Typesetting" w:cs="Arabic Typesetting"/>
            <w:noProof/>
            <w:color w:val="auto"/>
            <w:sz w:val="36"/>
            <w:szCs w:val="36"/>
            <w:rtl/>
          </w:rPr>
          <w:t>.</w:t>
        </w:r>
        <w:r w:rsidR="00167916" w:rsidRPr="00BD4A81">
          <w:rPr>
            <w:rStyle w:val="Hyperlink"/>
            <w:rFonts w:ascii="Arabic Typesetting" w:hAnsi="Arabic Typesetting" w:cs="Arabic Typesetting"/>
            <w:noProof/>
            <w:color w:val="auto"/>
            <w:sz w:val="36"/>
            <w:szCs w:val="36"/>
          </w:rPr>
          <w:tab/>
        </w:r>
        <w:r w:rsidR="00167916" w:rsidRPr="00BD4A81">
          <w:rPr>
            <w:rStyle w:val="Hyperlink"/>
            <w:rFonts w:ascii="Arabic Typesetting" w:hAnsi="Arabic Typesetting" w:cs="Arabic Typesetting"/>
            <w:noProof/>
            <w:color w:val="auto"/>
            <w:sz w:val="36"/>
            <w:szCs w:val="36"/>
            <w:rtl/>
          </w:rPr>
          <w:t>أنشطة التحقيق في فترة التقرير</w:t>
        </w:r>
        <w:r w:rsidR="00167916" w:rsidRPr="00BD4A81">
          <w:rPr>
            <w:rStyle w:val="Hyperlink"/>
            <w:rFonts w:ascii="Arabic Typesetting" w:eastAsia="Times New Roman" w:hAnsi="Arabic Typesetting" w:cs="Arabic Typesetting"/>
            <w:noProof/>
            <w:webHidden/>
            <w:color w:val="auto"/>
            <w:sz w:val="36"/>
            <w:szCs w:val="36"/>
          </w:rPr>
          <w:tab/>
        </w:r>
        <w:r w:rsidR="00167916" w:rsidRPr="00BD4A81">
          <w:rPr>
            <w:rStyle w:val="Hyperlink"/>
            <w:rFonts w:ascii="Arabic Typesetting" w:eastAsia="Times New Roman" w:hAnsi="Arabic Typesetting" w:cs="Arabic Typesetting"/>
            <w:noProof/>
            <w:webHidden/>
            <w:color w:val="auto"/>
            <w:sz w:val="36"/>
            <w:szCs w:val="36"/>
          </w:rPr>
          <w:fldChar w:fldCharType="begin"/>
        </w:r>
        <w:r w:rsidR="00167916" w:rsidRPr="00BD4A81">
          <w:rPr>
            <w:rStyle w:val="Hyperlink"/>
            <w:rFonts w:ascii="Arabic Typesetting" w:eastAsia="Times New Roman" w:hAnsi="Arabic Typesetting" w:cs="Arabic Typesetting"/>
            <w:noProof/>
            <w:webHidden/>
            <w:color w:val="auto"/>
            <w:sz w:val="36"/>
            <w:szCs w:val="36"/>
          </w:rPr>
          <w:instrText xml:space="preserve"> PAGEREF _Toc361774215 \h </w:instrText>
        </w:r>
        <w:r w:rsidR="00167916" w:rsidRPr="00BD4A81">
          <w:rPr>
            <w:rStyle w:val="Hyperlink"/>
            <w:rFonts w:ascii="Arabic Typesetting" w:eastAsia="Times New Roman" w:hAnsi="Arabic Typesetting" w:cs="Arabic Typesetting"/>
            <w:noProof/>
            <w:webHidden/>
            <w:color w:val="auto"/>
            <w:sz w:val="36"/>
            <w:szCs w:val="36"/>
          </w:rPr>
        </w:r>
        <w:r w:rsidR="00167916" w:rsidRPr="00BD4A81">
          <w:rPr>
            <w:rStyle w:val="Hyperlink"/>
            <w:rFonts w:ascii="Arabic Typesetting" w:eastAsia="Times New Roman" w:hAnsi="Arabic Typesetting" w:cs="Arabic Typesetting"/>
            <w:noProof/>
            <w:webHidden/>
            <w:color w:val="auto"/>
            <w:sz w:val="36"/>
            <w:szCs w:val="36"/>
          </w:rPr>
          <w:fldChar w:fldCharType="separate"/>
        </w:r>
        <w:r>
          <w:rPr>
            <w:rStyle w:val="Hyperlink"/>
            <w:rFonts w:ascii="Arabic Typesetting" w:eastAsia="Times New Roman" w:hAnsi="Arabic Typesetting" w:cs="Arabic Typesetting"/>
            <w:noProof/>
            <w:webHidden/>
            <w:color w:val="auto"/>
            <w:sz w:val="36"/>
            <w:szCs w:val="36"/>
            <w:rtl/>
          </w:rPr>
          <w:t>9</w:t>
        </w:r>
        <w:r w:rsidR="00167916" w:rsidRPr="00BD4A81">
          <w:rPr>
            <w:rStyle w:val="Hyperlink"/>
            <w:rFonts w:ascii="Arabic Typesetting" w:eastAsia="Times New Roman" w:hAnsi="Arabic Typesetting" w:cs="Arabic Typesetting"/>
            <w:noProof/>
            <w:webHidden/>
            <w:color w:val="auto"/>
            <w:sz w:val="36"/>
            <w:szCs w:val="36"/>
          </w:rPr>
          <w:fldChar w:fldCharType="end"/>
        </w:r>
      </w:hyperlink>
    </w:p>
    <w:p w:rsidR="00167916" w:rsidRPr="00BD4A81" w:rsidRDefault="00BE0778" w:rsidP="00286548">
      <w:pPr>
        <w:pStyle w:val="TOC1"/>
        <w:tabs>
          <w:tab w:val="left" w:pos="555"/>
          <w:tab w:val="right" w:leader="dot" w:pos="9345"/>
        </w:tabs>
        <w:bidi/>
        <w:spacing w:line="360" w:lineRule="exact"/>
        <w:rPr>
          <w:rStyle w:val="Hyperlink"/>
          <w:rFonts w:ascii="Arabic Typesetting" w:hAnsi="Arabic Typesetting" w:cs="Arabic Typesetting"/>
          <w:noProof/>
          <w:color w:val="auto"/>
          <w:sz w:val="36"/>
          <w:szCs w:val="36"/>
        </w:rPr>
      </w:pPr>
      <w:hyperlink w:anchor="_Toc361774216" w:history="1">
        <w:r w:rsidR="00167916" w:rsidRPr="00BD4A81">
          <w:rPr>
            <w:rStyle w:val="Hyperlink"/>
            <w:rFonts w:ascii="Arabic Typesetting" w:eastAsia="Times New Roman" w:hAnsi="Arabic Typesetting" w:cs="Arabic Typesetting"/>
            <w:noProof/>
            <w:color w:val="auto"/>
            <w:sz w:val="36"/>
            <w:szCs w:val="36"/>
          </w:rPr>
          <w:t>5</w:t>
        </w:r>
        <w:r w:rsidR="00286548" w:rsidRPr="00BD4A81">
          <w:rPr>
            <w:rStyle w:val="Hyperlink"/>
            <w:rFonts w:ascii="Arabic Typesetting" w:eastAsia="Times New Roman" w:hAnsi="Arabic Typesetting" w:cs="Arabic Typesetting"/>
            <w:noProof/>
            <w:color w:val="auto"/>
            <w:sz w:val="36"/>
            <w:szCs w:val="36"/>
            <w:rtl/>
          </w:rPr>
          <w:t>.</w:t>
        </w:r>
        <w:r w:rsidR="00167916" w:rsidRPr="00BD4A81">
          <w:rPr>
            <w:rStyle w:val="Hyperlink"/>
            <w:rFonts w:ascii="Arabic Typesetting" w:hAnsi="Arabic Typesetting" w:cs="Arabic Typesetting"/>
            <w:noProof/>
            <w:color w:val="auto"/>
            <w:sz w:val="36"/>
            <w:szCs w:val="36"/>
          </w:rPr>
          <w:tab/>
        </w:r>
        <w:r w:rsidR="00167916" w:rsidRPr="00BD4A81">
          <w:rPr>
            <w:rStyle w:val="Hyperlink"/>
            <w:rFonts w:ascii="Arabic Typesetting" w:hAnsi="Arabic Typesetting" w:cs="Arabic Typesetting"/>
            <w:noProof/>
            <w:color w:val="auto"/>
            <w:sz w:val="36"/>
            <w:szCs w:val="36"/>
            <w:rtl/>
          </w:rPr>
          <w:t>حالات الامتناع عن المساعدة أو الإدلاء بمعلومات</w:t>
        </w:r>
        <w:r w:rsidR="00167916" w:rsidRPr="00BD4A81">
          <w:rPr>
            <w:rStyle w:val="Hyperlink"/>
            <w:rFonts w:ascii="Arabic Typesetting" w:eastAsia="Times New Roman" w:hAnsi="Arabic Typesetting" w:cs="Arabic Typesetting"/>
            <w:noProof/>
            <w:webHidden/>
            <w:color w:val="auto"/>
            <w:sz w:val="36"/>
            <w:szCs w:val="36"/>
          </w:rPr>
          <w:tab/>
        </w:r>
        <w:r w:rsidR="00167916" w:rsidRPr="00BD4A81">
          <w:rPr>
            <w:rStyle w:val="Hyperlink"/>
            <w:rFonts w:ascii="Arabic Typesetting" w:eastAsia="Times New Roman" w:hAnsi="Arabic Typesetting" w:cs="Arabic Typesetting"/>
            <w:noProof/>
            <w:webHidden/>
            <w:color w:val="auto"/>
            <w:sz w:val="36"/>
            <w:szCs w:val="36"/>
          </w:rPr>
          <w:fldChar w:fldCharType="begin"/>
        </w:r>
        <w:r w:rsidR="00167916" w:rsidRPr="00BD4A81">
          <w:rPr>
            <w:rStyle w:val="Hyperlink"/>
            <w:rFonts w:ascii="Arabic Typesetting" w:eastAsia="Times New Roman" w:hAnsi="Arabic Typesetting" w:cs="Arabic Typesetting"/>
            <w:noProof/>
            <w:webHidden/>
            <w:color w:val="auto"/>
            <w:sz w:val="36"/>
            <w:szCs w:val="36"/>
          </w:rPr>
          <w:instrText xml:space="preserve"> PAGEREF _Toc361774216 \h </w:instrText>
        </w:r>
        <w:r w:rsidR="00167916" w:rsidRPr="00BD4A81">
          <w:rPr>
            <w:rStyle w:val="Hyperlink"/>
            <w:rFonts w:ascii="Arabic Typesetting" w:eastAsia="Times New Roman" w:hAnsi="Arabic Typesetting" w:cs="Arabic Typesetting"/>
            <w:noProof/>
            <w:webHidden/>
            <w:color w:val="auto"/>
            <w:sz w:val="36"/>
            <w:szCs w:val="36"/>
          </w:rPr>
        </w:r>
        <w:r w:rsidR="00167916" w:rsidRPr="00BD4A81">
          <w:rPr>
            <w:rStyle w:val="Hyperlink"/>
            <w:rFonts w:ascii="Arabic Typesetting" w:eastAsia="Times New Roman" w:hAnsi="Arabic Typesetting" w:cs="Arabic Typesetting"/>
            <w:noProof/>
            <w:webHidden/>
            <w:color w:val="auto"/>
            <w:sz w:val="36"/>
            <w:szCs w:val="36"/>
          </w:rPr>
          <w:fldChar w:fldCharType="separate"/>
        </w:r>
        <w:r>
          <w:rPr>
            <w:rStyle w:val="Hyperlink"/>
            <w:rFonts w:ascii="Arabic Typesetting" w:eastAsia="Times New Roman" w:hAnsi="Arabic Typesetting" w:cs="Arabic Typesetting"/>
            <w:noProof/>
            <w:webHidden/>
            <w:color w:val="auto"/>
            <w:sz w:val="36"/>
            <w:szCs w:val="36"/>
            <w:rtl/>
          </w:rPr>
          <w:t>11</w:t>
        </w:r>
        <w:r w:rsidR="00167916" w:rsidRPr="00BD4A81">
          <w:rPr>
            <w:rStyle w:val="Hyperlink"/>
            <w:rFonts w:ascii="Arabic Typesetting" w:eastAsia="Times New Roman" w:hAnsi="Arabic Typesetting" w:cs="Arabic Typesetting"/>
            <w:noProof/>
            <w:webHidden/>
            <w:color w:val="auto"/>
            <w:sz w:val="36"/>
            <w:szCs w:val="36"/>
          </w:rPr>
          <w:fldChar w:fldCharType="end"/>
        </w:r>
      </w:hyperlink>
    </w:p>
    <w:p w:rsidR="00167916" w:rsidRPr="00BD4A81" w:rsidRDefault="00BE0778" w:rsidP="00286548">
      <w:pPr>
        <w:pStyle w:val="TOC1"/>
        <w:tabs>
          <w:tab w:val="left" w:pos="555"/>
          <w:tab w:val="right" w:leader="dot" w:pos="9345"/>
        </w:tabs>
        <w:bidi/>
        <w:spacing w:line="360" w:lineRule="exact"/>
        <w:rPr>
          <w:rStyle w:val="Hyperlink"/>
          <w:rFonts w:ascii="Arabic Typesetting" w:hAnsi="Arabic Typesetting" w:cs="Arabic Typesetting"/>
          <w:noProof/>
          <w:color w:val="auto"/>
          <w:sz w:val="36"/>
          <w:szCs w:val="36"/>
        </w:rPr>
      </w:pPr>
      <w:hyperlink w:anchor="_Toc361774217" w:history="1">
        <w:r w:rsidR="00167916" w:rsidRPr="00BD4A81">
          <w:rPr>
            <w:rStyle w:val="Hyperlink"/>
            <w:rFonts w:ascii="Arabic Typesetting" w:eastAsia="Times New Roman" w:hAnsi="Arabic Typesetting" w:cs="Arabic Typesetting"/>
            <w:noProof/>
            <w:color w:val="auto"/>
            <w:sz w:val="36"/>
            <w:szCs w:val="36"/>
          </w:rPr>
          <w:t>6</w:t>
        </w:r>
        <w:r w:rsidR="00286548" w:rsidRPr="00BD4A81">
          <w:rPr>
            <w:rStyle w:val="Hyperlink"/>
            <w:rFonts w:ascii="Arabic Typesetting" w:eastAsia="Times New Roman" w:hAnsi="Arabic Typesetting" w:cs="Arabic Typesetting"/>
            <w:noProof/>
            <w:color w:val="auto"/>
            <w:sz w:val="36"/>
            <w:szCs w:val="36"/>
            <w:rtl/>
          </w:rPr>
          <w:t>.</w:t>
        </w:r>
        <w:r w:rsidR="00167916" w:rsidRPr="00BD4A81">
          <w:rPr>
            <w:rStyle w:val="Hyperlink"/>
            <w:rFonts w:ascii="Arabic Typesetting" w:hAnsi="Arabic Typesetting" w:cs="Arabic Typesetting"/>
            <w:noProof/>
            <w:color w:val="auto"/>
            <w:sz w:val="36"/>
            <w:szCs w:val="36"/>
          </w:rPr>
          <w:tab/>
        </w:r>
        <w:r w:rsidR="00167916" w:rsidRPr="00BD4A81">
          <w:rPr>
            <w:rStyle w:val="Hyperlink"/>
            <w:rFonts w:ascii="Arabic Typesetting" w:hAnsi="Arabic Typesetting" w:cs="Arabic Typesetting"/>
            <w:noProof/>
            <w:color w:val="auto"/>
            <w:sz w:val="36"/>
            <w:szCs w:val="36"/>
            <w:rtl/>
          </w:rPr>
          <w:t>حالة تنفيذ التوصيات السابقة</w:t>
        </w:r>
        <w:r w:rsidR="00167916" w:rsidRPr="00BD4A81">
          <w:rPr>
            <w:rStyle w:val="Hyperlink"/>
            <w:rFonts w:ascii="Arabic Typesetting" w:eastAsia="Times New Roman" w:hAnsi="Arabic Typesetting" w:cs="Arabic Typesetting"/>
            <w:noProof/>
            <w:webHidden/>
            <w:color w:val="auto"/>
            <w:sz w:val="36"/>
            <w:szCs w:val="36"/>
          </w:rPr>
          <w:tab/>
        </w:r>
        <w:r w:rsidR="00167916" w:rsidRPr="00BD4A81">
          <w:rPr>
            <w:rStyle w:val="Hyperlink"/>
            <w:rFonts w:ascii="Arabic Typesetting" w:eastAsia="Times New Roman" w:hAnsi="Arabic Typesetting" w:cs="Arabic Typesetting"/>
            <w:noProof/>
            <w:webHidden/>
            <w:color w:val="auto"/>
            <w:sz w:val="36"/>
            <w:szCs w:val="36"/>
          </w:rPr>
          <w:fldChar w:fldCharType="begin"/>
        </w:r>
        <w:r w:rsidR="00167916" w:rsidRPr="00BD4A81">
          <w:rPr>
            <w:rStyle w:val="Hyperlink"/>
            <w:rFonts w:ascii="Arabic Typesetting" w:eastAsia="Times New Roman" w:hAnsi="Arabic Typesetting" w:cs="Arabic Typesetting"/>
            <w:noProof/>
            <w:webHidden/>
            <w:color w:val="auto"/>
            <w:sz w:val="36"/>
            <w:szCs w:val="36"/>
          </w:rPr>
          <w:instrText xml:space="preserve"> PAGEREF _Toc361774217 \h </w:instrText>
        </w:r>
        <w:r w:rsidR="00167916" w:rsidRPr="00BD4A81">
          <w:rPr>
            <w:rStyle w:val="Hyperlink"/>
            <w:rFonts w:ascii="Arabic Typesetting" w:eastAsia="Times New Roman" w:hAnsi="Arabic Typesetting" w:cs="Arabic Typesetting"/>
            <w:noProof/>
            <w:webHidden/>
            <w:color w:val="auto"/>
            <w:sz w:val="36"/>
            <w:szCs w:val="36"/>
          </w:rPr>
        </w:r>
        <w:r w:rsidR="00167916" w:rsidRPr="00BD4A81">
          <w:rPr>
            <w:rStyle w:val="Hyperlink"/>
            <w:rFonts w:ascii="Arabic Typesetting" w:eastAsia="Times New Roman" w:hAnsi="Arabic Typesetting" w:cs="Arabic Typesetting"/>
            <w:noProof/>
            <w:webHidden/>
            <w:color w:val="auto"/>
            <w:sz w:val="36"/>
            <w:szCs w:val="36"/>
          </w:rPr>
          <w:fldChar w:fldCharType="separate"/>
        </w:r>
        <w:r>
          <w:rPr>
            <w:rStyle w:val="Hyperlink"/>
            <w:rFonts w:ascii="Arabic Typesetting" w:eastAsia="Times New Roman" w:hAnsi="Arabic Typesetting" w:cs="Arabic Typesetting"/>
            <w:noProof/>
            <w:webHidden/>
            <w:color w:val="auto"/>
            <w:sz w:val="36"/>
            <w:szCs w:val="36"/>
            <w:rtl/>
          </w:rPr>
          <w:t>11</w:t>
        </w:r>
        <w:r w:rsidR="00167916" w:rsidRPr="00BD4A81">
          <w:rPr>
            <w:rStyle w:val="Hyperlink"/>
            <w:rFonts w:ascii="Arabic Typesetting" w:eastAsia="Times New Roman" w:hAnsi="Arabic Typesetting" w:cs="Arabic Typesetting"/>
            <w:noProof/>
            <w:webHidden/>
            <w:color w:val="auto"/>
            <w:sz w:val="36"/>
            <w:szCs w:val="36"/>
          </w:rPr>
          <w:fldChar w:fldCharType="end"/>
        </w:r>
      </w:hyperlink>
    </w:p>
    <w:p w:rsidR="00167916" w:rsidRPr="00BD4A81" w:rsidRDefault="00BE0778" w:rsidP="00286548">
      <w:pPr>
        <w:pStyle w:val="TOC1"/>
        <w:tabs>
          <w:tab w:val="left" w:pos="555"/>
          <w:tab w:val="right" w:leader="dot" w:pos="9345"/>
        </w:tabs>
        <w:bidi/>
        <w:spacing w:line="360" w:lineRule="exact"/>
        <w:rPr>
          <w:rStyle w:val="Hyperlink"/>
          <w:rFonts w:ascii="Arabic Typesetting" w:hAnsi="Arabic Typesetting" w:cs="Arabic Typesetting"/>
          <w:noProof/>
          <w:color w:val="auto"/>
          <w:sz w:val="36"/>
          <w:szCs w:val="36"/>
        </w:rPr>
      </w:pPr>
      <w:hyperlink w:anchor="_Toc361774218" w:history="1">
        <w:r w:rsidR="00167916" w:rsidRPr="00BD4A81">
          <w:rPr>
            <w:rStyle w:val="Hyperlink"/>
            <w:rFonts w:ascii="Arabic Typesetting" w:eastAsia="Times New Roman" w:hAnsi="Arabic Typesetting" w:cs="Arabic Typesetting"/>
            <w:noProof/>
            <w:color w:val="auto"/>
            <w:sz w:val="36"/>
            <w:szCs w:val="36"/>
          </w:rPr>
          <w:t>7</w:t>
        </w:r>
        <w:r w:rsidR="00286548" w:rsidRPr="00BD4A81">
          <w:rPr>
            <w:rStyle w:val="Hyperlink"/>
            <w:rFonts w:ascii="Arabic Typesetting" w:eastAsia="Times New Roman" w:hAnsi="Arabic Typesetting" w:cs="Arabic Typesetting"/>
            <w:noProof/>
            <w:color w:val="auto"/>
            <w:sz w:val="36"/>
            <w:szCs w:val="36"/>
            <w:rtl/>
          </w:rPr>
          <w:t>.</w:t>
        </w:r>
        <w:r w:rsidR="00167916" w:rsidRPr="00BD4A81">
          <w:rPr>
            <w:rStyle w:val="Hyperlink"/>
            <w:rFonts w:ascii="Arabic Typesetting" w:hAnsi="Arabic Typesetting" w:cs="Arabic Typesetting"/>
            <w:noProof/>
            <w:color w:val="auto"/>
            <w:sz w:val="36"/>
            <w:szCs w:val="36"/>
          </w:rPr>
          <w:tab/>
        </w:r>
        <w:r w:rsidR="00167916" w:rsidRPr="00BD4A81">
          <w:rPr>
            <w:rStyle w:val="Hyperlink"/>
            <w:rFonts w:ascii="Arabic Typesetting" w:hAnsi="Arabic Typesetting" w:cs="Arabic Typesetting"/>
            <w:noProof/>
            <w:color w:val="auto"/>
            <w:sz w:val="36"/>
            <w:szCs w:val="36"/>
            <w:rtl/>
          </w:rPr>
          <w:t>أعمال رقابية أخرى</w:t>
        </w:r>
        <w:r w:rsidR="00167916" w:rsidRPr="00BD4A81">
          <w:rPr>
            <w:rStyle w:val="Hyperlink"/>
            <w:rFonts w:ascii="Arabic Typesetting" w:eastAsia="Times New Roman" w:hAnsi="Arabic Typesetting" w:cs="Arabic Typesetting"/>
            <w:noProof/>
            <w:webHidden/>
            <w:color w:val="auto"/>
            <w:sz w:val="36"/>
            <w:szCs w:val="36"/>
          </w:rPr>
          <w:tab/>
        </w:r>
        <w:r w:rsidR="00167916" w:rsidRPr="00BD4A81">
          <w:rPr>
            <w:rStyle w:val="Hyperlink"/>
            <w:rFonts w:ascii="Arabic Typesetting" w:eastAsia="Times New Roman" w:hAnsi="Arabic Typesetting" w:cs="Arabic Typesetting"/>
            <w:noProof/>
            <w:webHidden/>
            <w:color w:val="auto"/>
            <w:sz w:val="36"/>
            <w:szCs w:val="36"/>
          </w:rPr>
          <w:fldChar w:fldCharType="begin"/>
        </w:r>
        <w:r w:rsidR="00167916" w:rsidRPr="00BD4A81">
          <w:rPr>
            <w:rStyle w:val="Hyperlink"/>
            <w:rFonts w:ascii="Arabic Typesetting" w:eastAsia="Times New Roman" w:hAnsi="Arabic Typesetting" w:cs="Arabic Typesetting"/>
            <w:noProof/>
            <w:webHidden/>
            <w:color w:val="auto"/>
            <w:sz w:val="36"/>
            <w:szCs w:val="36"/>
          </w:rPr>
          <w:instrText xml:space="preserve"> PAGEREF _Toc361774218 \h </w:instrText>
        </w:r>
        <w:r w:rsidR="00167916" w:rsidRPr="00BD4A81">
          <w:rPr>
            <w:rStyle w:val="Hyperlink"/>
            <w:rFonts w:ascii="Arabic Typesetting" w:eastAsia="Times New Roman" w:hAnsi="Arabic Typesetting" w:cs="Arabic Typesetting"/>
            <w:noProof/>
            <w:webHidden/>
            <w:color w:val="auto"/>
            <w:sz w:val="36"/>
            <w:szCs w:val="36"/>
          </w:rPr>
        </w:r>
        <w:r w:rsidR="00167916" w:rsidRPr="00BD4A81">
          <w:rPr>
            <w:rStyle w:val="Hyperlink"/>
            <w:rFonts w:ascii="Arabic Typesetting" w:eastAsia="Times New Roman" w:hAnsi="Arabic Typesetting" w:cs="Arabic Typesetting"/>
            <w:noProof/>
            <w:webHidden/>
            <w:color w:val="auto"/>
            <w:sz w:val="36"/>
            <w:szCs w:val="36"/>
          </w:rPr>
          <w:fldChar w:fldCharType="separate"/>
        </w:r>
        <w:r>
          <w:rPr>
            <w:rStyle w:val="Hyperlink"/>
            <w:rFonts w:ascii="Arabic Typesetting" w:eastAsia="Times New Roman" w:hAnsi="Arabic Typesetting" w:cs="Arabic Typesetting"/>
            <w:noProof/>
            <w:webHidden/>
            <w:color w:val="auto"/>
            <w:sz w:val="36"/>
            <w:szCs w:val="36"/>
            <w:rtl/>
          </w:rPr>
          <w:t>13</w:t>
        </w:r>
        <w:r w:rsidR="00167916" w:rsidRPr="00BD4A81">
          <w:rPr>
            <w:rStyle w:val="Hyperlink"/>
            <w:rFonts w:ascii="Arabic Typesetting" w:eastAsia="Times New Roman" w:hAnsi="Arabic Typesetting" w:cs="Arabic Typesetting"/>
            <w:noProof/>
            <w:webHidden/>
            <w:color w:val="auto"/>
            <w:sz w:val="36"/>
            <w:szCs w:val="36"/>
          </w:rPr>
          <w:fldChar w:fldCharType="end"/>
        </w:r>
      </w:hyperlink>
    </w:p>
    <w:p w:rsidR="00167916" w:rsidRPr="00BD4A81" w:rsidRDefault="00BE0778" w:rsidP="0018209F">
      <w:pPr>
        <w:pStyle w:val="TOC2"/>
        <w:bidi/>
        <w:spacing w:line="360" w:lineRule="exact"/>
        <w:rPr>
          <w:rFonts w:ascii="Arabic Typesetting" w:eastAsia="Times New Roman" w:hAnsi="Arabic Typesetting" w:cs="Arabic Typesetting"/>
          <w:noProof/>
          <w:sz w:val="36"/>
          <w:szCs w:val="36"/>
        </w:rPr>
      </w:pPr>
      <w:hyperlink w:anchor="_Toc361774219" w:history="1">
        <w:r w:rsidR="00167916" w:rsidRPr="00BD4A81">
          <w:rPr>
            <w:rStyle w:val="Hyperlink"/>
            <w:rFonts w:ascii="Arabic Typesetting" w:hAnsi="Arabic Typesetting" w:cs="Arabic Typesetting"/>
            <w:noProof/>
            <w:color w:val="auto"/>
            <w:sz w:val="36"/>
            <w:szCs w:val="36"/>
            <w:rtl/>
          </w:rPr>
          <w:t>ألف</w:t>
        </w:r>
        <w:r w:rsidR="00167916" w:rsidRPr="00BD4A81">
          <w:rPr>
            <w:rStyle w:val="Hyperlink"/>
            <w:rFonts w:ascii="Arabic Typesetting" w:hAnsi="Arabic Typesetting" w:cs="Arabic Typesetting"/>
            <w:noProof/>
            <w:color w:val="auto"/>
            <w:sz w:val="36"/>
            <w:szCs w:val="36"/>
          </w:rPr>
          <w:t>.</w:t>
        </w:r>
        <w:r w:rsidR="00167916" w:rsidRPr="00BD4A81">
          <w:rPr>
            <w:rFonts w:ascii="Arabic Typesetting" w:eastAsia="Times New Roman" w:hAnsi="Arabic Typesetting" w:cs="Arabic Typesetting"/>
            <w:noProof/>
            <w:sz w:val="36"/>
            <w:szCs w:val="36"/>
          </w:rPr>
          <w:tab/>
        </w:r>
        <w:r w:rsidR="00167916" w:rsidRPr="00BD4A81">
          <w:rPr>
            <w:rStyle w:val="Hyperlink"/>
            <w:rFonts w:ascii="Arabic Typesetting" w:hAnsi="Arabic Typesetting" w:cs="Arabic Typesetting"/>
            <w:noProof/>
            <w:color w:val="auto"/>
            <w:sz w:val="36"/>
            <w:szCs w:val="36"/>
            <w:rtl/>
            <w:lang w:bidi="ar-EG"/>
          </w:rPr>
          <w:t>أعمال المشورة والاستشارة</w:t>
        </w:r>
        <w:r w:rsidR="00167916" w:rsidRPr="00BD4A81">
          <w:rPr>
            <w:rFonts w:ascii="Arabic Typesetting" w:hAnsi="Arabic Typesetting" w:cs="Arabic Typesetting"/>
            <w:noProof/>
            <w:webHidden/>
            <w:sz w:val="36"/>
            <w:szCs w:val="36"/>
          </w:rPr>
          <w:tab/>
        </w:r>
        <w:r w:rsidR="00167916" w:rsidRPr="00BD4A81">
          <w:rPr>
            <w:rFonts w:ascii="Arabic Typesetting" w:hAnsi="Arabic Typesetting" w:cs="Arabic Typesetting"/>
            <w:noProof/>
            <w:webHidden/>
            <w:sz w:val="36"/>
            <w:szCs w:val="36"/>
          </w:rPr>
          <w:fldChar w:fldCharType="begin"/>
        </w:r>
        <w:r w:rsidR="00167916" w:rsidRPr="00BD4A81">
          <w:rPr>
            <w:rFonts w:ascii="Arabic Typesetting" w:hAnsi="Arabic Typesetting" w:cs="Arabic Typesetting"/>
            <w:noProof/>
            <w:webHidden/>
            <w:sz w:val="36"/>
            <w:szCs w:val="36"/>
          </w:rPr>
          <w:instrText xml:space="preserve"> PAGEREF _Toc361774219 \h </w:instrText>
        </w:r>
        <w:r w:rsidR="00167916" w:rsidRPr="00BD4A81">
          <w:rPr>
            <w:rFonts w:ascii="Arabic Typesetting" w:hAnsi="Arabic Typesetting" w:cs="Arabic Typesetting"/>
            <w:noProof/>
            <w:webHidden/>
            <w:sz w:val="36"/>
            <w:szCs w:val="36"/>
          </w:rPr>
        </w:r>
        <w:r w:rsidR="00167916" w:rsidRPr="00BD4A81">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13</w:t>
        </w:r>
        <w:r w:rsidR="00167916" w:rsidRPr="00BD4A81">
          <w:rPr>
            <w:rFonts w:ascii="Arabic Typesetting" w:hAnsi="Arabic Typesetting" w:cs="Arabic Typesetting"/>
            <w:noProof/>
            <w:webHidden/>
            <w:sz w:val="36"/>
            <w:szCs w:val="36"/>
          </w:rPr>
          <w:fldChar w:fldCharType="end"/>
        </w:r>
      </w:hyperlink>
    </w:p>
    <w:p w:rsidR="00167916" w:rsidRPr="00BD4A81" w:rsidRDefault="00BE0778" w:rsidP="0018209F">
      <w:pPr>
        <w:pStyle w:val="TOC2"/>
        <w:bidi/>
        <w:spacing w:line="360" w:lineRule="exact"/>
        <w:rPr>
          <w:rFonts w:ascii="Arabic Typesetting" w:eastAsia="Times New Roman" w:hAnsi="Arabic Typesetting" w:cs="Arabic Typesetting"/>
          <w:noProof/>
          <w:sz w:val="36"/>
          <w:szCs w:val="36"/>
        </w:rPr>
      </w:pPr>
      <w:hyperlink w:anchor="_Toc361774220" w:history="1">
        <w:r w:rsidR="00167916" w:rsidRPr="00BD4A81">
          <w:rPr>
            <w:rStyle w:val="Hyperlink"/>
            <w:rFonts w:ascii="Arabic Typesetting" w:hAnsi="Arabic Typesetting" w:cs="Arabic Typesetting"/>
            <w:noProof/>
            <w:color w:val="auto"/>
            <w:sz w:val="36"/>
            <w:szCs w:val="36"/>
            <w:rtl/>
          </w:rPr>
          <w:t>باء</w:t>
        </w:r>
        <w:r w:rsidR="00167916" w:rsidRPr="00BD4A81">
          <w:rPr>
            <w:rStyle w:val="Hyperlink"/>
            <w:rFonts w:ascii="Arabic Typesetting" w:hAnsi="Arabic Typesetting" w:cs="Arabic Typesetting"/>
            <w:noProof/>
            <w:color w:val="auto"/>
            <w:sz w:val="36"/>
            <w:szCs w:val="36"/>
          </w:rPr>
          <w:t>.</w:t>
        </w:r>
        <w:r w:rsidR="00167916" w:rsidRPr="00BD4A81">
          <w:rPr>
            <w:rFonts w:ascii="Arabic Typesetting" w:eastAsia="Times New Roman" w:hAnsi="Arabic Typesetting" w:cs="Arabic Typesetting"/>
            <w:noProof/>
            <w:sz w:val="36"/>
            <w:szCs w:val="36"/>
          </w:rPr>
          <w:tab/>
        </w:r>
        <w:r w:rsidR="00167916" w:rsidRPr="00BD4A81">
          <w:rPr>
            <w:rStyle w:val="Hyperlink"/>
            <w:rFonts w:ascii="Arabic Typesetting" w:hAnsi="Arabic Typesetting" w:cs="Arabic Typesetting"/>
            <w:noProof/>
            <w:color w:val="auto"/>
            <w:sz w:val="36"/>
            <w:szCs w:val="36"/>
            <w:rtl/>
            <w:lang w:bidi="ar-EG"/>
          </w:rPr>
          <w:t>اللجنة الاستشارية المستقلة للرقابة</w:t>
        </w:r>
        <w:r w:rsidR="00167916" w:rsidRPr="00BD4A81">
          <w:rPr>
            <w:rFonts w:ascii="Arabic Typesetting" w:hAnsi="Arabic Typesetting" w:cs="Arabic Typesetting"/>
            <w:noProof/>
            <w:webHidden/>
            <w:sz w:val="36"/>
            <w:szCs w:val="36"/>
          </w:rPr>
          <w:tab/>
        </w:r>
        <w:r w:rsidR="00167916" w:rsidRPr="00BD4A81">
          <w:rPr>
            <w:rFonts w:ascii="Arabic Typesetting" w:hAnsi="Arabic Typesetting" w:cs="Arabic Typesetting"/>
            <w:noProof/>
            <w:webHidden/>
            <w:sz w:val="36"/>
            <w:szCs w:val="36"/>
          </w:rPr>
          <w:fldChar w:fldCharType="begin"/>
        </w:r>
        <w:r w:rsidR="00167916" w:rsidRPr="00BD4A81">
          <w:rPr>
            <w:rFonts w:ascii="Arabic Typesetting" w:hAnsi="Arabic Typesetting" w:cs="Arabic Typesetting"/>
            <w:noProof/>
            <w:webHidden/>
            <w:sz w:val="36"/>
            <w:szCs w:val="36"/>
          </w:rPr>
          <w:instrText xml:space="preserve"> PAGEREF _Toc361774220 \h </w:instrText>
        </w:r>
        <w:r w:rsidR="00167916" w:rsidRPr="00BD4A81">
          <w:rPr>
            <w:rFonts w:ascii="Arabic Typesetting" w:hAnsi="Arabic Typesetting" w:cs="Arabic Typesetting"/>
            <w:noProof/>
            <w:webHidden/>
            <w:sz w:val="36"/>
            <w:szCs w:val="36"/>
          </w:rPr>
        </w:r>
        <w:r w:rsidR="00167916" w:rsidRPr="00BD4A81">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13</w:t>
        </w:r>
        <w:r w:rsidR="00167916" w:rsidRPr="00BD4A81">
          <w:rPr>
            <w:rFonts w:ascii="Arabic Typesetting" w:hAnsi="Arabic Typesetting" w:cs="Arabic Typesetting"/>
            <w:noProof/>
            <w:webHidden/>
            <w:sz w:val="36"/>
            <w:szCs w:val="36"/>
          </w:rPr>
          <w:fldChar w:fldCharType="end"/>
        </w:r>
      </w:hyperlink>
    </w:p>
    <w:p w:rsidR="00167916" w:rsidRPr="00BD4A81" w:rsidRDefault="00BE0778" w:rsidP="0018209F">
      <w:pPr>
        <w:pStyle w:val="TOC2"/>
        <w:bidi/>
        <w:spacing w:line="360" w:lineRule="exact"/>
        <w:rPr>
          <w:rFonts w:ascii="Arabic Typesetting" w:eastAsia="Times New Roman" w:hAnsi="Arabic Typesetting" w:cs="Arabic Typesetting"/>
          <w:noProof/>
          <w:sz w:val="36"/>
          <w:szCs w:val="36"/>
        </w:rPr>
      </w:pPr>
      <w:hyperlink w:anchor="_Toc361774221" w:history="1">
        <w:r w:rsidR="00167916" w:rsidRPr="00BD4A81">
          <w:rPr>
            <w:rStyle w:val="Hyperlink"/>
            <w:rFonts w:ascii="Arabic Typesetting" w:hAnsi="Arabic Typesetting" w:cs="Arabic Typesetting"/>
            <w:noProof/>
            <w:color w:val="auto"/>
            <w:sz w:val="36"/>
            <w:szCs w:val="36"/>
            <w:rtl/>
          </w:rPr>
          <w:t>جيم</w:t>
        </w:r>
        <w:r w:rsidR="00167916" w:rsidRPr="00BD4A81">
          <w:rPr>
            <w:rStyle w:val="Hyperlink"/>
            <w:rFonts w:ascii="Arabic Typesetting" w:hAnsi="Arabic Typesetting" w:cs="Arabic Typesetting"/>
            <w:noProof/>
            <w:color w:val="auto"/>
            <w:sz w:val="36"/>
            <w:szCs w:val="36"/>
          </w:rPr>
          <w:t>.</w:t>
        </w:r>
        <w:r w:rsidR="00167916" w:rsidRPr="00BD4A81">
          <w:rPr>
            <w:rFonts w:ascii="Arabic Typesetting" w:eastAsia="Times New Roman" w:hAnsi="Arabic Typesetting" w:cs="Arabic Typesetting"/>
            <w:noProof/>
            <w:sz w:val="36"/>
            <w:szCs w:val="36"/>
          </w:rPr>
          <w:tab/>
        </w:r>
        <w:r w:rsidR="00167916" w:rsidRPr="00BD4A81">
          <w:rPr>
            <w:rStyle w:val="Hyperlink"/>
            <w:rFonts w:ascii="Arabic Typesetting" w:hAnsi="Arabic Typesetting" w:cs="Arabic Typesetting"/>
            <w:noProof/>
            <w:color w:val="auto"/>
            <w:sz w:val="36"/>
            <w:szCs w:val="36"/>
            <w:rtl/>
            <w:lang w:bidi="ar-EG"/>
          </w:rPr>
          <w:t>استقصاء رضا العملاء</w:t>
        </w:r>
        <w:r w:rsidR="00167916" w:rsidRPr="00BD4A81">
          <w:rPr>
            <w:rFonts w:ascii="Arabic Typesetting" w:hAnsi="Arabic Typesetting" w:cs="Arabic Typesetting"/>
            <w:noProof/>
            <w:webHidden/>
            <w:sz w:val="36"/>
            <w:szCs w:val="36"/>
          </w:rPr>
          <w:tab/>
        </w:r>
        <w:r w:rsidR="00167916" w:rsidRPr="00BD4A81">
          <w:rPr>
            <w:rFonts w:ascii="Arabic Typesetting" w:hAnsi="Arabic Typesetting" w:cs="Arabic Typesetting"/>
            <w:noProof/>
            <w:webHidden/>
            <w:sz w:val="36"/>
            <w:szCs w:val="36"/>
          </w:rPr>
          <w:fldChar w:fldCharType="begin"/>
        </w:r>
        <w:r w:rsidR="00167916" w:rsidRPr="00BD4A81">
          <w:rPr>
            <w:rFonts w:ascii="Arabic Typesetting" w:hAnsi="Arabic Typesetting" w:cs="Arabic Typesetting"/>
            <w:noProof/>
            <w:webHidden/>
            <w:sz w:val="36"/>
            <w:szCs w:val="36"/>
          </w:rPr>
          <w:instrText xml:space="preserve"> PAGEREF _Toc361774221 \h </w:instrText>
        </w:r>
        <w:r w:rsidR="00167916" w:rsidRPr="00BD4A81">
          <w:rPr>
            <w:rFonts w:ascii="Arabic Typesetting" w:hAnsi="Arabic Typesetting" w:cs="Arabic Typesetting"/>
            <w:noProof/>
            <w:webHidden/>
            <w:sz w:val="36"/>
            <w:szCs w:val="36"/>
          </w:rPr>
        </w:r>
        <w:r w:rsidR="00167916" w:rsidRPr="00BD4A81">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14</w:t>
        </w:r>
        <w:r w:rsidR="00167916" w:rsidRPr="00BD4A81">
          <w:rPr>
            <w:rFonts w:ascii="Arabic Typesetting" w:hAnsi="Arabic Typesetting" w:cs="Arabic Typesetting"/>
            <w:noProof/>
            <w:webHidden/>
            <w:sz w:val="36"/>
            <w:szCs w:val="36"/>
          </w:rPr>
          <w:fldChar w:fldCharType="end"/>
        </w:r>
      </w:hyperlink>
    </w:p>
    <w:p w:rsidR="00167916" w:rsidRPr="00BD4A81" w:rsidRDefault="00BE0778" w:rsidP="0018209F">
      <w:pPr>
        <w:pStyle w:val="TOC2"/>
        <w:bidi/>
        <w:spacing w:line="360" w:lineRule="exact"/>
        <w:rPr>
          <w:rFonts w:ascii="Arabic Typesetting" w:eastAsia="Times New Roman" w:hAnsi="Arabic Typesetting" w:cs="Arabic Typesetting"/>
          <w:noProof/>
          <w:sz w:val="36"/>
          <w:szCs w:val="36"/>
        </w:rPr>
      </w:pPr>
      <w:hyperlink w:anchor="_Toc361774222" w:history="1">
        <w:r w:rsidR="00167916" w:rsidRPr="00BD4A81">
          <w:rPr>
            <w:rStyle w:val="Hyperlink"/>
            <w:rFonts w:ascii="Arabic Typesetting" w:hAnsi="Arabic Typesetting" w:cs="Arabic Typesetting"/>
            <w:noProof/>
            <w:color w:val="auto"/>
            <w:sz w:val="36"/>
            <w:szCs w:val="36"/>
            <w:rtl/>
          </w:rPr>
          <w:t>دال</w:t>
        </w:r>
        <w:r w:rsidR="00167916" w:rsidRPr="00BD4A81">
          <w:rPr>
            <w:rStyle w:val="Hyperlink"/>
            <w:rFonts w:ascii="Arabic Typesetting" w:hAnsi="Arabic Typesetting" w:cs="Arabic Typesetting"/>
            <w:noProof/>
            <w:color w:val="auto"/>
            <w:sz w:val="36"/>
            <w:szCs w:val="36"/>
          </w:rPr>
          <w:t>.</w:t>
        </w:r>
        <w:r w:rsidR="00167916" w:rsidRPr="00BD4A81">
          <w:rPr>
            <w:rFonts w:ascii="Arabic Typesetting" w:eastAsia="Times New Roman" w:hAnsi="Arabic Typesetting" w:cs="Arabic Typesetting"/>
            <w:noProof/>
            <w:sz w:val="36"/>
            <w:szCs w:val="36"/>
          </w:rPr>
          <w:tab/>
        </w:r>
        <w:r w:rsidR="00167916" w:rsidRPr="00BD4A81">
          <w:rPr>
            <w:rStyle w:val="Hyperlink"/>
            <w:rFonts w:ascii="Arabic Typesetting" w:hAnsi="Arabic Typesetting" w:cs="Arabic Typesetting"/>
            <w:noProof/>
            <w:color w:val="auto"/>
            <w:sz w:val="36"/>
            <w:szCs w:val="36"/>
            <w:rtl/>
            <w:lang w:bidi="ar-EG"/>
          </w:rPr>
          <w:t>مراجع الحسابات الخارجي</w:t>
        </w:r>
        <w:r w:rsidR="00167916" w:rsidRPr="00BD4A81">
          <w:rPr>
            <w:rFonts w:ascii="Arabic Typesetting" w:hAnsi="Arabic Typesetting" w:cs="Arabic Typesetting"/>
            <w:noProof/>
            <w:webHidden/>
            <w:sz w:val="36"/>
            <w:szCs w:val="36"/>
          </w:rPr>
          <w:tab/>
        </w:r>
        <w:r w:rsidR="00167916" w:rsidRPr="00BD4A81">
          <w:rPr>
            <w:rFonts w:ascii="Arabic Typesetting" w:hAnsi="Arabic Typesetting" w:cs="Arabic Typesetting"/>
            <w:noProof/>
            <w:webHidden/>
            <w:sz w:val="36"/>
            <w:szCs w:val="36"/>
          </w:rPr>
          <w:fldChar w:fldCharType="begin"/>
        </w:r>
        <w:r w:rsidR="00167916" w:rsidRPr="00BD4A81">
          <w:rPr>
            <w:rFonts w:ascii="Arabic Typesetting" w:hAnsi="Arabic Typesetting" w:cs="Arabic Typesetting"/>
            <w:noProof/>
            <w:webHidden/>
            <w:sz w:val="36"/>
            <w:szCs w:val="36"/>
          </w:rPr>
          <w:instrText xml:space="preserve"> PAGEREF _Toc361774222 \h </w:instrText>
        </w:r>
        <w:r w:rsidR="00167916" w:rsidRPr="00BD4A81">
          <w:rPr>
            <w:rFonts w:ascii="Arabic Typesetting" w:hAnsi="Arabic Typesetting" w:cs="Arabic Typesetting"/>
            <w:noProof/>
            <w:webHidden/>
            <w:sz w:val="36"/>
            <w:szCs w:val="36"/>
          </w:rPr>
        </w:r>
        <w:r w:rsidR="00167916" w:rsidRPr="00BD4A81">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14</w:t>
        </w:r>
        <w:r w:rsidR="00167916" w:rsidRPr="00BD4A81">
          <w:rPr>
            <w:rFonts w:ascii="Arabic Typesetting" w:hAnsi="Arabic Typesetting" w:cs="Arabic Typesetting"/>
            <w:noProof/>
            <w:webHidden/>
            <w:sz w:val="36"/>
            <w:szCs w:val="36"/>
          </w:rPr>
          <w:fldChar w:fldCharType="end"/>
        </w:r>
      </w:hyperlink>
    </w:p>
    <w:p w:rsidR="00167916" w:rsidRPr="00BD4A81" w:rsidRDefault="00BE0778" w:rsidP="0018209F">
      <w:pPr>
        <w:pStyle w:val="TOC2"/>
        <w:bidi/>
        <w:spacing w:line="360" w:lineRule="exact"/>
        <w:rPr>
          <w:rFonts w:ascii="Arabic Typesetting" w:eastAsia="Times New Roman" w:hAnsi="Arabic Typesetting" w:cs="Arabic Typesetting"/>
          <w:noProof/>
          <w:sz w:val="36"/>
          <w:szCs w:val="36"/>
        </w:rPr>
      </w:pPr>
      <w:hyperlink w:anchor="_Toc361774223" w:history="1">
        <w:r w:rsidR="00167916" w:rsidRPr="00BD4A81">
          <w:rPr>
            <w:rStyle w:val="Hyperlink"/>
            <w:rFonts w:ascii="Arabic Typesetting" w:hAnsi="Arabic Typesetting" w:cs="Arabic Typesetting"/>
            <w:noProof/>
            <w:color w:val="auto"/>
            <w:sz w:val="36"/>
            <w:szCs w:val="36"/>
            <w:rtl/>
          </w:rPr>
          <w:t>هاء</w:t>
        </w:r>
        <w:r w:rsidR="00167916" w:rsidRPr="00BD4A81">
          <w:rPr>
            <w:rStyle w:val="Hyperlink"/>
            <w:rFonts w:ascii="Arabic Typesetting" w:hAnsi="Arabic Typesetting" w:cs="Arabic Typesetting"/>
            <w:noProof/>
            <w:color w:val="auto"/>
            <w:sz w:val="36"/>
            <w:szCs w:val="36"/>
          </w:rPr>
          <w:t>.</w:t>
        </w:r>
        <w:r w:rsidR="00167916" w:rsidRPr="00BD4A81">
          <w:rPr>
            <w:rFonts w:ascii="Arabic Typesetting" w:eastAsia="Times New Roman" w:hAnsi="Arabic Typesetting" w:cs="Arabic Typesetting"/>
            <w:noProof/>
            <w:sz w:val="36"/>
            <w:szCs w:val="36"/>
          </w:rPr>
          <w:tab/>
        </w:r>
        <w:r w:rsidR="00167916" w:rsidRPr="00BD4A81">
          <w:rPr>
            <w:rStyle w:val="Hyperlink"/>
            <w:rFonts w:ascii="Arabic Typesetting" w:hAnsi="Arabic Typesetting" w:cs="Arabic Typesetting"/>
            <w:noProof/>
            <w:color w:val="auto"/>
            <w:sz w:val="36"/>
            <w:szCs w:val="36"/>
            <w:rtl/>
            <w:lang w:bidi="ar-EG"/>
          </w:rPr>
          <w:t>أمين المظالم ومكتب الأخلاقيات</w:t>
        </w:r>
        <w:r w:rsidR="00167916" w:rsidRPr="00BD4A81">
          <w:rPr>
            <w:rFonts w:ascii="Arabic Typesetting" w:hAnsi="Arabic Typesetting" w:cs="Arabic Typesetting"/>
            <w:noProof/>
            <w:webHidden/>
            <w:sz w:val="36"/>
            <w:szCs w:val="36"/>
          </w:rPr>
          <w:tab/>
        </w:r>
        <w:r w:rsidR="00167916" w:rsidRPr="00BD4A81">
          <w:rPr>
            <w:rFonts w:ascii="Arabic Typesetting" w:hAnsi="Arabic Typesetting" w:cs="Arabic Typesetting"/>
            <w:noProof/>
            <w:webHidden/>
            <w:sz w:val="36"/>
            <w:szCs w:val="36"/>
          </w:rPr>
          <w:fldChar w:fldCharType="begin"/>
        </w:r>
        <w:r w:rsidR="00167916" w:rsidRPr="00BD4A81">
          <w:rPr>
            <w:rFonts w:ascii="Arabic Typesetting" w:hAnsi="Arabic Typesetting" w:cs="Arabic Typesetting"/>
            <w:noProof/>
            <w:webHidden/>
            <w:sz w:val="36"/>
            <w:szCs w:val="36"/>
          </w:rPr>
          <w:instrText xml:space="preserve"> PAGEREF _Toc361774223 \h </w:instrText>
        </w:r>
        <w:r w:rsidR="00167916" w:rsidRPr="00BD4A81">
          <w:rPr>
            <w:rFonts w:ascii="Arabic Typesetting" w:hAnsi="Arabic Typesetting" w:cs="Arabic Typesetting"/>
            <w:noProof/>
            <w:webHidden/>
            <w:sz w:val="36"/>
            <w:szCs w:val="36"/>
          </w:rPr>
        </w:r>
        <w:r w:rsidR="00167916" w:rsidRPr="00BD4A81">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14</w:t>
        </w:r>
        <w:r w:rsidR="00167916" w:rsidRPr="00BD4A81">
          <w:rPr>
            <w:rFonts w:ascii="Arabic Typesetting" w:hAnsi="Arabic Typesetting" w:cs="Arabic Typesetting"/>
            <w:noProof/>
            <w:webHidden/>
            <w:sz w:val="36"/>
            <w:szCs w:val="36"/>
          </w:rPr>
          <w:fldChar w:fldCharType="end"/>
        </w:r>
      </w:hyperlink>
    </w:p>
    <w:p w:rsidR="00167916" w:rsidRPr="00BD4A81" w:rsidRDefault="00BE0778" w:rsidP="0018209F">
      <w:pPr>
        <w:pStyle w:val="TOC2"/>
        <w:bidi/>
        <w:spacing w:line="360" w:lineRule="exact"/>
        <w:rPr>
          <w:rFonts w:ascii="Arabic Typesetting" w:eastAsia="Times New Roman" w:hAnsi="Arabic Typesetting" w:cs="Arabic Typesetting"/>
          <w:noProof/>
          <w:sz w:val="36"/>
          <w:szCs w:val="36"/>
        </w:rPr>
      </w:pPr>
      <w:hyperlink w:anchor="_Toc361774224" w:history="1">
        <w:r w:rsidR="00167916" w:rsidRPr="00BD4A81">
          <w:rPr>
            <w:rStyle w:val="Hyperlink"/>
            <w:rFonts w:ascii="Arabic Typesetting" w:hAnsi="Arabic Typesetting" w:cs="Arabic Typesetting"/>
            <w:noProof/>
            <w:color w:val="auto"/>
            <w:sz w:val="36"/>
            <w:szCs w:val="36"/>
            <w:rtl/>
          </w:rPr>
          <w:t>واو</w:t>
        </w:r>
        <w:r w:rsidR="00167916" w:rsidRPr="00BD4A81">
          <w:rPr>
            <w:rStyle w:val="Hyperlink"/>
            <w:rFonts w:ascii="Arabic Typesetting" w:hAnsi="Arabic Typesetting" w:cs="Arabic Typesetting"/>
            <w:noProof/>
            <w:color w:val="auto"/>
            <w:sz w:val="36"/>
            <w:szCs w:val="36"/>
          </w:rPr>
          <w:t>.</w:t>
        </w:r>
        <w:r w:rsidR="00167916" w:rsidRPr="00BD4A81">
          <w:rPr>
            <w:rFonts w:ascii="Arabic Typesetting" w:eastAsia="Times New Roman" w:hAnsi="Arabic Typesetting" w:cs="Arabic Typesetting"/>
            <w:noProof/>
            <w:sz w:val="36"/>
            <w:szCs w:val="36"/>
          </w:rPr>
          <w:tab/>
        </w:r>
        <w:r w:rsidR="00167916" w:rsidRPr="00BD4A81">
          <w:rPr>
            <w:rStyle w:val="Hyperlink"/>
            <w:rFonts w:ascii="Arabic Typesetting" w:hAnsi="Arabic Typesetting" w:cs="Arabic Typesetting"/>
            <w:noProof/>
            <w:color w:val="auto"/>
            <w:sz w:val="36"/>
            <w:szCs w:val="36"/>
            <w:rtl/>
            <w:lang w:bidi="ar-EG"/>
          </w:rPr>
          <w:t>الربط الشبكي مع وظائف الرقابة الأخرى</w:t>
        </w:r>
        <w:r w:rsidR="00167916" w:rsidRPr="00BD4A81">
          <w:rPr>
            <w:rFonts w:ascii="Arabic Typesetting" w:hAnsi="Arabic Typesetting" w:cs="Arabic Typesetting"/>
            <w:noProof/>
            <w:webHidden/>
            <w:sz w:val="36"/>
            <w:szCs w:val="36"/>
          </w:rPr>
          <w:tab/>
        </w:r>
        <w:r w:rsidR="00167916" w:rsidRPr="00BD4A81">
          <w:rPr>
            <w:rFonts w:ascii="Arabic Typesetting" w:hAnsi="Arabic Typesetting" w:cs="Arabic Typesetting"/>
            <w:noProof/>
            <w:webHidden/>
            <w:sz w:val="36"/>
            <w:szCs w:val="36"/>
          </w:rPr>
          <w:fldChar w:fldCharType="begin"/>
        </w:r>
        <w:r w:rsidR="00167916" w:rsidRPr="00BD4A81">
          <w:rPr>
            <w:rFonts w:ascii="Arabic Typesetting" w:hAnsi="Arabic Typesetting" w:cs="Arabic Typesetting"/>
            <w:noProof/>
            <w:webHidden/>
            <w:sz w:val="36"/>
            <w:szCs w:val="36"/>
          </w:rPr>
          <w:instrText xml:space="preserve"> PAGEREF _Toc361774224 \h </w:instrText>
        </w:r>
        <w:r w:rsidR="00167916" w:rsidRPr="00BD4A81">
          <w:rPr>
            <w:rFonts w:ascii="Arabic Typesetting" w:hAnsi="Arabic Typesetting" w:cs="Arabic Typesetting"/>
            <w:noProof/>
            <w:webHidden/>
            <w:sz w:val="36"/>
            <w:szCs w:val="36"/>
          </w:rPr>
        </w:r>
        <w:r w:rsidR="00167916" w:rsidRPr="00BD4A81">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14</w:t>
        </w:r>
        <w:r w:rsidR="00167916" w:rsidRPr="00BD4A81">
          <w:rPr>
            <w:rFonts w:ascii="Arabic Typesetting" w:hAnsi="Arabic Typesetting" w:cs="Arabic Typesetting"/>
            <w:noProof/>
            <w:webHidden/>
            <w:sz w:val="36"/>
            <w:szCs w:val="36"/>
          </w:rPr>
          <w:fldChar w:fldCharType="end"/>
        </w:r>
      </w:hyperlink>
    </w:p>
    <w:p w:rsidR="00167916" w:rsidRPr="00BD4A81" w:rsidRDefault="00BE0778" w:rsidP="0018209F">
      <w:pPr>
        <w:pStyle w:val="TOC2"/>
        <w:bidi/>
        <w:spacing w:line="360" w:lineRule="exact"/>
        <w:rPr>
          <w:rFonts w:ascii="Arabic Typesetting" w:eastAsia="Times New Roman" w:hAnsi="Arabic Typesetting" w:cs="Arabic Typesetting"/>
          <w:noProof/>
          <w:sz w:val="36"/>
          <w:szCs w:val="36"/>
        </w:rPr>
      </w:pPr>
      <w:hyperlink w:anchor="_Toc361774225" w:history="1">
        <w:r w:rsidR="00167916" w:rsidRPr="00BD4A81">
          <w:rPr>
            <w:rStyle w:val="Hyperlink"/>
            <w:rFonts w:ascii="Arabic Typesetting" w:hAnsi="Arabic Typesetting" w:cs="Arabic Typesetting"/>
            <w:noProof/>
            <w:color w:val="auto"/>
            <w:sz w:val="36"/>
            <w:szCs w:val="36"/>
            <w:rtl/>
            <w:lang w:bidi="ar-EG"/>
          </w:rPr>
          <w:t>زاي</w:t>
        </w:r>
        <w:r w:rsidR="00167916" w:rsidRPr="00BD4A81">
          <w:rPr>
            <w:rStyle w:val="Hyperlink"/>
            <w:rFonts w:ascii="Arabic Typesetting" w:hAnsi="Arabic Typesetting" w:cs="Arabic Typesetting"/>
            <w:noProof/>
            <w:color w:val="auto"/>
            <w:sz w:val="36"/>
            <w:szCs w:val="36"/>
          </w:rPr>
          <w:t>.</w:t>
        </w:r>
        <w:r w:rsidR="00167916" w:rsidRPr="00BD4A81">
          <w:rPr>
            <w:rFonts w:ascii="Arabic Typesetting" w:eastAsia="Times New Roman" w:hAnsi="Arabic Typesetting" w:cs="Arabic Typesetting"/>
            <w:noProof/>
            <w:sz w:val="36"/>
            <w:szCs w:val="36"/>
          </w:rPr>
          <w:tab/>
        </w:r>
        <w:r w:rsidR="00167916" w:rsidRPr="00BD4A81">
          <w:rPr>
            <w:rStyle w:val="Hyperlink"/>
            <w:rFonts w:ascii="Arabic Typesetting" w:hAnsi="Arabic Typesetting" w:cs="Arabic Typesetting"/>
            <w:noProof/>
            <w:color w:val="auto"/>
            <w:sz w:val="36"/>
            <w:szCs w:val="36"/>
            <w:rtl/>
            <w:lang w:bidi="ar-EG"/>
          </w:rPr>
          <w:t>ندوة التقييم</w:t>
        </w:r>
        <w:r w:rsidR="00167916" w:rsidRPr="00BD4A81">
          <w:rPr>
            <w:rFonts w:ascii="Arabic Typesetting" w:hAnsi="Arabic Typesetting" w:cs="Arabic Typesetting"/>
            <w:noProof/>
            <w:webHidden/>
            <w:sz w:val="36"/>
            <w:szCs w:val="36"/>
          </w:rPr>
          <w:tab/>
        </w:r>
        <w:r w:rsidR="00167916" w:rsidRPr="00BD4A81">
          <w:rPr>
            <w:rFonts w:ascii="Arabic Typesetting" w:hAnsi="Arabic Typesetting" w:cs="Arabic Typesetting"/>
            <w:noProof/>
            <w:webHidden/>
            <w:sz w:val="36"/>
            <w:szCs w:val="36"/>
          </w:rPr>
          <w:fldChar w:fldCharType="begin"/>
        </w:r>
        <w:r w:rsidR="00167916" w:rsidRPr="00BD4A81">
          <w:rPr>
            <w:rFonts w:ascii="Arabic Typesetting" w:hAnsi="Arabic Typesetting" w:cs="Arabic Typesetting"/>
            <w:noProof/>
            <w:webHidden/>
            <w:sz w:val="36"/>
            <w:szCs w:val="36"/>
          </w:rPr>
          <w:instrText xml:space="preserve"> PAGEREF _Toc361774225 \h </w:instrText>
        </w:r>
        <w:r w:rsidR="00167916" w:rsidRPr="00BD4A81">
          <w:rPr>
            <w:rFonts w:ascii="Arabic Typesetting" w:hAnsi="Arabic Typesetting" w:cs="Arabic Typesetting"/>
            <w:noProof/>
            <w:webHidden/>
            <w:sz w:val="36"/>
            <w:szCs w:val="36"/>
          </w:rPr>
        </w:r>
        <w:r w:rsidR="00167916" w:rsidRPr="00BD4A81">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15</w:t>
        </w:r>
        <w:r w:rsidR="00167916" w:rsidRPr="00BD4A81">
          <w:rPr>
            <w:rFonts w:ascii="Arabic Typesetting" w:hAnsi="Arabic Typesetting" w:cs="Arabic Typesetting"/>
            <w:noProof/>
            <w:webHidden/>
            <w:sz w:val="36"/>
            <w:szCs w:val="36"/>
          </w:rPr>
          <w:fldChar w:fldCharType="end"/>
        </w:r>
      </w:hyperlink>
    </w:p>
    <w:p w:rsidR="00167916" w:rsidRPr="00BD4A81" w:rsidRDefault="00BE0778" w:rsidP="0018209F">
      <w:pPr>
        <w:pStyle w:val="TOC2"/>
        <w:bidi/>
        <w:spacing w:line="360" w:lineRule="exact"/>
        <w:rPr>
          <w:rFonts w:ascii="Arabic Typesetting" w:eastAsia="Times New Roman" w:hAnsi="Arabic Typesetting" w:cs="Arabic Typesetting"/>
          <w:noProof/>
          <w:sz w:val="36"/>
          <w:szCs w:val="36"/>
        </w:rPr>
      </w:pPr>
      <w:hyperlink w:anchor="_Toc361774226" w:history="1">
        <w:r w:rsidR="00167916" w:rsidRPr="00BD4A81">
          <w:rPr>
            <w:rStyle w:val="Hyperlink"/>
            <w:rFonts w:ascii="Arabic Typesetting" w:hAnsi="Arabic Typesetting" w:cs="Arabic Typesetting"/>
            <w:noProof/>
            <w:color w:val="auto"/>
            <w:sz w:val="36"/>
            <w:szCs w:val="36"/>
            <w:rtl/>
          </w:rPr>
          <w:t>حاء</w:t>
        </w:r>
        <w:r w:rsidR="00167916" w:rsidRPr="00BD4A81">
          <w:rPr>
            <w:rStyle w:val="Hyperlink"/>
            <w:rFonts w:ascii="Arabic Typesetting" w:hAnsi="Arabic Typesetting" w:cs="Arabic Typesetting"/>
            <w:noProof/>
            <w:color w:val="auto"/>
            <w:sz w:val="36"/>
            <w:szCs w:val="36"/>
          </w:rPr>
          <w:t>.</w:t>
        </w:r>
        <w:r w:rsidR="00167916" w:rsidRPr="00BD4A81">
          <w:rPr>
            <w:rFonts w:ascii="Arabic Typesetting" w:eastAsia="Times New Roman" w:hAnsi="Arabic Typesetting" w:cs="Arabic Typesetting"/>
            <w:noProof/>
            <w:sz w:val="36"/>
            <w:szCs w:val="36"/>
          </w:rPr>
          <w:tab/>
        </w:r>
        <w:r w:rsidR="00167916" w:rsidRPr="00BD4A81">
          <w:rPr>
            <w:rStyle w:val="Hyperlink"/>
            <w:rFonts w:ascii="Arabic Typesetting" w:hAnsi="Arabic Typesetting" w:cs="Arabic Typesetting"/>
            <w:noProof/>
            <w:color w:val="auto"/>
            <w:sz w:val="36"/>
            <w:szCs w:val="36"/>
            <w:rtl/>
            <w:lang w:bidi="ar-EG"/>
          </w:rPr>
          <w:t>أنشطة توعية الزملاء في المنظمة</w:t>
        </w:r>
        <w:r w:rsidR="00167916" w:rsidRPr="00BD4A81">
          <w:rPr>
            <w:rFonts w:ascii="Arabic Typesetting" w:hAnsi="Arabic Typesetting" w:cs="Arabic Typesetting"/>
            <w:noProof/>
            <w:webHidden/>
            <w:sz w:val="36"/>
            <w:szCs w:val="36"/>
          </w:rPr>
          <w:tab/>
        </w:r>
        <w:r w:rsidR="00167916" w:rsidRPr="00BD4A81">
          <w:rPr>
            <w:rFonts w:ascii="Arabic Typesetting" w:hAnsi="Arabic Typesetting" w:cs="Arabic Typesetting"/>
            <w:noProof/>
            <w:webHidden/>
            <w:sz w:val="36"/>
            <w:szCs w:val="36"/>
          </w:rPr>
          <w:fldChar w:fldCharType="begin"/>
        </w:r>
        <w:r w:rsidR="00167916" w:rsidRPr="00BD4A81">
          <w:rPr>
            <w:rFonts w:ascii="Arabic Typesetting" w:hAnsi="Arabic Typesetting" w:cs="Arabic Typesetting"/>
            <w:noProof/>
            <w:webHidden/>
            <w:sz w:val="36"/>
            <w:szCs w:val="36"/>
          </w:rPr>
          <w:instrText xml:space="preserve"> PAGEREF _Toc361774226 \h </w:instrText>
        </w:r>
        <w:r w:rsidR="00167916" w:rsidRPr="00BD4A81">
          <w:rPr>
            <w:rFonts w:ascii="Arabic Typesetting" w:hAnsi="Arabic Typesetting" w:cs="Arabic Typesetting"/>
            <w:noProof/>
            <w:webHidden/>
            <w:sz w:val="36"/>
            <w:szCs w:val="36"/>
          </w:rPr>
        </w:r>
        <w:r w:rsidR="00167916" w:rsidRPr="00BD4A81">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15</w:t>
        </w:r>
        <w:r w:rsidR="00167916" w:rsidRPr="00BD4A81">
          <w:rPr>
            <w:rFonts w:ascii="Arabic Typesetting" w:hAnsi="Arabic Typesetting" w:cs="Arabic Typesetting"/>
            <w:noProof/>
            <w:webHidden/>
            <w:sz w:val="36"/>
            <w:szCs w:val="36"/>
          </w:rPr>
          <w:fldChar w:fldCharType="end"/>
        </w:r>
      </w:hyperlink>
    </w:p>
    <w:p w:rsidR="00167916" w:rsidRPr="00BD4A81" w:rsidRDefault="00BE0778" w:rsidP="00286548">
      <w:pPr>
        <w:pStyle w:val="TOC1"/>
        <w:tabs>
          <w:tab w:val="left" w:pos="555"/>
          <w:tab w:val="right" w:leader="dot" w:pos="9345"/>
        </w:tabs>
        <w:bidi/>
        <w:spacing w:line="360" w:lineRule="exact"/>
        <w:rPr>
          <w:rStyle w:val="Hyperlink"/>
          <w:rFonts w:ascii="Arabic Typesetting" w:hAnsi="Arabic Typesetting" w:cs="Arabic Typesetting"/>
          <w:noProof/>
          <w:color w:val="auto"/>
          <w:sz w:val="36"/>
          <w:szCs w:val="36"/>
        </w:rPr>
      </w:pPr>
      <w:hyperlink w:anchor="_Toc361774227" w:history="1">
        <w:r w:rsidR="00167916" w:rsidRPr="00BD4A81">
          <w:rPr>
            <w:rStyle w:val="Hyperlink"/>
            <w:rFonts w:ascii="Arabic Typesetting" w:eastAsia="Times New Roman" w:hAnsi="Arabic Typesetting" w:cs="Arabic Typesetting"/>
            <w:noProof/>
            <w:color w:val="auto"/>
            <w:sz w:val="36"/>
            <w:szCs w:val="36"/>
          </w:rPr>
          <w:t>8</w:t>
        </w:r>
        <w:r w:rsidR="00286548" w:rsidRPr="00BD4A81">
          <w:rPr>
            <w:rStyle w:val="Hyperlink"/>
            <w:rFonts w:ascii="Arabic Typesetting" w:eastAsia="Times New Roman" w:hAnsi="Arabic Typesetting" w:cs="Arabic Typesetting"/>
            <w:noProof/>
            <w:color w:val="auto"/>
            <w:sz w:val="36"/>
            <w:szCs w:val="36"/>
            <w:rtl/>
          </w:rPr>
          <w:t>.</w:t>
        </w:r>
        <w:r w:rsidR="00167916" w:rsidRPr="00BD4A81">
          <w:rPr>
            <w:rStyle w:val="Hyperlink"/>
            <w:rFonts w:ascii="Arabic Typesetting" w:eastAsia="Times New Roman" w:hAnsi="Arabic Typesetting" w:cs="Arabic Typesetting"/>
            <w:noProof/>
            <w:color w:val="auto"/>
            <w:sz w:val="36"/>
            <w:szCs w:val="36"/>
          </w:rPr>
          <w:tab/>
        </w:r>
        <w:r w:rsidR="00167916" w:rsidRPr="00BD4A81">
          <w:rPr>
            <w:rStyle w:val="Hyperlink"/>
            <w:rFonts w:ascii="Arabic Typesetting" w:hAnsi="Arabic Typesetting" w:cs="Arabic Typesetting"/>
            <w:noProof/>
            <w:color w:val="auto"/>
            <w:sz w:val="36"/>
            <w:szCs w:val="36"/>
            <w:rtl/>
          </w:rPr>
          <w:t>موارد الرقابة الداخلية</w:t>
        </w:r>
        <w:r w:rsidR="00167916" w:rsidRPr="00BD4A81">
          <w:rPr>
            <w:rStyle w:val="Hyperlink"/>
            <w:rFonts w:ascii="Arabic Typesetting" w:eastAsia="Times New Roman" w:hAnsi="Arabic Typesetting" w:cs="Arabic Typesetting"/>
            <w:noProof/>
            <w:webHidden/>
            <w:color w:val="auto"/>
            <w:sz w:val="36"/>
            <w:szCs w:val="36"/>
          </w:rPr>
          <w:tab/>
        </w:r>
        <w:r w:rsidR="00167916" w:rsidRPr="00BD4A81">
          <w:rPr>
            <w:rStyle w:val="Hyperlink"/>
            <w:rFonts w:ascii="Arabic Typesetting" w:eastAsia="Times New Roman" w:hAnsi="Arabic Typesetting" w:cs="Arabic Typesetting"/>
            <w:noProof/>
            <w:webHidden/>
            <w:color w:val="auto"/>
            <w:sz w:val="36"/>
            <w:szCs w:val="36"/>
          </w:rPr>
          <w:fldChar w:fldCharType="begin"/>
        </w:r>
        <w:r w:rsidR="00167916" w:rsidRPr="00BD4A81">
          <w:rPr>
            <w:rStyle w:val="Hyperlink"/>
            <w:rFonts w:ascii="Arabic Typesetting" w:eastAsia="Times New Roman" w:hAnsi="Arabic Typesetting" w:cs="Arabic Typesetting"/>
            <w:noProof/>
            <w:webHidden/>
            <w:color w:val="auto"/>
            <w:sz w:val="36"/>
            <w:szCs w:val="36"/>
          </w:rPr>
          <w:instrText xml:space="preserve"> PAGEREF _Toc361774227 \h </w:instrText>
        </w:r>
        <w:r w:rsidR="00167916" w:rsidRPr="00BD4A81">
          <w:rPr>
            <w:rStyle w:val="Hyperlink"/>
            <w:rFonts w:ascii="Arabic Typesetting" w:eastAsia="Times New Roman" w:hAnsi="Arabic Typesetting" w:cs="Arabic Typesetting"/>
            <w:noProof/>
            <w:webHidden/>
            <w:color w:val="auto"/>
            <w:sz w:val="36"/>
            <w:szCs w:val="36"/>
          </w:rPr>
        </w:r>
        <w:r w:rsidR="00167916" w:rsidRPr="00BD4A81">
          <w:rPr>
            <w:rStyle w:val="Hyperlink"/>
            <w:rFonts w:ascii="Arabic Typesetting" w:eastAsia="Times New Roman" w:hAnsi="Arabic Typesetting" w:cs="Arabic Typesetting"/>
            <w:noProof/>
            <w:webHidden/>
            <w:color w:val="auto"/>
            <w:sz w:val="36"/>
            <w:szCs w:val="36"/>
          </w:rPr>
          <w:fldChar w:fldCharType="separate"/>
        </w:r>
        <w:r>
          <w:rPr>
            <w:rStyle w:val="Hyperlink"/>
            <w:rFonts w:ascii="Arabic Typesetting" w:eastAsia="Times New Roman" w:hAnsi="Arabic Typesetting" w:cs="Arabic Typesetting"/>
            <w:noProof/>
            <w:webHidden/>
            <w:color w:val="auto"/>
            <w:sz w:val="36"/>
            <w:szCs w:val="36"/>
            <w:rtl/>
          </w:rPr>
          <w:t>16</w:t>
        </w:r>
        <w:r w:rsidR="00167916" w:rsidRPr="00BD4A81">
          <w:rPr>
            <w:rStyle w:val="Hyperlink"/>
            <w:rFonts w:ascii="Arabic Typesetting" w:eastAsia="Times New Roman" w:hAnsi="Arabic Typesetting" w:cs="Arabic Typesetting"/>
            <w:noProof/>
            <w:webHidden/>
            <w:color w:val="auto"/>
            <w:sz w:val="36"/>
            <w:szCs w:val="36"/>
          </w:rPr>
          <w:fldChar w:fldCharType="end"/>
        </w:r>
      </w:hyperlink>
    </w:p>
    <w:p w:rsidR="00167916" w:rsidRPr="00BD4A81" w:rsidRDefault="00BE0778" w:rsidP="004D54E9">
      <w:pPr>
        <w:pStyle w:val="TOC2"/>
        <w:bidi/>
        <w:spacing w:line="360" w:lineRule="exact"/>
        <w:rPr>
          <w:rStyle w:val="Hyperlink"/>
          <w:rFonts w:ascii="Arabic Typesetting" w:hAnsi="Arabic Typesetting" w:cs="Arabic Typesetting"/>
          <w:noProof/>
          <w:color w:val="auto"/>
          <w:sz w:val="36"/>
          <w:szCs w:val="36"/>
          <w:lang w:bidi="ar-EG"/>
        </w:rPr>
      </w:pPr>
      <w:hyperlink w:anchor="_Toc361774228" w:history="1">
        <w:r w:rsidR="00167916" w:rsidRPr="00BD4A81">
          <w:rPr>
            <w:rStyle w:val="Hyperlink"/>
            <w:rFonts w:ascii="Arabic Typesetting" w:hAnsi="Arabic Typesetting" w:cs="Arabic Typesetting"/>
            <w:noProof/>
            <w:color w:val="auto"/>
            <w:sz w:val="36"/>
            <w:szCs w:val="36"/>
            <w:rtl/>
            <w:lang w:bidi="ar-EG"/>
          </w:rPr>
          <w:t>ألف</w:t>
        </w:r>
        <w:r w:rsidR="00167916" w:rsidRPr="00BD4A81">
          <w:rPr>
            <w:rStyle w:val="Hyperlink"/>
            <w:rFonts w:ascii="Arabic Typesetting" w:hAnsi="Arabic Typesetting" w:cs="Arabic Typesetting"/>
            <w:noProof/>
            <w:color w:val="auto"/>
            <w:sz w:val="36"/>
            <w:szCs w:val="36"/>
            <w:lang w:bidi="ar-EG"/>
          </w:rPr>
          <w:t>.</w:t>
        </w:r>
        <w:r w:rsidR="00167916" w:rsidRPr="00BD4A81">
          <w:rPr>
            <w:rStyle w:val="Hyperlink"/>
            <w:rFonts w:ascii="Arabic Typesetting" w:hAnsi="Arabic Typesetting" w:cs="Arabic Typesetting"/>
            <w:noProof/>
            <w:color w:val="auto"/>
            <w:sz w:val="36"/>
            <w:szCs w:val="36"/>
            <w:lang w:bidi="ar-EG"/>
          </w:rPr>
          <w:tab/>
        </w:r>
        <w:r w:rsidR="00167916" w:rsidRPr="00BD4A81">
          <w:rPr>
            <w:rStyle w:val="Hyperlink"/>
            <w:rFonts w:ascii="Arabic Typesetting" w:hAnsi="Arabic Typesetting" w:cs="Arabic Typesetting"/>
            <w:noProof/>
            <w:color w:val="auto"/>
            <w:sz w:val="36"/>
            <w:szCs w:val="36"/>
            <w:rtl/>
            <w:lang w:bidi="ar-EG"/>
          </w:rPr>
          <w:t>الميزانية والموظفون</w:t>
        </w:r>
        <w:r w:rsidR="00167916" w:rsidRPr="00BD4A81">
          <w:rPr>
            <w:rStyle w:val="Hyperlink"/>
            <w:rFonts w:ascii="Arabic Typesetting" w:hAnsi="Arabic Typesetting" w:cs="Arabic Typesetting"/>
            <w:noProof/>
            <w:webHidden/>
            <w:color w:val="auto"/>
            <w:sz w:val="36"/>
            <w:szCs w:val="36"/>
            <w:lang w:bidi="ar-EG"/>
          </w:rPr>
          <w:tab/>
        </w:r>
        <w:r w:rsidR="00167916" w:rsidRPr="00BD4A81">
          <w:rPr>
            <w:rStyle w:val="Hyperlink"/>
            <w:rFonts w:ascii="Arabic Typesetting" w:hAnsi="Arabic Typesetting" w:cs="Arabic Typesetting"/>
            <w:noProof/>
            <w:webHidden/>
            <w:color w:val="auto"/>
            <w:sz w:val="36"/>
            <w:szCs w:val="36"/>
            <w:lang w:bidi="ar-EG"/>
          </w:rPr>
          <w:fldChar w:fldCharType="begin"/>
        </w:r>
        <w:r w:rsidR="00167916" w:rsidRPr="00BD4A81">
          <w:rPr>
            <w:rStyle w:val="Hyperlink"/>
            <w:rFonts w:ascii="Arabic Typesetting" w:hAnsi="Arabic Typesetting" w:cs="Arabic Typesetting"/>
            <w:noProof/>
            <w:webHidden/>
            <w:color w:val="auto"/>
            <w:sz w:val="36"/>
            <w:szCs w:val="36"/>
            <w:lang w:bidi="ar-EG"/>
          </w:rPr>
          <w:instrText xml:space="preserve"> PAGEREF _Toc361774228 \h </w:instrText>
        </w:r>
        <w:r w:rsidR="00167916" w:rsidRPr="00BD4A81">
          <w:rPr>
            <w:rStyle w:val="Hyperlink"/>
            <w:rFonts w:ascii="Arabic Typesetting" w:hAnsi="Arabic Typesetting" w:cs="Arabic Typesetting"/>
            <w:noProof/>
            <w:webHidden/>
            <w:color w:val="auto"/>
            <w:sz w:val="36"/>
            <w:szCs w:val="36"/>
            <w:lang w:bidi="ar-EG"/>
          </w:rPr>
        </w:r>
        <w:r w:rsidR="00167916" w:rsidRPr="00BD4A81">
          <w:rPr>
            <w:rStyle w:val="Hyperlink"/>
            <w:rFonts w:ascii="Arabic Typesetting" w:hAnsi="Arabic Typesetting" w:cs="Arabic Typesetting"/>
            <w:noProof/>
            <w:webHidden/>
            <w:color w:val="auto"/>
            <w:sz w:val="36"/>
            <w:szCs w:val="36"/>
            <w:lang w:bidi="ar-EG"/>
          </w:rPr>
          <w:fldChar w:fldCharType="separate"/>
        </w:r>
        <w:r>
          <w:rPr>
            <w:rStyle w:val="Hyperlink"/>
            <w:rFonts w:ascii="Arabic Typesetting" w:hAnsi="Arabic Typesetting" w:cs="Arabic Typesetting"/>
            <w:noProof/>
            <w:webHidden/>
            <w:color w:val="auto"/>
            <w:sz w:val="36"/>
            <w:szCs w:val="36"/>
            <w:rtl/>
            <w:lang w:bidi="ar-EG"/>
          </w:rPr>
          <w:t>16</w:t>
        </w:r>
        <w:r w:rsidR="00167916" w:rsidRPr="00BD4A81">
          <w:rPr>
            <w:rStyle w:val="Hyperlink"/>
            <w:rFonts w:ascii="Arabic Typesetting" w:hAnsi="Arabic Typesetting" w:cs="Arabic Typesetting"/>
            <w:noProof/>
            <w:webHidden/>
            <w:color w:val="auto"/>
            <w:sz w:val="36"/>
            <w:szCs w:val="36"/>
            <w:lang w:bidi="ar-EG"/>
          </w:rPr>
          <w:fldChar w:fldCharType="end"/>
        </w:r>
      </w:hyperlink>
    </w:p>
    <w:p w:rsidR="00167916" w:rsidRPr="00BD4A81" w:rsidRDefault="00BE0778" w:rsidP="0018209F">
      <w:pPr>
        <w:pStyle w:val="TOC2"/>
        <w:bidi/>
        <w:spacing w:line="360" w:lineRule="exact"/>
        <w:rPr>
          <w:rStyle w:val="Hyperlink"/>
          <w:rFonts w:ascii="Arabic Typesetting" w:hAnsi="Arabic Typesetting" w:cs="Arabic Typesetting"/>
          <w:noProof/>
          <w:color w:val="auto"/>
          <w:sz w:val="36"/>
          <w:szCs w:val="36"/>
          <w:lang w:bidi="ar-EG"/>
        </w:rPr>
      </w:pPr>
      <w:hyperlink w:anchor="_Toc361774229" w:history="1">
        <w:r w:rsidR="00167916" w:rsidRPr="00BD4A81">
          <w:rPr>
            <w:rStyle w:val="Hyperlink"/>
            <w:rFonts w:ascii="Arabic Typesetting" w:hAnsi="Arabic Typesetting" w:cs="Arabic Typesetting"/>
            <w:noProof/>
            <w:color w:val="auto"/>
            <w:sz w:val="36"/>
            <w:szCs w:val="36"/>
            <w:rtl/>
            <w:lang w:bidi="ar-EG"/>
          </w:rPr>
          <w:t>باء</w:t>
        </w:r>
        <w:r w:rsidR="00167916" w:rsidRPr="00BD4A81">
          <w:rPr>
            <w:rStyle w:val="Hyperlink"/>
            <w:rFonts w:ascii="Arabic Typesetting" w:hAnsi="Arabic Typesetting" w:cs="Arabic Typesetting"/>
            <w:noProof/>
            <w:color w:val="auto"/>
            <w:sz w:val="36"/>
            <w:szCs w:val="36"/>
            <w:lang w:bidi="ar-EG"/>
          </w:rPr>
          <w:t>.</w:t>
        </w:r>
        <w:r w:rsidR="00167916" w:rsidRPr="00BD4A81">
          <w:rPr>
            <w:rStyle w:val="Hyperlink"/>
            <w:rFonts w:ascii="Arabic Typesetting" w:hAnsi="Arabic Typesetting" w:cs="Arabic Typesetting"/>
            <w:noProof/>
            <w:color w:val="auto"/>
            <w:sz w:val="36"/>
            <w:szCs w:val="36"/>
            <w:lang w:bidi="ar-EG"/>
          </w:rPr>
          <w:tab/>
        </w:r>
        <w:r w:rsidR="00167916" w:rsidRPr="00BD4A81">
          <w:rPr>
            <w:rStyle w:val="Hyperlink"/>
            <w:rFonts w:ascii="Arabic Typesetting" w:hAnsi="Arabic Typesetting" w:cs="Arabic Typesetting"/>
            <w:noProof/>
            <w:color w:val="auto"/>
            <w:sz w:val="36"/>
            <w:szCs w:val="36"/>
            <w:rtl/>
            <w:lang w:bidi="ar-EG"/>
          </w:rPr>
          <w:t>التدريب</w:t>
        </w:r>
        <w:r w:rsidR="00167916" w:rsidRPr="00BD4A81">
          <w:rPr>
            <w:rStyle w:val="Hyperlink"/>
            <w:rFonts w:ascii="Arabic Typesetting" w:hAnsi="Arabic Typesetting" w:cs="Arabic Typesetting"/>
            <w:noProof/>
            <w:webHidden/>
            <w:color w:val="auto"/>
            <w:sz w:val="36"/>
            <w:szCs w:val="36"/>
            <w:lang w:bidi="ar-EG"/>
          </w:rPr>
          <w:tab/>
        </w:r>
        <w:r w:rsidR="00167916" w:rsidRPr="00BD4A81">
          <w:rPr>
            <w:rStyle w:val="Hyperlink"/>
            <w:rFonts w:ascii="Arabic Typesetting" w:hAnsi="Arabic Typesetting" w:cs="Arabic Typesetting"/>
            <w:noProof/>
            <w:webHidden/>
            <w:color w:val="auto"/>
            <w:sz w:val="36"/>
            <w:szCs w:val="36"/>
            <w:lang w:bidi="ar-EG"/>
          </w:rPr>
          <w:fldChar w:fldCharType="begin"/>
        </w:r>
        <w:r w:rsidR="00167916" w:rsidRPr="00BD4A81">
          <w:rPr>
            <w:rStyle w:val="Hyperlink"/>
            <w:rFonts w:ascii="Arabic Typesetting" w:hAnsi="Arabic Typesetting" w:cs="Arabic Typesetting"/>
            <w:noProof/>
            <w:webHidden/>
            <w:color w:val="auto"/>
            <w:sz w:val="36"/>
            <w:szCs w:val="36"/>
            <w:lang w:bidi="ar-EG"/>
          </w:rPr>
          <w:instrText xml:space="preserve"> PAGEREF _Toc361774229 \h </w:instrText>
        </w:r>
        <w:r w:rsidR="00167916" w:rsidRPr="00BD4A81">
          <w:rPr>
            <w:rStyle w:val="Hyperlink"/>
            <w:rFonts w:ascii="Arabic Typesetting" w:hAnsi="Arabic Typesetting" w:cs="Arabic Typesetting"/>
            <w:noProof/>
            <w:webHidden/>
            <w:color w:val="auto"/>
            <w:sz w:val="36"/>
            <w:szCs w:val="36"/>
            <w:lang w:bidi="ar-EG"/>
          </w:rPr>
        </w:r>
        <w:r w:rsidR="00167916" w:rsidRPr="00BD4A81">
          <w:rPr>
            <w:rStyle w:val="Hyperlink"/>
            <w:rFonts w:ascii="Arabic Typesetting" w:hAnsi="Arabic Typesetting" w:cs="Arabic Typesetting"/>
            <w:noProof/>
            <w:webHidden/>
            <w:color w:val="auto"/>
            <w:sz w:val="36"/>
            <w:szCs w:val="36"/>
            <w:lang w:bidi="ar-EG"/>
          </w:rPr>
          <w:fldChar w:fldCharType="separate"/>
        </w:r>
        <w:r>
          <w:rPr>
            <w:rStyle w:val="Hyperlink"/>
            <w:rFonts w:ascii="Arabic Typesetting" w:hAnsi="Arabic Typesetting" w:cs="Arabic Typesetting"/>
            <w:noProof/>
            <w:webHidden/>
            <w:color w:val="auto"/>
            <w:sz w:val="36"/>
            <w:szCs w:val="36"/>
            <w:rtl/>
            <w:lang w:bidi="ar-EG"/>
          </w:rPr>
          <w:t>17</w:t>
        </w:r>
        <w:r w:rsidR="00167916" w:rsidRPr="00BD4A81">
          <w:rPr>
            <w:rStyle w:val="Hyperlink"/>
            <w:rFonts w:ascii="Arabic Typesetting" w:hAnsi="Arabic Typesetting" w:cs="Arabic Typesetting"/>
            <w:noProof/>
            <w:webHidden/>
            <w:color w:val="auto"/>
            <w:sz w:val="36"/>
            <w:szCs w:val="36"/>
            <w:lang w:bidi="ar-EG"/>
          </w:rPr>
          <w:fldChar w:fldCharType="end"/>
        </w:r>
      </w:hyperlink>
    </w:p>
    <w:p w:rsidR="00167916" w:rsidRPr="00727D92" w:rsidRDefault="00167916" w:rsidP="00010AA6">
      <w:pPr>
        <w:pStyle w:val="TOC2"/>
        <w:bidi/>
        <w:spacing w:line="360" w:lineRule="exact"/>
        <w:rPr>
          <w:rFonts w:ascii="Arabic Typesetting" w:hAnsi="Arabic Typesetting" w:cs="Arabic Typesetting"/>
          <w:sz w:val="36"/>
          <w:szCs w:val="36"/>
        </w:rPr>
      </w:pPr>
      <w:r w:rsidRPr="00BD4A81">
        <w:rPr>
          <w:rFonts w:ascii="Arabic Typesetting" w:hAnsi="Arabic Typesetting" w:cs="Arabic Typesetting"/>
        </w:rPr>
        <w:fldChar w:fldCharType="end"/>
      </w:r>
    </w:p>
    <w:p w:rsidR="00167916" w:rsidRPr="00727D92" w:rsidRDefault="00167916" w:rsidP="00480F12">
      <w:pPr>
        <w:keepLines/>
        <w:bidi/>
        <w:jc w:val="center"/>
        <w:rPr>
          <w:rFonts w:ascii="Arabic Typesetting" w:hAnsi="Arabic Typesetting" w:cs="Arabic Typesetting"/>
          <w:b/>
          <w:noProof/>
          <w:sz w:val="36"/>
          <w:szCs w:val="36"/>
        </w:rPr>
      </w:pPr>
      <w:r w:rsidRPr="00727D92">
        <w:rPr>
          <w:rFonts w:ascii="Arabic Typesetting" w:hAnsi="Arabic Typesetting" w:cs="Arabic Typesetting"/>
          <w:bCs/>
          <w:sz w:val="36"/>
          <w:szCs w:val="36"/>
          <w:rtl/>
          <w:lang w:bidi="ar-EG"/>
        </w:rPr>
        <w:t>المرفقات</w:t>
      </w:r>
    </w:p>
    <w:p w:rsidR="00167916" w:rsidRDefault="00167916" w:rsidP="0018104B">
      <w:pPr>
        <w:keepLines/>
        <w:tabs>
          <w:tab w:val="left" w:pos="1134"/>
          <w:tab w:val="left" w:pos="1560"/>
        </w:tabs>
        <w:bidi/>
        <w:rPr>
          <w:rFonts w:ascii="Arabic Typesetting" w:hAnsi="Arabic Typesetting" w:cs="Arabic Typesetting"/>
          <w:sz w:val="36"/>
          <w:szCs w:val="36"/>
          <w:rtl/>
          <w:lang w:bidi="ar-EG"/>
        </w:rPr>
      </w:pPr>
    </w:p>
    <w:p w:rsidR="00167916" w:rsidRPr="002C4946" w:rsidRDefault="00167916" w:rsidP="0018209F">
      <w:pPr>
        <w:keepLines/>
        <w:tabs>
          <w:tab w:val="left" w:pos="1134"/>
          <w:tab w:val="left" w:pos="1560"/>
        </w:tabs>
        <w:bidi/>
        <w:rPr>
          <w:rFonts w:ascii="Arabic Typesetting" w:hAnsi="Arabic Typesetting" w:cs="Arabic Typesetting"/>
          <w:noProof/>
          <w:sz w:val="36"/>
          <w:szCs w:val="36"/>
        </w:rPr>
      </w:pPr>
      <w:r w:rsidRPr="002C4946">
        <w:rPr>
          <w:rFonts w:ascii="Arabic Typesetting" w:hAnsi="Arabic Typesetting" w:cs="Arabic Typesetting"/>
          <w:sz w:val="36"/>
          <w:szCs w:val="36"/>
          <w:rtl/>
          <w:lang w:bidi="ar-EG"/>
        </w:rPr>
        <w:t>المرفق الأول</w:t>
      </w:r>
      <w:r w:rsidRPr="002C4946">
        <w:rPr>
          <w:rFonts w:ascii="Arabic Typesetting" w:hAnsi="Arabic Typesetting" w:cs="Arabic Typesetting"/>
          <w:noProof/>
          <w:sz w:val="36"/>
          <w:szCs w:val="36"/>
        </w:rPr>
        <w:t xml:space="preserve"> </w:t>
      </w:r>
      <w:r w:rsidRPr="002C4946">
        <w:rPr>
          <w:rFonts w:ascii="Arabic Typesetting" w:hAnsi="Arabic Typesetting" w:cs="Arabic Typesetting"/>
          <w:noProof/>
          <w:sz w:val="36"/>
          <w:szCs w:val="36"/>
        </w:rPr>
        <w:tab/>
        <w:t xml:space="preserve">– </w:t>
      </w:r>
      <w:r w:rsidRPr="002C4946">
        <w:rPr>
          <w:rFonts w:ascii="Arabic Typesetting" w:hAnsi="Arabic Typesetting" w:cs="Arabic Typesetting"/>
          <w:noProof/>
          <w:sz w:val="36"/>
          <w:szCs w:val="36"/>
        </w:rPr>
        <w:tab/>
      </w:r>
      <w:r w:rsidRPr="002C4946">
        <w:rPr>
          <w:rFonts w:ascii="Arabic Typesetting" w:hAnsi="Arabic Typesetting" w:cs="Arabic Typesetting"/>
          <w:sz w:val="36"/>
          <w:szCs w:val="36"/>
          <w:rtl/>
          <w:lang w:bidi="ar-EG"/>
        </w:rPr>
        <w:t>قائمة تقارير شعبة التدقيق الداخلي والرقابة الإدارية</w:t>
      </w:r>
    </w:p>
    <w:p w:rsidR="00167916" w:rsidRPr="002C4946" w:rsidRDefault="00167916" w:rsidP="0018104B">
      <w:pPr>
        <w:keepLines/>
        <w:tabs>
          <w:tab w:val="left" w:pos="1134"/>
          <w:tab w:val="left" w:pos="1560"/>
        </w:tabs>
        <w:bidi/>
        <w:rPr>
          <w:rFonts w:ascii="Arabic Typesetting" w:hAnsi="Arabic Typesetting" w:cs="Arabic Typesetting"/>
          <w:noProof/>
          <w:sz w:val="36"/>
          <w:szCs w:val="36"/>
        </w:rPr>
      </w:pPr>
      <w:r w:rsidRPr="002C4946">
        <w:rPr>
          <w:rFonts w:ascii="Arabic Typesetting" w:hAnsi="Arabic Typesetting" w:cs="Arabic Typesetting"/>
          <w:sz w:val="36"/>
          <w:szCs w:val="36"/>
          <w:rtl/>
          <w:lang w:bidi="ar-EG"/>
        </w:rPr>
        <w:t>المرفق الثاني</w:t>
      </w:r>
      <w:r w:rsidRPr="002C4946">
        <w:rPr>
          <w:rFonts w:ascii="Arabic Typesetting" w:hAnsi="Arabic Typesetting" w:cs="Arabic Typesetting"/>
          <w:noProof/>
          <w:sz w:val="36"/>
          <w:szCs w:val="36"/>
        </w:rPr>
        <w:t xml:space="preserve"> </w:t>
      </w:r>
      <w:r w:rsidRPr="002C4946">
        <w:rPr>
          <w:rFonts w:ascii="Arabic Typesetting" w:hAnsi="Arabic Typesetting" w:cs="Arabic Typesetting"/>
          <w:noProof/>
          <w:sz w:val="36"/>
          <w:szCs w:val="36"/>
        </w:rPr>
        <w:tab/>
        <w:t xml:space="preserve">– </w:t>
      </w:r>
      <w:r w:rsidRPr="002C4946">
        <w:rPr>
          <w:rFonts w:ascii="Arabic Typesetting" w:hAnsi="Arabic Typesetting" w:cs="Arabic Typesetting"/>
          <w:noProof/>
          <w:sz w:val="36"/>
          <w:szCs w:val="36"/>
        </w:rPr>
        <w:tab/>
      </w:r>
      <w:r w:rsidRPr="002C4946">
        <w:rPr>
          <w:rFonts w:ascii="Arabic Typesetting" w:hAnsi="Arabic Typesetting" w:cs="Arabic Typesetting"/>
          <w:sz w:val="36"/>
          <w:szCs w:val="36"/>
          <w:rtl/>
          <w:lang w:bidi="ar-EG"/>
        </w:rPr>
        <w:t>إحصاءات التحقيق</w:t>
      </w:r>
    </w:p>
    <w:p w:rsidR="00167916" w:rsidRPr="002C4946" w:rsidRDefault="00167916" w:rsidP="0018104B">
      <w:pPr>
        <w:keepLines/>
        <w:tabs>
          <w:tab w:val="left" w:pos="1134"/>
          <w:tab w:val="left" w:pos="1560"/>
        </w:tabs>
        <w:bidi/>
        <w:rPr>
          <w:rFonts w:ascii="Arabic Typesetting" w:hAnsi="Arabic Typesetting" w:cs="Arabic Typesetting"/>
          <w:noProof/>
          <w:sz w:val="36"/>
          <w:szCs w:val="36"/>
        </w:rPr>
      </w:pPr>
      <w:r w:rsidRPr="002C4946">
        <w:rPr>
          <w:rFonts w:ascii="Arabic Typesetting" w:hAnsi="Arabic Typesetting" w:cs="Arabic Typesetting"/>
          <w:sz w:val="36"/>
          <w:szCs w:val="36"/>
          <w:rtl/>
          <w:lang w:bidi="ar-EG"/>
        </w:rPr>
        <w:t>المرفق الثالث</w:t>
      </w:r>
      <w:r w:rsidRPr="002C4946">
        <w:rPr>
          <w:rFonts w:ascii="Arabic Typesetting" w:hAnsi="Arabic Typesetting" w:cs="Arabic Typesetting"/>
          <w:noProof/>
          <w:sz w:val="36"/>
          <w:szCs w:val="36"/>
        </w:rPr>
        <w:t xml:space="preserve"> </w:t>
      </w:r>
      <w:r w:rsidRPr="002C4946">
        <w:rPr>
          <w:rFonts w:ascii="Arabic Typesetting" w:hAnsi="Arabic Typesetting" w:cs="Arabic Typesetting"/>
          <w:noProof/>
          <w:sz w:val="36"/>
          <w:szCs w:val="36"/>
        </w:rPr>
        <w:tab/>
        <w:t xml:space="preserve">– </w:t>
      </w:r>
      <w:r w:rsidRPr="002C4946">
        <w:rPr>
          <w:rFonts w:ascii="Arabic Typesetting" w:hAnsi="Arabic Typesetting" w:cs="Arabic Typesetting"/>
          <w:noProof/>
          <w:sz w:val="36"/>
          <w:szCs w:val="36"/>
        </w:rPr>
        <w:tab/>
      </w:r>
      <w:r w:rsidRPr="002C4946">
        <w:rPr>
          <w:rFonts w:ascii="Arabic Typesetting" w:hAnsi="Arabic Typesetting" w:cs="Arabic Typesetting"/>
          <w:sz w:val="36"/>
          <w:szCs w:val="36"/>
          <w:rtl/>
          <w:lang w:bidi="ar-EG"/>
        </w:rPr>
        <w:t>قائمة بتوصيات شعبة التدقيق الداخلي والرقابة الإدارية المقفلة بدون تنفيذ</w:t>
      </w:r>
    </w:p>
    <w:p w:rsidR="00727D92" w:rsidRDefault="00167916" w:rsidP="00727D92">
      <w:pPr>
        <w:keepLines/>
        <w:tabs>
          <w:tab w:val="left" w:pos="1134"/>
          <w:tab w:val="left" w:pos="1560"/>
        </w:tabs>
        <w:bidi/>
        <w:rPr>
          <w:rFonts w:ascii="Arabic Typesetting" w:hAnsi="Arabic Typesetting" w:cs="Arabic Typesetting"/>
          <w:sz w:val="36"/>
          <w:szCs w:val="36"/>
          <w:lang w:bidi="ar-EG"/>
        </w:rPr>
      </w:pPr>
      <w:r w:rsidRPr="002C4946">
        <w:rPr>
          <w:rFonts w:ascii="Arabic Typesetting" w:hAnsi="Arabic Typesetting" w:cs="Arabic Typesetting"/>
          <w:sz w:val="36"/>
          <w:szCs w:val="36"/>
          <w:rtl/>
          <w:lang w:bidi="ar-EG"/>
        </w:rPr>
        <w:t>المرفق الرابع</w:t>
      </w:r>
      <w:r w:rsidRPr="002C4946">
        <w:rPr>
          <w:rFonts w:ascii="Arabic Typesetting" w:hAnsi="Arabic Typesetting" w:cs="Arabic Typesetting"/>
          <w:noProof/>
          <w:sz w:val="36"/>
          <w:szCs w:val="36"/>
        </w:rPr>
        <w:t xml:space="preserve"> </w:t>
      </w:r>
      <w:r w:rsidRPr="002C4946">
        <w:rPr>
          <w:rFonts w:ascii="Arabic Typesetting" w:hAnsi="Arabic Typesetting" w:cs="Arabic Typesetting"/>
          <w:noProof/>
          <w:sz w:val="36"/>
          <w:szCs w:val="36"/>
        </w:rPr>
        <w:tab/>
        <w:t xml:space="preserve">– </w:t>
      </w:r>
      <w:r w:rsidRPr="002C4946">
        <w:rPr>
          <w:rFonts w:ascii="Arabic Typesetting" w:hAnsi="Arabic Typesetting" w:cs="Arabic Typesetting"/>
          <w:noProof/>
          <w:sz w:val="36"/>
          <w:szCs w:val="36"/>
        </w:rPr>
        <w:tab/>
      </w:r>
      <w:r w:rsidRPr="002C4946">
        <w:rPr>
          <w:rFonts w:ascii="Arabic Typesetting" w:hAnsi="Arabic Typesetting" w:cs="Arabic Typesetting"/>
          <w:sz w:val="36"/>
          <w:szCs w:val="36"/>
          <w:rtl/>
          <w:lang w:bidi="ar-EG"/>
        </w:rPr>
        <w:t>قائمة بالأنشطة الاستشارية لشعبة التدقيق الداخلي والرقابة الإدارية</w:t>
      </w:r>
      <w:bookmarkStart w:id="3" w:name="_Toc361774204"/>
    </w:p>
    <w:p w:rsidR="00727D92" w:rsidRDefault="00727D92" w:rsidP="00727D92">
      <w:pPr>
        <w:keepLines/>
        <w:tabs>
          <w:tab w:val="left" w:pos="1134"/>
          <w:tab w:val="left" w:pos="1560"/>
        </w:tabs>
        <w:bidi/>
        <w:rPr>
          <w:rFonts w:ascii="Arabic Typesetting" w:hAnsi="Arabic Typesetting" w:cs="Arabic Typesetting"/>
          <w:sz w:val="36"/>
          <w:szCs w:val="36"/>
          <w:lang w:bidi="ar-EG"/>
        </w:rPr>
      </w:pPr>
      <w:r>
        <w:rPr>
          <w:rFonts w:ascii="Arabic Typesetting" w:hAnsi="Arabic Typesetting" w:cs="Arabic Typesetting"/>
          <w:sz w:val="36"/>
          <w:szCs w:val="36"/>
          <w:lang w:bidi="ar-EG"/>
        </w:rPr>
        <w:br w:type="page"/>
      </w:r>
    </w:p>
    <w:p w:rsidR="00167916" w:rsidRPr="00727D92" w:rsidRDefault="00167916" w:rsidP="00727D92">
      <w:pPr>
        <w:keepLines/>
        <w:tabs>
          <w:tab w:val="left" w:pos="1134"/>
          <w:tab w:val="left" w:pos="1560"/>
        </w:tabs>
        <w:bidi/>
        <w:jc w:val="center"/>
        <w:rPr>
          <w:rFonts w:ascii="Arabic Typesetting" w:hAnsi="Arabic Typesetting" w:cs="Arabic Typesetting"/>
          <w:b/>
          <w:bCs/>
          <w:sz w:val="40"/>
          <w:szCs w:val="40"/>
          <w:rtl/>
          <w:lang w:bidi="ar-EG"/>
        </w:rPr>
      </w:pPr>
      <w:r w:rsidRPr="00727D92">
        <w:rPr>
          <w:rFonts w:ascii="Arabic Typesetting" w:hAnsi="Arabic Typesetting" w:cs="Arabic Typesetting"/>
          <w:b/>
          <w:bCs/>
          <w:sz w:val="40"/>
          <w:szCs w:val="40"/>
          <w:rtl/>
          <w:lang w:bidi="ar-EG"/>
        </w:rPr>
        <w:lastRenderedPageBreak/>
        <w:t>قائمة المختصرات المستخدمة في النص الإنكليزي</w:t>
      </w:r>
      <w:bookmarkEnd w:id="3"/>
    </w:p>
    <w:p w:rsidR="00167916" w:rsidRPr="0018209F" w:rsidRDefault="00167916" w:rsidP="0018209F">
      <w:pPr>
        <w:bidi/>
        <w:rPr>
          <w:rtl/>
          <w:lang w:bidi="ar-EG"/>
        </w:rPr>
      </w:pPr>
    </w:p>
    <w:p w:rsidR="00167916" w:rsidRPr="002C4946" w:rsidRDefault="00167916" w:rsidP="0018209F">
      <w:pPr>
        <w:pStyle w:val="NormalParaAR"/>
        <w:tabs>
          <w:tab w:val="left" w:leader="dot" w:pos="1701"/>
        </w:tabs>
        <w:spacing w:after="60"/>
      </w:pPr>
      <w:r w:rsidRPr="002C4946">
        <w:t>CLD</w:t>
      </w:r>
      <w:r w:rsidRPr="002C4946">
        <w:tab/>
      </w:r>
      <w:r w:rsidRPr="002C4946">
        <w:rPr>
          <w:rtl/>
        </w:rPr>
        <w:t>شعبة المؤتمرات واللغات</w:t>
      </w:r>
    </w:p>
    <w:p w:rsidR="00167916" w:rsidRPr="002C4946" w:rsidRDefault="00167916" w:rsidP="0018209F">
      <w:pPr>
        <w:pStyle w:val="NormalParaAR"/>
        <w:tabs>
          <w:tab w:val="left" w:leader="dot" w:pos="1701"/>
        </w:tabs>
        <w:spacing w:after="60"/>
      </w:pPr>
      <w:r w:rsidRPr="002C4946">
        <w:t>HOIA</w:t>
      </w:r>
      <w:r w:rsidRPr="002C4946">
        <w:tab/>
      </w:r>
      <w:r w:rsidRPr="002C4946">
        <w:rPr>
          <w:rtl/>
        </w:rPr>
        <w:t>رئيس دوائر التدقيق الداخلي</w:t>
      </w:r>
    </w:p>
    <w:p w:rsidR="00167916" w:rsidRPr="002C4946" w:rsidRDefault="00167916" w:rsidP="0018209F">
      <w:pPr>
        <w:pStyle w:val="NormalParaAR"/>
        <w:tabs>
          <w:tab w:val="left" w:leader="dot" w:pos="1701"/>
        </w:tabs>
        <w:spacing w:after="60"/>
      </w:pPr>
      <w:r w:rsidRPr="002C4946">
        <w:t>HR</w:t>
      </w:r>
      <w:r w:rsidRPr="002C4946">
        <w:tab/>
      </w:r>
      <w:r w:rsidRPr="002C4946">
        <w:rPr>
          <w:rtl/>
        </w:rPr>
        <w:t>الموارد البشرية</w:t>
      </w:r>
    </w:p>
    <w:p w:rsidR="00167916" w:rsidRPr="002C4946" w:rsidRDefault="00167916" w:rsidP="0018209F">
      <w:pPr>
        <w:pStyle w:val="NormalParaAR"/>
        <w:tabs>
          <w:tab w:val="left" w:leader="dot" w:pos="1701"/>
        </w:tabs>
        <w:spacing w:after="60"/>
      </w:pPr>
      <w:r w:rsidRPr="002C4946">
        <w:t>HRMD</w:t>
      </w:r>
      <w:r w:rsidRPr="002C4946">
        <w:tab/>
      </w:r>
      <w:r w:rsidRPr="002C4946">
        <w:rPr>
          <w:rtl/>
        </w:rPr>
        <w:t>إدارة الموارد البشرية</w:t>
      </w:r>
    </w:p>
    <w:p w:rsidR="00167916" w:rsidRPr="002C4946" w:rsidRDefault="00167916" w:rsidP="0018209F">
      <w:pPr>
        <w:pStyle w:val="NormalParaAR"/>
        <w:tabs>
          <w:tab w:val="left" w:leader="dot" w:pos="1701"/>
        </w:tabs>
        <w:spacing w:after="60"/>
      </w:pPr>
      <w:r w:rsidRPr="002C4946">
        <w:t>IAOC</w:t>
      </w:r>
      <w:r w:rsidRPr="002C4946">
        <w:tab/>
      </w:r>
      <w:r w:rsidRPr="002C4946">
        <w:rPr>
          <w:rtl/>
        </w:rPr>
        <w:t xml:space="preserve">اللجنة </w:t>
      </w:r>
      <w:r w:rsidRPr="002C4946">
        <w:rPr>
          <w:rtl/>
          <w:lang w:bidi="ar-EG"/>
        </w:rPr>
        <w:t>الاس</w:t>
      </w:r>
      <w:proofErr w:type="spellStart"/>
      <w:r w:rsidRPr="002C4946">
        <w:rPr>
          <w:rtl/>
        </w:rPr>
        <w:t>تشارية</w:t>
      </w:r>
      <w:proofErr w:type="spellEnd"/>
      <w:r w:rsidRPr="002C4946">
        <w:rPr>
          <w:rtl/>
        </w:rPr>
        <w:t xml:space="preserve"> المستقلة للرقابة</w:t>
      </w:r>
    </w:p>
    <w:p w:rsidR="00167916" w:rsidRPr="002C4946" w:rsidRDefault="00167916" w:rsidP="0018209F">
      <w:pPr>
        <w:pStyle w:val="NormalParaAR"/>
        <w:tabs>
          <w:tab w:val="left" w:leader="dot" w:pos="1701"/>
        </w:tabs>
        <w:spacing w:after="60"/>
      </w:pPr>
      <w:r w:rsidRPr="002C4946">
        <w:t>IAOD</w:t>
      </w:r>
      <w:r w:rsidRPr="002C4946">
        <w:tab/>
      </w:r>
      <w:r w:rsidRPr="002C4946">
        <w:rPr>
          <w:rtl/>
        </w:rPr>
        <w:t>شعبة التدقيق الداخلي والرقابة الإدارية</w:t>
      </w:r>
    </w:p>
    <w:p w:rsidR="00167916" w:rsidRPr="002C4946" w:rsidRDefault="00167916" w:rsidP="0018209F">
      <w:pPr>
        <w:pStyle w:val="NormalParaAR"/>
        <w:tabs>
          <w:tab w:val="left" w:leader="dot" w:pos="1701"/>
        </w:tabs>
        <w:spacing w:after="60"/>
      </w:pPr>
      <w:r w:rsidRPr="002C4946">
        <w:t>IIA</w:t>
      </w:r>
      <w:r w:rsidRPr="002C4946">
        <w:tab/>
      </w:r>
      <w:r w:rsidRPr="002C4946">
        <w:rPr>
          <w:rtl/>
        </w:rPr>
        <w:t>معهد المدققين الداخليين</w:t>
      </w:r>
    </w:p>
    <w:p w:rsidR="00167916" w:rsidRPr="002C4946" w:rsidRDefault="00167916" w:rsidP="0018209F">
      <w:pPr>
        <w:pStyle w:val="NormalParaAR"/>
        <w:tabs>
          <w:tab w:val="left" w:leader="dot" w:pos="1701"/>
        </w:tabs>
        <w:spacing w:after="60"/>
      </w:pPr>
      <w:r w:rsidRPr="002C4946">
        <w:t>IOC</w:t>
      </w:r>
      <w:r w:rsidRPr="002C4946">
        <w:tab/>
      </w:r>
      <w:r w:rsidRPr="002C4946">
        <w:rPr>
          <w:rtl/>
        </w:rPr>
        <w:t>ميثاق الرقابة الداخلية</w:t>
      </w:r>
    </w:p>
    <w:p w:rsidR="00167916" w:rsidRPr="002C4946" w:rsidRDefault="00167916" w:rsidP="0018209F">
      <w:pPr>
        <w:pStyle w:val="NormalParaAR"/>
        <w:tabs>
          <w:tab w:val="left" w:leader="dot" w:pos="1701"/>
        </w:tabs>
        <w:spacing w:after="60"/>
      </w:pPr>
      <w:r w:rsidRPr="002C4946">
        <w:t>IT</w:t>
      </w:r>
      <w:r w:rsidRPr="002C4946">
        <w:tab/>
      </w:r>
      <w:r w:rsidRPr="002C4946">
        <w:rPr>
          <w:rtl/>
        </w:rPr>
        <w:t>تكنولوجيا المعلومات</w:t>
      </w:r>
    </w:p>
    <w:p w:rsidR="00167916" w:rsidRPr="002C4946" w:rsidRDefault="00167916" w:rsidP="0018209F">
      <w:pPr>
        <w:pStyle w:val="NormalParaAR"/>
        <w:tabs>
          <w:tab w:val="left" w:leader="dot" w:pos="1701"/>
        </w:tabs>
        <w:spacing w:after="60"/>
      </w:pPr>
      <w:r w:rsidRPr="002C4946">
        <w:t>JGP</w:t>
      </w:r>
      <w:r w:rsidRPr="002C4946">
        <w:tab/>
      </w:r>
      <w:r w:rsidRPr="002C4946">
        <w:rPr>
          <w:rtl/>
        </w:rPr>
        <w:t>لجنة التظلمات المشتركة</w:t>
      </w:r>
    </w:p>
    <w:p w:rsidR="00167916" w:rsidRPr="002C4946" w:rsidRDefault="00167916" w:rsidP="0018209F">
      <w:pPr>
        <w:pStyle w:val="NormalParaAR"/>
        <w:tabs>
          <w:tab w:val="left" w:leader="dot" w:pos="1701"/>
        </w:tabs>
        <w:spacing w:after="60"/>
      </w:pPr>
      <w:r w:rsidRPr="002C4946">
        <w:t>NCH</w:t>
      </w:r>
      <w:r w:rsidRPr="002C4946">
        <w:tab/>
      </w:r>
      <w:r w:rsidRPr="002C4946">
        <w:rPr>
          <w:rtl/>
        </w:rPr>
        <w:t>قاعة المؤتمرات الجديدة</w:t>
      </w:r>
    </w:p>
    <w:p w:rsidR="00167916" w:rsidRPr="002C4946" w:rsidRDefault="00167916" w:rsidP="0018209F">
      <w:pPr>
        <w:pStyle w:val="NormalParaAR"/>
        <w:tabs>
          <w:tab w:val="left" w:leader="dot" w:pos="1701"/>
        </w:tabs>
        <w:spacing w:after="60"/>
      </w:pPr>
      <w:r w:rsidRPr="002C4946">
        <w:t>PCT</w:t>
      </w:r>
      <w:r w:rsidRPr="002C4946">
        <w:tab/>
      </w:r>
      <w:r w:rsidRPr="002C4946">
        <w:rPr>
          <w:rtl/>
        </w:rPr>
        <w:t>معاهدة التعاون بشأن البراءات</w:t>
      </w:r>
    </w:p>
    <w:p w:rsidR="00167916" w:rsidRPr="002C4946" w:rsidRDefault="00167916" w:rsidP="0018209F">
      <w:pPr>
        <w:pStyle w:val="NormalParaAR"/>
        <w:tabs>
          <w:tab w:val="left" w:leader="dot" w:pos="1701"/>
        </w:tabs>
        <w:spacing w:after="60"/>
        <w:rPr>
          <w:rtl/>
          <w:lang w:bidi="ar-EG"/>
        </w:rPr>
      </w:pPr>
      <w:r w:rsidRPr="002C4946">
        <w:t>PMSDS</w:t>
      </w:r>
      <w:r w:rsidRPr="002C4946">
        <w:tab/>
      </w:r>
      <w:r w:rsidRPr="002C4946">
        <w:rPr>
          <w:rtl/>
        </w:rPr>
        <w:t>نظام إدارة الأداء وتطوير الموظفين</w:t>
      </w:r>
    </w:p>
    <w:p w:rsidR="00167916" w:rsidRPr="002C4946" w:rsidRDefault="00167916" w:rsidP="0018209F">
      <w:pPr>
        <w:pStyle w:val="NormalParaAR"/>
        <w:tabs>
          <w:tab w:val="left" w:leader="dot" w:pos="1701"/>
        </w:tabs>
        <w:spacing w:after="60"/>
      </w:pPr>
      <w:r w:rsidRPr="002C4946">
        <w:t>RIAS</w:t>
      </w:r>
      <w:r w:rsidRPr="002C4946">
        <w:tab/>
      </w:r>
      <w:r w:rsidRPr="002C4946">
        <w:rPr>
          <w:rtl/>
        </w:rPr>
        <w:t>ممثلو دوائر التدقيق الداخلي</w:t>
      </w:r>
    </w:p>
    <w:p w:rsidR="00167916" w:rsidRPr="002C4946" w:rsidRDefault="00167916" w:rsidP="0018209F">
      <w:pPr>
        <w:pStyle w:val="NormalParaAR"/>
        <w:tabs>
          <w:tab w:val="left" w:leader="dot" w:pos="1701"/>
        </w:tabs>
        <w:spacing w:after="60"/>
      </w:pPr>
      <w:r w:rsidRPr="002C4946">
        <w:t>SMT</w:t>
      </w:r>
      <w:r w:rsidRPr="002C4946">
        <w:tab/>
      </w:r>
      <w:r w:rsidRPr="002C4946">
        <w:rPr>
          <w:rtl/>
        </w:rPr>
        <w:t>فريق الإدارة العليا</w:t>
      </w:r>
    </w:p>
    <w:p w:rsidR="00167916" w:rsidRPr="002C4946" w:rsidRDefault="00167916" w:rsidP="0018209F">
      <w:pPr>
        <w:pStyle w:val="NormalParaAR"/>
        <w:tabs>
          <w:tab w:val="left" w:leader="dot" w:pos="1701"/>
        </w:tabs>
        <w:spacing w:after="60"/>
      </w:pPr>
      <w:r w:rsidRPr="002C4946">
        <w:t>UN</w:t>
      </w:r>
      <w:r w:rsidRPr="002C4946">
        <w:tab/>
      </w:r>
      <w:r w:rsidRPr="002C4946">
        <w:rPr>
          <w:rtl/>
        </w:rPr>
        <w:t>الأمم المتحدة</w:t>
      </w:r>
    </w:p>
    <w:p w:rsidR="00167916" w:rsidRPr="002C4946" w:rsidRDefault="00167916" w:rsidP="0018209F">
      <w:pPr>
        <w:pStyle w:val="NormalParaAR"/>
        <w:tabs>
          <w:tab w:val="left" w:leader="dot" w:pos="1701"/>
        </w:tabs>
        <w:spacing w:after="60"/>
      </w:pPr>
      <w:r w:rsidRPr="002C4946">
        <w:t>UNEG</w:t>
      </w:r>
      <w:r w:rsidRPr="002C4946">
        <w:tab/>
      </w:r>
      <w:r w:rsidRPr="002C4946">
        <w:rPr>
          <w:rtl/>
        </w:rPr>
        <w:t>فريق الأمم المتحدة المعني بالتقييم</w:t>
      </w:r>
    </w:p>
    <w:p w:rsidR="00167916" w:rsidRPr="005D619C" w:rsidRDefault="00167916" w:rsidP="0018209F">
      <w:pPr>
        <w:pStyle w:val="NormalParaAR"/>
        <w:tabs>
          <w:tab w:val="left" w:leader="dot" w:pos="1701"/>
        </w:tabs>
        <w:spacing w:after="60"/>
      </w:pPr>
      <w:r w:rsidRPr="002C4946">
        <w:t>UNHIG</w:t>
      </w:r>
      <w:r w:rsidRPr="002C4946">
        <w:tab/>
      </w:r>
      <w:r w:rsidRPr="002C4946">
        <w:rPr>
          <w:rtl/>
        </w:rPr>
        <w:t>رئيس فريق الأمم المتح</w:t>
      </w:r>
      <w:r w:rsidRPr="005D619C">
        <w:rPr>
          <w:rtl/>
        </w:rPr>
        <w:t>دة المعني بالتحقيق</w:t>
      </w:r>
    </w:p>
    <w:p w:rsidR="00167916" w:rsidRPr="005D619C" w:rsidRDefault="00167916" w:rsidP="0018209F">
      <w:pPr>
        <w:pStyle w:val="Heading1"/>
        <w:keepLines/>
        <w:bidi/>
        <w:rPr>
          <w:rFonts w:ascii="Arabic Typesetting" w:hAnsi="Arabic Typesetting" w:cs="Arabic Typesetting"/>
          <w:sz w:val="40"/>
          <w:szCs w:val="40"/>
        </w:rPr>
      </w:pPr>
      <w:r w:rsidRPr="005D619C">
        <w:rPr>
          <w:rFonts w:ascii="Arabic Typesetting" w:hAnsi="Arabic Typesetting" w:cs="Arabic Typesetting"/>
          <w:sz w:val="40"/>
          <w:szCs w:val="40"/>
        </w:rPr>
        <w:br w:type="page"/>
      </w:r>
      <w:bookmarkStart w:id="4" w:name="_Toc361774205"/>
      <w:r w:rsidRPr="005D619C">
        <w:rPr>
          <w:rFonts w:ascii="Arabic Typesetting" w:hAnsi="Arabic Typesetting" w:cs="Arabic Typesetting"/>
          <w:sz w:val="40"/>
          <w:szCs w:val="40"/>
          <w:rtl/>
          <w:lang w:bidi="ar-EG"/>
        </w:rPr>
        <w:lastRenderedPageBreak/>
        <w:t>التقرير السنوي الموجز لمدير شعبة التدقيق الداخلي والرقابة الإدارية</w:t>
      </w:r>
      <w:bookmarkEnd w:id="4"/>
    </w:p>
    <w:p w:rsidR="00167916" w:rsidRPr="005D619C" w:rsidRDefault="00167916" w:rsidP="005D619C">
      <w:pPr>
        <w:keepLines/>
        <w:bidi/>
        <w:rPr>
          <w:rFonts w:ascii="Arabic Typesetting" w:hAnsi="Arabic Typesetting" w:cs="Arabic Typesetting"/>
          <w:sz w:val="36"/>
          <w:szCs w:val="36"/>
          <w:rtl/>
          <w:lang w:bidi="ar-EG"/>
        </w:rPr>
      </w:pPr>
      <w:r w:rsidRPr="005D619C">
        <w:rPr>
          <w:rFonts w:ascii="Arabic Typesetting" w:hAnsi="Arabic Typesetting" w:cs="Arabic Typesetting"/>
          <w:sz w:val="36"/>
          <w:szCs w:val="36"/>
          <w:rtl/>
          <w:lang w:bidi="ar-EG"/>
        </w:rPr>
        <w:t>من 1 يوليو 2012 إلى 30 يونيو 2013</w:t>
      </w:r>
    </w:p>
    <w:p w:rsidR="00167916" w:rsidRPr="005D619C" w:rsidRDefault="00167916" w:rsidP="0018104B">
      <w:pPr>
        <w:pStyle w:val="Heading1"/>
        <w:keepLines/>
        <w:numPr>
          <w:ilvl w:val="0"/>
          <w:numId w:val="28"/>
        </w:numPr>
        <w:bidi/>
        <w:spacing w:after="360"/>
        <w:rPr>
          <w:rFonts w:ascii="Arabic Typesetting" w:hAnsi="Arabic Typesetting" w:cs="Arabic Typesetting"/>
          <w:sz w:val="40"/>
          <w:szCs w:val="40"/>
        </w:rPr>
      </w:pPr>
      <w:bookmarkStart w:id="5" w:name="_Toc361774206"/>
      <w:r w:rsidRPr="005D619C">
        <w:rPr>
          <w:rFonts w:ascii="Arabic Typesetting" w:hAnsi="Arabic Typesetting" w:cs="Arabic Typesetting"/>
          <w:sz w:val="40"/>
          <w:szCs w:val="40"/>
          <w:rtl/>
          <w:lang w:bidi="ar-EG"/>
        </w:rPr>
        <w:t>معلومات أساسية</w:t>
      </w:r>
      <w:bookmarkEnd w:id="5"/>
    </w:p>
    <w:p w:rsidR="00167916" w:rsidRPr="005D619C" w:rsidRDefault="00167916" w:rsidP="00FA1908">
      <w:pPr>
        <w:pStyle w:val="NumberedParaAR"/>
        <w:numPr>
          <w:ilvl w:val="0"/>
          <w:numId w:val="49"/>
        </w:numPr>
      </w:pPr>
      <w:r w:rsidRPr="005D619C">
        <w:rPr>
          <w:rtl/>
          <w:lang w:bidi="ar-EG"/>
        </w:rPr>
        <w:t>الغرض من شعبة الويبو للتدقيق الداخلي والرقابة الإدارية هو توفير الرقابة الداخلية المستقلة والفعالة للويبو، وفقا للأحكام التي أقرتها الدول الأعضاء في ميثاق الرقابة الداخلية.</w:t>
      </w:r>
    </w:p>
    <w:p w:rsidR="00167916" w:rsidRPr="005D619C" w:rsidRDefault="00167916" w:rsidP="004C108B">
      <w:pPr>
        <w:pStyle w:val="NumberedParaAR"/>
      </w:pPr>
      <w:r w:rsidRPr="005D619C">
        <w:rPr>
          <w:rtl/>
          <w:lang w:bidi="ar-EG"/>
        </w:rPr>
        <w:t>ويقضي ميثاق الويبو للرقابة الداخلية بأن يقدم مدير شعبة التدقيق الداخلي والرقابة الإدا</w:t>
      </w:r>
      <w:r w:rsidR="004C108B">
        <w:rPr>
          <w:rtl/>
          <w:lang w:bidi="ar-EG"/>
        </w:rPr>
        <w:t>رية تقريرًا سنويا موجز</w:t>
      </w:r>
      <w:r w:rsidRPr="005D619C">
        <w:rPr>
          <w:rtl/>
          <w:lang w:bidi="ar-EG"/>
        </w:rPr>
        <w:t>ا إلى اللجنة الاستشارية المستقلة للرقابة، ونسخة من هذا التقرير إلى المدير العا</w:t>
      </w:r>
      <w:r w:rsidR="004C108B">
        <w:rPr>
          <w:rtl/>
          <w:lang w:bidi="ar-EG"/>
        </w:rPr>
        <w:t>م ومراجع الحسابات الخارجي، موضح</w:t>
      </w:r>
      <w:r w:rsidRPr="005D619C">
        <w:rPr>
          <w:rtl/>
          <w:lang w:bidi="ar-EG"/>
        </w:rPr>
        <w:t>ا فيه الأنشطة التي تم تنفيذها، وتوجُّه هذه الأنشطة ونطاقها، والجدول الزمني للعمل المنجز، والتقدم المحرز في تنفيذ التوصيات ذات الأولوية.</w:t>
      </w:r>
      <w:r>
        <w:rPr>
          <w:rtl/>
        </w:rPr>
        <w:t xml:space="preserve"> </w:t>
      </w:r>
      <w:r w:rsidR="004C108B">
        <w:rPr>
          <w:rtl/>
          <w:lang w:bidi="ar-EG"/>
        </w:rPr>
        <w:t>ويُرفع هذا التقرير الموجز أيض</w:t>
      </w:r>
      <w:r w:rsidRPr="005D619C">
        <w:rPr>
          <w:rtl/>
          <w:lang w:bidi="ar-EG"/>
        </w:rPr>
        <w:t>ا إلى الجمعية العامة، ويتيح لأهم أصحاب المصالح وموظ</w:t>
      </w:r>
      <w:r w:rsidR="004C108B">
        <w:rPr>
          <w:rtl/>
          <w:lang w:bidi="ar-EG"/>
        </w:rPr>
        <w:t>في الويبو بصفة عامة الإحاطة علم</w:t>
      </w:r>
      <w:r w:rsidRPr="005D619C">
        <w:rPr>
          <w:rtl/>
          <w:lang w:bidi="ar-EG"/>
        </w:rPr>
        <w:t>ا بتقارير الشعبة وأنشطتها والتحديات التي تواجهها في الاضطلاع بمهامها.</w:t>
      </w:r>
      <w:r>
        <w:rPr>
          <w:rtl/>
        </w:rPr>
        <w:t xml:space="preserve"> </w:t>
      </w:r>
      <w:r w:rsidR="004C108B">
        <w:rPr>
          <w:rtl/>
          <w:lang w:bidi="ar-EG"/>
        </w:rPr>
        <w:t>وتقدم الشعبة أيضا تقريرا مرحليا كتابي</w:t>
      </w:r>
      <w:r w:rsidRPr="005D619C">
        <w:rPr>
          <w:rtl/>
          <w:lang w:bidi="ar-EG"/>
        </w:rPr>
        <w:t>ا عن خطط العمل السنوية إلى لجنة البرنامج والميزانية.</w:t>
      </w:r>
    </w:p>
    <w:p w:rsidR="00167916" w:rsidRPr="005D619C" w:rsidRDefault="00167916" w:rsidP="0018104B">
      <w:pPr>
        <w:pStyle w:val="Heading1"/>
        <w:keepLines/>
        <w:numPr>
          <w:ilvl w:val="0"/>
          <w:numId w:val="28"/>
        </w:numPr>
        <w:bidi/>
        <w:spacing w:after="360"/>
        <w:rPr>
          <w:rFonts w:ascii="Arabic Typesetting" w:hAnsi="Arabic Typesetting" w:cs="Arabic Typesetting"/>
          <w:sz w:val="40"/>
          <w:szCs w:val="40"/>
          <w:lang w:bidi="ar-EG"/>
        </w:rPr>
      </w:pPr>
      <w:bookmarkStart w:id="6" w:name="_Toc361774207"/>
      <w:r w:rsidRPr="005D619C">
        <w:rPr>
          <w:rFonts w:ascii="Arabic Typesetting" w:hAnsi="Arabic Typesetting" w:cs="Arabic Typesetting"/>
          <w:sz w:val="40"/>
          <w:szCs w:val="40"/>
          <w:rtl/>
          <w:lang w:bidi="ar-EG"/>
        </w:rPr>
        <w:t>التخطيط والمعايير والقواعد</w:t>
      </w:r>
      <w:bookmarkEnd w:id="6"/>
    </w:p>
    <w:p w:rsidR="00167916" w:rsidRPr="005D619C" w:rsidRDefault="00167916" w:rsidP="00AD06B8">
      <w:pPr>
        <w:pStyle w:val="NumberedParaAR"/>
      </w:pPr>
      <w:r w:rsidRPr="005D619C">
        <w:rPr>
          <w:rtl/>
          <w:lang w:bidi="ar-EG"/>
        </w:rPr>
        <w:t>تشمل أنشطة شعبة التدقيق الداخلي والرقابة الإدارية التدقيق الداخلي لأنظمة الرقابة والعمليات التجارية في الويبو وتقييمها.</w:t>
      </w:r>
      <w:r>
        <w:rPr>
          <w:rtl/>
        </w:rPr>
        <w:t xml:space="preserve"> </w:t>
      </w:r>
      <w:r w:rsidRPr="005D619C">
        <w:rPr>
          <w:rtl/>
          <w:lang w:bidi="ar-EG"/>
        </w:rPr>
        <w:t>كما ترصد الشعبة وتقدر ملاءمة وكفاءة بيئة الرقابة في الويبو، والاستخدام الفعال والكفء للموارد.</w:t>
      </w:r>
      <w:r>
        <w:rPr>
          <w:rtl/>
        </w:rPr>
        <w:t xml:space="preserve"> </w:t>
      </w:r>
      <w:r w:rsidRPr="005D619C">
        <w:rPr>
          <w:rtl/>
          <w:lang w:bidi="ar-EG"/>
        </w:rPr>
        <w:t>كما تحقق الشعبة في ادعاءات الهدر والغش وسوء الإدارة أو أية انتهاكات أخرى لنظام الويبو ولوائحها.</w:t>
      </w:r>
    </w:p>
    <w:p w:rsidR="00167916" w:rsidRPr="005D619C" w:rsidRDefault="00167916" w:rsidP="00AD06B8">
      <w:pPr>
        <w:pStyle w:val="NumberedParaAR"/>
      </w:pPr>
      <w:r w:rsidRPr="005D619C">
        <w:rPr>
          <w:rtl/>
          <w:lang w:bidi="ar-EG"/>
        </w:rPr>
        <w:t>وتلتزم شعبة التدقيق الداخلي والرقابة الإدارية في أدائها أنشطة التدقيق بالإطار الدولي للممارسات المهنية الذي أصدره معهد المدققين الداخليين.</w:t>
      </w:r>
      <w:r>
        <w:rPr>
          <w:rtl/>
        </w:rPr>
        <w:t xml:space="preserve"> </w:t>
      </w:r>
      <w:r w:rsidRPr="005D619C">
        <w:rPr>
          <w:rtl/>
          <w:lang w:bidi="ar-EG"/>
        </w:rPr>
        <w:t>ويشمل إطار الممارسات مدونة الأخلاقيات، والمعايير الدولية للممارسات المهنية للتدقيق الداخلي، والمشورات العملية، وورقات المواقف، والأدلة الإرشادية للممارسة.</w:t>
      </w:r>
      <w:r>
        <w:rPr>
          <w:rtl/>
        </w:rPr>
        <w:t xml:space="preserve"> </w:t>
      </w:r>
      <w:r w:rsidRPr="005D619C">
        <w:rPr>
          <w:rtl/>
          <w:lang w:bidi="ar-EG"/>
        </w:rPr>
        <w:t>وتنص معايير معهد المدققين الداخليين على شروط إلزامية، تركز على المبادئ، للتصرف في التدقيق الداخلي على مستوى المنظمة ومستوى المدقق الفرد.</w:t>
      </w:r>
      <w:r>
        <w:rPr>
          <w:rtl/>
        </w:rPr>
        <w:t xml:space="preserve"> </w:t>
      </w:r>
      <w:r w:rsidRPr="005D619C">
        <w:rPr>
          <w:rtl/>
          <w:lang w:bidi="ar-EG"/>
        </w:rPr>
        <w:t>وهناك مبادئ توجيهية أخرى، مثل تلك التي أصدرتها مؤسسة التدقيق والرقابة المعنية بالنظم المعلوماتية، تستخدم فيما يتعلق بأعمال تدقيق تكنولوجيا المعلومات.</w:t>
      </w:r>
      <w:r>
        <w:rPr>
          <w:rtl/>
        </w:rPr>
        <w:t xml:space="preserve"> </w:t>
      </w:r>
      <w:r w:rsidRPr="005D619C">
        <w:rPr>
          <w:rtl/>
          <w:lang w:bidi="ar-EG"/>
        </w:rPr>
        <w:t>وبالمثل، تسترشد شعبة التدقيق الداخلي والرقابة الإدارية في أعمال التحقيق التي تجريها بالمبادئ التوجيهية الموحدة والمبادئ التوجيهية للتحقيق التي صدق عليها مؤتمر المحققين الدوليين في 2009. أما التقييم فيجرى وفقا للمعايير الدولية لممارسات التقييم كما حددها فريق الأمم المتحدة المعني بالتقييم.</w:t>
      </w:r>
    </w:p>
    <w:p w:rsidR="00167916" w:rsidRPr="00AD06B8" w:rsidRDefault="00167916" w:rsidP="00AD06B8">
      <w:pPr>
        <w:pStyle w:val="NumberedParaAR"/>
      </w:pPr>
      <w:r w:rsidRPr="005D619C">
        <w:rPr>
          <w:rtl/>
          <w:lang w:bidi="ar-EG"/>
        </w:rPr>
        <w:t>وتماشيا مع ميثاق الويبو للرقابة الداخلية، وضعت شعبة التدقيق الداخلي والرقابة الإدارية في اعتبارها العوامل التالية:</w:t>
      </w:r>
      <w:r w:rsidRPr="005D619C">
        <w:t xml:space="preserve"> </w:t>
      </w:r>
      <w:r w:rsidRPr="005D619C">
        <w:rPr>
          <w:rtl/>
          <w:lang w:bidi="ar-EG"/>
        </w:rPr>
        <w:t>تقييم المخاطر والوجاهة والتأثير على البلدان ودورة الرقابة والتعليقات الواردة من إدارة الويبو والتعليقات الواردة من الدول الأعضاء.</w:t>
      </w:r>
      <w:r>
        <w:rPr>
          <w:rtl/>
        </w:rPr>
        <w:t xml:space="preserve"> </w:t>
      </w:r>
      <w:r w:rsidRPr="005D619C">
        <w:rPr>
          <w:rtl/>
          <w:lang w:bidi="ar-EG"/>
        </w:rPr>
        <w:t>كما عدّت الشعبة مواردها المتاحة من ضمن العوامل المعتبرة.</w:t>
      </w:r>
    </w:p>
    <w:p w:rsidR="00167916" w:rsidRPr="005D619C" w:rsidRDefault="00167916" w:rsidP="00AD06B8">
      <w:pPr>
        <w:pStyle w:val="NumberedParaAR"/>
      </w:pPr>
      <w:r w:rsidRPr="005D619C">
        <w:rPr>
          <w:rtl/>
          <w:lang w:bidi="ar-EG"/>
        </w:rPr>
        <w:t>وقد وضعت الشعبة منهجية لتقييم المخاطر مبنية على توجيه معهد المدققين الداخليين والممارسات الجيدة المعمول بها في هذا الشأن.</w:t>
      </w:r>
      <w:r>
        <w:rPr>
          <w:rtl/>
        </w:rPr>
        <w:t xml:space="preserve"> </w:t>
      </w:r>
      <w:r w:rsidRPr="005D619C">
        <w:rPr>
          <w:rtl/>
          <w:lang w:bidi="ar-EG"/>
        </w:rPr>
        <w:t xml:space="preserve">واستخدمت الشعبة </w:t>
      </w:r>
      <w:proofErr w:type="spellStart"/>
      <w:r w:rsidRPr="005D619C">
        <w:rPr>
          <w:rtl/>
          <w:lang w:bidi="ar-EG"/>
        </w:rPr>
        <w:t>منهجيتها</w:t>
      </w:r>
      <w:proofErr w:type="spellEnd"/>
      <w:r w:rsidRPr="005D619C">
        <w:rPr>
          <w:rtl/>
          <w:lang w:bidi="ar-EG"/>
        </w:rPr>
        <w:t xml:space="preserve"> لتقييم المخاطر</w:t>
      </w:r>
      <w:r w:rsidRPr="00AD06B8">
        <w:rPr>
          <w:rStyle w:val="FootnoteReference"/>
          <w:rFonts w:cs="Arabic Typesetting"/>
          <w:b/>
          <w:i/>
          <w:rtl/>
          <w:lang w:bidi="ar-EG"/>
        </w:rPr>
        <w:footnoteReference w:id="1"/>
      </w:r>
      <w:r w:rsidRPr="005D619C">
        <w:rPr>
          <w:rtl/>
          <w:lang w:bidi="ar-EG"/>
        </w:rPr>
        <w:t xml:space="preserve"> في تحديد مستوى تغطية التدقيق اللازم للفترة 2012/2013.</w:t>
      </w:r>
      <w:r>
        <w:rPr>
          <w:rtl/>
        </w:rPr>
        <w:t xml:space="preserve"> </w:t>
      </w:r>
    </w:p>
    <w:p w:rsidR="00167916" w:rsidRPr="005D619C" w:rsidRDefault="00167916" w:rsidP="00AD06B8">
      <w:pPr>
        <w:pStyle w:val="NumberedParaAR"/>
      </w:pPr>
      <w:r w:rsidRPr="005D619C">
        <w:rPr>
          <w:rtl/>
          <w:lang w:bidi="ar-EG"/>
        </w:rPr>
        <w:lastRenderedPageBreak/>
        <w:t>وتبذل الشعبة جهودا متضافرة لوضع أولويات للرقابة تتماشى مع أولويات سياسات الويبو وبرامجها كما وردت في الوثائق العامة و/أو الوثائق المرسلة إلى الشعبة.</w:t>
      </w:r>
      <w:r>
        <w:rPr>
          <w:rtl/>
        </w:rPr>
        <w:t xml:space="preserve"> </w:t>
      </w:r>
      <w:r w:rsidRPr="005D619C">
        <w:rPr>
          <w:rtl/>
          <w:lang w:bidi="ar-EG"/>
        </w:rPr>
        <w:t>وتحرص الشعبة على مواكبة التطورات بشأن توجه السياسة العامة، وذلك من خلال استعراض الوثائق الاستراتيجية والتشغيلية، كتلك الخاصة بالجمعية العامة والبرنامج والميزانية واللجان الدائمة والتعديلات على نظام الموظفين ولائحته وغيرها من وثائق البرامج والتخطيط.</w:t>
      </w:r>
      <w:r>
        <w:rPr>
          <w:rtl/>
        </w:rPr>
        <w:t xml:space="preserve"> </w:t>
      </w:r>
      <w:r w:rsidRPr="005D619C">
        <w:rPr>
          <w:rtl/>
          <w:lang w:bidi="ar-EG"/>
        </w:rPr>
        <w:t>كما يشارك مدير الشعبة أو من ينوب عنه في الاجتماعات المنتظمة والخاصة للإدارة العليا برئاسة المدير العام.</w:t>
      </w:r>
      <w:r>
        <w:rPr>
          <w:rtl/>
        </w:rPr>
        <w:t xml:space="preserve"> </w:t>
      </w:r>
      <w:r w:rsidRPr="005D619C">
        <w:rPr>
          <w:rtl/>
          <w:lang w:bidi="ar-EG"/>
        </w:rPr>
        <w:t>ومن خلال هذه العمليات، تزداد الشعبة وعيا بأولويات البرامج والأهداف الكلية للمنظمة.</w:t>
      </w:r>
      <w:r>
        <w:rPr>
          <w:rtl/>
        </w:rPr>
        <w:t xml:space="preserve"> </w:t>
      </w:r>
    </w:p>
    <w:p w:rsidR="00167916" w:rsidRPr="005D619C" w:rsidRDefault="00167916" w:rsidP="00DD0FCB">
      <w:pPr>
        <w:pStyle w:val="NumberedParaAR"/>
      </w:pPr>
      <w:r w:rsidRPr="005D619C">
        <w:rPr>
          <w:rtl/>
          <w:lang w:bidi="ar-EG"/>
        </w:rPr>
        <w:t>وتستند الشعبة أيضا في إعداد خطتها إلى العمل المنجز من قبل القائمين بأعمال التأكد الآخرين مثل مراجع الحسابات الخارجي ووحدة التفتيش المشتركة أو التقييمات التي تطلبها اللجنة المعنية بالتنمية والملكية الفكرية.</w:t>
      </w:r>
      <w:r>
        <w:rPr>
          <w:rtl/>
        </w:rPr>
        <w:t xml:space="preserve"> </w:t>
      </w:r>
      <w:r w:rsidRPr="005D619C">
        <w:rPr>
          <w:rtl/>
          <w:lang w:bidi="ar-EG"/>
        </w:rPr>
        <w:t>ويسمح التنسيق مع هيئات الرقابة الأخرى للشعبة أن تضمن مستوى تغطية ملائم للرقابة فضلا عن تجنب "الأعباء المفرطة للرقابة" في المجالات التي تشهد تكرارا للرقابة، وتجنب تكرار التدقيق الداخلي والخارجي والتقييم على سبيل المثال.</w:t>
      </w:r>
      <w:r w:rsidRPr="005D619C">
        <w:t xml:space="preserve"> </w:t>
      </w:r>
    </w:p>
    <w:p w:rsidR="00167916" w:rsidRPr="005D619C" w:rsidRDefault="00167916" w:rsidP="00DD0FCB">
      <w:pPr>
        <w:pStyle w:val="NumberedParaAR"/>
      </w:pPr>
      <w:r w:rsidRPr="005D619C">
        <w:rPr>
          <w:rtl/>
          <w:lang w:bidi="ar-EG"/>
        </w:rPr>
        <w:t>وتماشيا مع ميثاق الويبو للرقابة الداخلية، أخذت الشعبة بعين الاعتبار أثناء عملية التخطيط برمتها تعليقات الدول الأعضاء والشعبة والمدير العام والإدارة.</w:t>
      </w:r>
      <w:r w:rsidRPr="005D619C">
        <w:t xml:space="preserve"> </w:t>
      </w:r>
    </w:p>
    <w:p w:rsidR="00167916" w:rsidRPr="005D619C" w:rsidRDefault="00167916" w:rsidP="00DD0FCB">
      <w:pPr>
        <w:pStyle w:val="NumberedParaAR"/>
      </w:pPr>
      <w:r w:rsidRPr="005D619C">
        <w:rPr>
          <w:rtl/>
          <w:lang w:bidi="ar-EG"/>
        </w:rPr>
        <w:t>وأخيرا، تبذل شعبة التدقيق الداخلي والرقابة الإدارية كل الجهود لاستكمال التحقيقات في الوقت المناسب ودون الإخلال بالجودة.</w:t>
      </w:r>
      <w:r>
        <w:rPr>
          <w:rtl/>
        </w:rPr>
        <w:t xml:space="preserve"> </w:t>
      </w:r>
      <w:r w:rsidRPr="005D619C">
        <w:rPr>
          <w:rtl/>
          <w:lang w:bidi="ar-EG"/>
        </w:rPr>
        <w:t>وكما في السنوات السابقة، كان من بين الأولويات التعامل مع الملفات المتأخرة.</w:t>
      </w:r>
      <w:r w:rsidRPr="005D619C">
        <w:t xml:space="preserve"> </w:t>
      </w:r>
      <w:r w:rsidRPr="005D619C">
        <w:rPr>
          <w:rtl/>
          <w:lang w:bidi="ar-EG"/>
        </w:rPr>
        <w:t>وقد تحقق نجاح كبير في هذا الصدد خلال فترة التقرير كما يرد في الجزء الخاص "بأنشطة التحقيق".</w:t>
      </w:r>
      <w:r>
        <w:rPr>
          <w:rtl/>
        </w:rPr>
        <w:t xml:space="preserve"> </w:t>
      </w:r>
      <w:r w:rsidRPr="005D619C">
        <w:rPr>
          <w:rtl/>
          <w:lang w:bidi="ar-EG"/>
        </w:rPr>
        <w:t xml:space="preserve">ومن ثم سيسمح ذلك للشعبة بإجراء المزيد من العمل </w:t>
      </w:r>
      <w:proofErr w:type="spellStart"/>
      <w:r w:rsidRPr="005D619C">
        <w:rPr>
          <w:rtl/>
          <w:lang w:bidi="ar-EG"/>
        </w:rPr>
        <w:t>الاستباقي</w:t>
      </w:r>
      <w:proofErr w:type="spellEnd"/>
      <w:r w:rsidRPr="005D619C">
        <w:rPr>
          <w:rtl/>
          <w:lang w:bidi="ar-EG"/>
        </w:rPr>
        <w:t xml:space="preserve"> في مجال التحقيق والتركيز على مكافحة الغش.</w:t>
      </w:r>
    </w:p>
    <w:p w:rsidR="00167916" w:rsidRPr="005D619C" w:rsidRDefault="00167916" w:rsidP="00DD0FCB">
      <w:pPr>
        <w:pStyle w:val="Heading1"/>
        <w:keepNext w:val="0"/>
        <w:numPr>
          <w:ilvl w:val="0"/>
          <w:numId w:val="28"/>
        </w:numPr>
        <w:bidi/>
        <w:spacing w:after="360"/>
        <w:rPr>
          <w:rFonts w:ascii="Arabic Typesetting" w:hAnsi="Arabic Typesetting" w:cs="Arabic Typesetting"/>
          <w:sz w:val="40"/>
          <w:szCs w:val="40"/>
          <w:lang w:bidi="ar-EG"/>
        </w:rPr>
      </w:pPr>
      <w:bookmarkStart w:id="7" w:name="_Toc361774208"/>
      <w:r w:rsidRPr="005D619C">
        <w:rPr>
          <w:rFonts w:ascii="Arabic Typesetting" w:hAnsi="Arabic Typesetting" w:cs="Arabic Typesetting"/>
          <w:sz w:val="40"/>
          <w:szCs w:val="40"/>
          <w:rtl/>
          <w:lang w:bidi="ar-EG"/>
        </w:rPr>
        <w:t>نتائج وتوصيات مهمة للرقابة الداخلية</w:t>
      </w:r>
      <w:bookmarkEnd w:id="7"/>
    </w:p>
    <w:p w:rsidR="00167916" w:rsidRPr="005D619C" w:rsidRDefault="00167916" w:rsidP="00DD0FCB">
      <w:pPr>
        <w:pStyle w:val="NumberedParaAR"/>
      </w:pPr>
      <w:r w:rsidRPr="005D619C">
        <w:rPr>
          <w:rtl/>
          <w:lang w:bidi="ar-EG"/>
        </w:rPr>
        <w:t>أبلغت شعبة التدقيق الداخلي والرقابة الإدارية عن نتائج في المجالات الرئيسية التالية</w:t>
      </w:r>
      <w:r w:rsidRPr="00DD0FCB">
        <w:rPr>
          <w:rStyle w:val="FootnoteReference"/>
          <w:rFonts w:cs="Arabic Typesetting"/>
          <w:rtl/>
          <w:lang w:bidi="ar-EG"/>
        </w:rPr>
        <w:footnoteReference w:id="2"/>
      </w:r>
      <w:r w:rsidRPr="005D619C">
        <w:rPr>
          <w:rtl/>
          <w:lang w:bidi="ar-EG"/>
        </w:rPr>
        <w:t>:</w:t>
      </w:r>
      <w:r w:rsidRPr="005D619C">
        <w:t xml:space="preserve"> </w:t>
      </w:r>
      <w:r w:rsidRPr="005D619C">
        <w:rPr>
          <w:rtl/>
          <w:lang w:bidi="ar-EG"/>
        </w:rPr>
        <w:t>إدارة البرامج والمشروعات، وعملية توليد الإيرادات بناء على معاهدة التعاون بشأن البراءات، وإدارة الأسفار، وإدارة دورة الدفع وإدارة خدمات المؤتمرات واللغات وإدارة مشروعات البناء.</w:t>
      </w:r>
      <w:r>
        <w:rPr>
          <w:rtl/>
        </w:rPr>
        <w:t xml:space="preserve"> </w:t>
      </w:r>
      <w:r w:rsidRPr="005D619C">
        <w:rPr>
          <w:rtl/>
          <w:lang w:bidi="ar-EG"/>
        </w:rPr>
        <w:t>ووفقا لميثاق الرقابة الداخلية، فإن التعليقات التالية توضح نتائج أعمال الرقابة المنجزة أثناء</w:t>
      </w:r>
      <w:r w:rsidR="00DD0FCB">
        <w:rPr>
          <w:rFonts w:hint="cs"/>
          <w:rtl/>
          <w:lang w:bidi="ar-EG"/>
        </w:rPr>
        <w:t> </w:t>
      </w:r>
      <w:r w:rsidRPr="005D619C">
        <w:rPr>
          <w:rtl/>
          <w:lang w:bidi="ar-EG"/>
        </w:rPr>
        <w:t>الفترة.</w:t>
      </w:r>
    </w:p>
    <w:p w:rsidR="00167916" w:rsidRPr="005D619C" w:rsidRDefault="00167916" w:rsidP="00DD0FCB">
      <w:pPr>
        <w:pStyle w:val="NumberedParaAR"/>
      </w:pPr>
      <w:r w:rsidRPr="005D619C">
        <w:rPr>
          <w:rtl/>
          <w:lang w:bidi="ar-EG"/>
        </w:rPr>
        <w:t>وقد اتخذت الإدارة إجراءات فعلية فيما يتعلق بالمسائل المحددة.</w:t>
      </w:r>
      <w:r>
        <w:rPr>
          <w:rtl/>
        </w:rPr>
        <w:t xml:space="preserve"> </w:t>
      </w:r>
      <w:r w:rsidRPr="005D619C">
        <w:rPr>
          <w:rtl/>
          <w:lang w:bidi="ar-EG"/>
        </w:rPr>
        <w:t>والآن ثمة حوار تفاعلي بدرجة كبيرة بين الشعبة والإدارة حول تنفيذ التوصيات، على النحو المبين أدناه.</w:t>
      </w:r>
    </w:p>
    <w:p w:rsidR="00167916" w:rsidRPr="00DD0FCB" w:rsidRDefault="00DD0FCB" w:rsidP="00DD0FCB">
      <w:pPr>
        <w:pStyle w:val="Heading2"/>
        <w:keepNext w:val="0"/>
        <w:bidi/>
        <w:spacing w:after="240"/>
        <w:ind w:left="567"/>
        <w:rPr>
          <w:rFonts w:ascii="Arabic Typesetting" w:hAnsi="Arabic Typesetting" w:cs="Arabic Typesetting"/>
          <w:b/>
          <w:bCs w:val="0"/>
          <w:i/>
          <w:iCs w:val="0"/>
          <w:sz w:val="36"/>
          <w:szCs w:val="36"/>
          <w:lang w:bidi="ar-EG"/>
        </w:rPr>
      </w:pPr>
      <w:bookmarkStart w:id="8" w:name="_Toc361774209"/>
      <w:r w:rsidRPr="00DD0FCB">
        <w:rPr>
          <w:rFonts w:ascii="Arabic Typesetting" w:hAnsi="Arabic Typesetting" w:cs="Arabic Typesetting"/>
          <w:b/>
          <w:bCs w:val="0"/>
          <w:i/>
          <w:iCs w:val="0"/>
          <w:sz w:val="36"/>
          <w:szCs w:val="36"/>
          <w:rtl/>
          <w:lang w:bidi="ar-EG"/>
        </w:rPr>
        <w:t>ألف.</w:t>
      </w:r>
      <w:r w:rsidRPr="00DD0FCB">
        <w:rPr>
          <w:rFonts w:ascii="Arabic Typesetting" w:hAnsi="Arabic Typesetting" w:cs="Arabic Typesetting" w:hint="cs"/>
          <w:b/>
          <w:bCs w:val="0"/>
          <w:i/>
          <w:iCs w:val="0"/>
          <w:sz w:val="36"/>
          <w:szCs w:val="36"/>
          <w:rtl/>
          <w:lang w:bidi="ar-EG"/>
        </w:rPr>
        <w:tab/>
      </w:r>
      <w:r w:rsidR="00167916" w:rsidRPr="00DD0FCB">
        <w:rPr>
          <w:rFonts w:ascii="Arabic Typesetting" w:hAnsi="Arabic Typesetting" w:cs="Arabic Typesetting"/>
          <w:b/>
          <w:bCs w:val="0"/>
          <w:i/>
          <w:iCs w:val="0"/>
          <w:sz w:val="36"/>
          <w:szCs w:val="36"/>
          <w:rtl/>
          <w:lang w:bidi="ar-EG"/>
        </w:rPr>
        <w:t>إدارة البرامج والمشروعات</w:t>
      </w:r>
      <w:bookmarkEnd w:id="8"/>
    </w:p>
    <w:p w:rsidR="00167916" w:rsidRPr="005D619C" w:rsidRDefault="00167916" w:rsidP="00DD0FCB">
      <w:pPr>
        <w:pStyle w:val="NumberedParaAR"/>
      </w:pPr>
      <w:r w:rsidRPr="005D619C">
        <w:rPr>
          <w:rtl/>
          <w:lang w:bidi="ar-EG"/>
        </w:rPr>
        <w:t>من خلال تقييم مشروعين من مشروعات جدول أعمال التنمية والاستعراض المستمر لاستخدام المنظمة للإطار القائم على النتائج، حددت شعبة التدقيق الداخلي والرقابة الإدارية الممارسات الجيدة وأصدرت بعض التوصيات لتحسين إدارة البرامج والمشروعات.</w:t>
      </w:r>
      <w:r w:rsidRPr="005D619C">
        <w:t xml:space="preserve"> </w:t>
      </w:r>
    </w:p>
    <w:p w:rsidR="00167916" w:rsidRPr="005D619C" w:rsidRDefault="00167916" w:rsidP="00DD0FCB">
      <w:pPr>
        <w:pStyle w:val="NumberedParaAR"/>
        <w:rPr>
          <w:lang w:val="en-CA"/>
        </w:rPr>
      </w:pPr>
      <w:r w:rsidRPr="005D619C">
        <w:rPr>
          <w:rtl/>
          <w:lang w:bidi="ar-EG"/>
        </w:rPr>
        <w:lastRenderedPageBreak/>
        <w:t>واستطاعت الويبو أن تستفيد أكثر من مؤشرات للأداء والنتائج تتسم بأنها متخصصة وقابلة للقياس ويمكن تحقيقها ومتصلة بالموضوع ومحددة الوقت، وذلك في قياس آثار المشروعات والأنشطة.</w:t>
      </w:r>
      <w:r>
        <w:rPr>
          <w:rtl/>
          <w:lang w:bidi="ar-EG"/>
        </w:rPr>
        <w:t xml:space="preserve"> </w:t>
      </w:r>
      <w:r w:rsidRPr="005D619C">
        <w:rPr>
          <w:rtl/>
          <w:lang w:bidi="ar-EG"/>
        </w:rPr>
        <w:t>ويجب إيلاء مزيد من الاهتمام لتعزيز التآزر داخل الويبو وخارجها.</w:t>
      </w:r>
      <w:r>
        <w:rPr>
          <w:rtl/>
        </w:rPr>
        <w:t xml:space="preserve"> </w:t>
      </w:r>
      <w:r w:rsidRPr="005D619C">
        <w:rPr>
          <w:rtl/>
          <w:lang w:bidi="ar-EG"/>
        </w:rPr>
        <w:t>وينبغي أن يشمل هذا تعزيز دور المكاتب الإقليمية في المشروعات والتنسيق بشكل أفضل مع وكالات الأمم المتحدة في البلدان المضيفة.</w:t>
      </w:r>
      <w:r>
        <w:rPr>
          <w:rtl/>
        </w:rPr>
        <w:t xml:space="preserve"> </w:t>
      </w:r>
      <w:r w:rsidRPr="005D619C">
        <w:rPr>
          <w:rtl/>
          <w:lang w:bidi="ar-EG"/>
        </w:rPr>
        <w:t>وقد استطاعت الويبو أن تعبئ مزيدا من الجهود في رصد نتائج الأنشطة الممولة وتقييمها والإبلاغ عنها.</w:t>
      </w:r>
      <w:r w:rsidRPr="005D619C">
        <w:t xml:space="preserve"> </w:t>
      </w:r>
      <w:r w:rsidRPr="005D619C">
        <w:rPr>
          <w:rtl/>
          <w:lang w:bidi="ar-EG"/>
        </w:rPr>
        <w:t>وعموما، قد تحتاج استراتيجيات تنفيذ المشروع إلى تعديل لكي يصبح تنفيذ المشروع أكفأ وموجها بالاحتياجات أو بالطلب.</w:t>
      </w:r>
    </w:p>
    <w:p w:rsidR="00167916" w:rsidRPr="00DD0FCB" w:rsidRDefault="00DD0FCB" w:rsidP="00DD0FCB">
      <w:pPr>
        <w:pStyle w:val="Heading2"/>
        <w:keepNext w:val="0"/>
        <w:bidi/>
        <w:spacing w:after="240"/>
        <w:ind w:left="567"/>
        <w:rPr>
          <w:rFonts w:ascii="Arabic Typesetting" w:hAnsi="Arabic Typesetting" w:cs="Arabic Typesetting"/>
          <w:b/>
          <w:bCs w:val="0"/>
          <w:i/>
          <w:iCs w:val="0"/>
          <w:sz w:val="36"/>
          <w:szCs w:val="36"/>
          <w:lang w:bidi="ar-EG"/>
        </w:rPr>
      </w:pPr>
      <w:bookmarkStart w:id="9" w:name="_Toc361774210"/>
      <w:r w:rsidRPr="00DD0FCB">
        <w:rPr>
          <w:rFonts w:ascii="Arabic Typesetting" w:hAnsi="Arabic Typesetting" w:cs="Arabic Typesetting"/>
          <w:b/>
          <w:bCs w:val="0"/>
          <w:i/>
          <w:iCs w:val="0"/>
          <w:sz w:val="36"/>
          <w:szCs w:val="36"/>
          <w:rtl/>
          <w:lang w:bidi="ar-EG"/>
        </w:rPr>
        <w:t>باء.</w:t>
      </w:r>
      <w:r w:rsidRPr="00DD0FCB">
        <w:rPr>
          <w:rFonts w:ascii="Arabic Typesetting" w:hAnsi="Arabic Typesetting" w:cs="Arabic Typesetting" w:hint="cs"/>
          <w:b/>
          <w:bCs w:val="0"/>
          <w:i/>
          <w:iCs w:val="0"/>
          <w:sz w:val="36"/>
          <w:szCs w:val="36"/>
          <w:rtl/>
          <w:lang w:bidi="ar-EG"/>
        </w:rPr>
        <w:tab/>
      </w:r>
      <w:r w:rsidR="00167916" w:rsidRPr="00DD0FCB">
        <w:rPr>
          <w:rFonts w:ascii="Arabic Typesetting" w:hAnsi="Arabic Typesetting" w:cs="Arabic Typesetting"/>
          <w:b/>
          <w:bCs w:val="0"/>
          <w:i/>
          <w:iCs w:val="0"/>
          <w:sz w:val="36"/>
          <w:szCs w:val="36"/>
          <w:rtl/>
          <w:lang w:bidi="ar-EG"/>
        </w:rPr>
        <w:t>عملية توليد الإيرادات بناء على معاهدة التعاون بشأن البراءات</w:t>
      </w:r>
      <w:bookmarkEnd w:id="9"/>
    </w:p>
    <w:p w:rsidR="00167916" w:rsidRPr="005D619C" w:rsidRDefault="00167916" w:rsidP="00DD0FCB">
      <w:pPr>
        <w:pStyle w:val="NumberedParaAR"/>
      </w:pPr>
      <w:r w:rsidRPr="005D619C">
        <w:rPr>
          <w:rtl/>
          <w:lang w:bidi="ar-EG"/>
        </w:rPr>
        <w:t>أحرز تقدم ملموس على صعيد معاهدة التعاون بشأن البراءات لتحسين عميلة توليد الإيرادات.</w:t>
      </w:r>
      <w:r>
        <w:rPr>
          <w:rtl/>
        </w:rPr>
        <w:t xml:space="preserve"> </w:t>
      </w:r>
      <w:r w:rsidRPr="005D619C">
        <w:rPr>
          <w:rtl/>
          <w:lang w:bidi="ar-EG"/>
        </w:rPr>
        <w:t>وقد نفذت بنجاح معظم التوصيات الصادرة عن عملية تدقيق سابقة.</w:t>
      </w:r>
    </w:p>
    <w:p w:rsidR="00167916" w:rsidRPr="005D619C" w:rsidRDefault="00167916" w:rsidP="004E359B">
      <w:pPr>
        <w:pStyle w:val="NumberedParaAR"/>
      </w:pPr>
      <w:r w:rsidRPr="005D619C">
        <w:rPr>
          <w:rtl/>
          <w:lang w:bidi="ar-EG"/>
        </w:rPr>
        <w:t>وقد تم تحسين التنسيق بين الدوائر فيما يتعلق بالتوفيق بين رسوم الطلبات ورصدها، وذلك للحد من المخاطر بشأن شمولية ودقة معاهدات التعاون بشأن البراءات.</w:t>
      </w:r>
    </w:p>
    <w:p w:rsidR="00167916" w:rsidRPr="005D619C" w:rsidRDefault="00167916" w:rsidP="004E359B">
      <w:pPr>
        <w:pStyle w:val="NumberedParaAR"/>
      </w:pPr>
      <w:r w:rsidRPr="005D619C">
        <w:rPr>
          <w:rtl/>
          <w:lang w:bidi="ar-EG"/>
        </w:rPr>
        <w:t>ولا تأخذ المنهجية المتبعة في تحديد تكلفة الوحدة لكل عملية نشر بناء على المعاهدة بعين الاعتبار جميع عناصر التكلفة المتصلة بالموضوع وذلك نظرا لعدم وجود نظام محاسبة بشأن التكاليف.</w:t>
      </w:r>
      <w:r>
        <w:rPr>
          <w:rtl/>
        </w:rPr>
        <w:t xml:space="preserve"> </w:t>
      </w:r>
      <w:r w:rsidRPr="005D619C">
        <w:rPr>
          <w:rtl/>
          <w:lang w:bidi="ar-EG"/>
        </w:rPr>
        <w:t>وبغية تحسين عملية وضع الميزانية، ينبغي أن تستكشف المنظمة سبلا لحساب التكاليف المتصلة بالموضوع لكي تحسب بدقة مؤشر تكلفة الوحدة.</w:t>
      </w:r>
    </w:p>
    <w:p w:rsidR="00167916" w:rsidRPr="005D619C" w:rsidRDefault="00167916" w:rsidP="004E359B">
      <w:pPr>
        <w:pStyle w:val="NumberedParaAR"/>
      </w:pPr>
      <w:r w:rsidRPr="005D619C">
        <w:rPr>
          <w:rtl/>
          <w:lang w:bidi="ar-EG"/>
        </w:rPr>
        <w:t>وتتضمن معاهدة التعاون بشأن البراءات أحكاما بشأن دفع الرسوم المختلفة المتعلقة بطلبات البراءات.</w:t>
      </w:r>
      <w:r>
        <w:rPr>
          <w:rtl/>
        </w:rPr>
        <w:t xml:space="preserve"> </w:t>
      </w:r>
      <w:r w:rsidRPr="005D619C">
        <w:rPr>
          <w:rtl/>
          <w:lang w:bidi="ar-EG"/>
        </w:rPr>
        <w:t>وتحدد الويبو مقدارا مساويا لكل رسم بالنسبة لكل عملة قابلة للتحويل دون قيود وفقا لتوجيهات جمعية معاهدة التعاون بشأن البراءات.</w:t>
      </w:r>
      <w:r>
        <w:rPr>
          <w:rtl/>
        </w:rPr>
        <w:t xml:space="preserve"> </w:t>
      </w:r>
      <w:r w:rsidRPr="005D619C">
        <w:rPr>
          <w:rtl/>
          <w:lang w:bidi="ar-EG"/>
        </w:rPr>
        <w:t>وتحدّث الرسوم عندما يستوفي اختلاف سعر الصرف مجموعة من الشروط المحددة.</w:t>
      </w:r>
      <w:r>
        <w:rPr>
          <w:rtl/>
        </w:rPr>
        <w:t xml:space="preserve"> </w:t>
      </w:r>
      <w:r w:rsidRPr="005D619C">
        <w:rPr>
          <w:rtl/>
          <w:lang w:bidi="ar-EG"/>
        </w:rPr>
        <w:t>وهذا الإجراء لا يحمي الويبو بشكل فعال من مخاطر أسعار الصرف لأن عملية تحديد رسم جديد تستغرق 3 أشهر.</w:t>
      </w:r>
      <w:r>
        <w:rPr>
          <w:rtl/>
        </w:rPr>
        <w:t xml:space="preserve"> </w:t>
      </w:r>
      <w:r w:rsidRPr="005D619C">
        <w:rPr>
          <w:rtl/>
          <w:lang w:bidi="ar-EG"/>
        </w:rPr>
        <w:t>فعندما يحلّ الوقت الذي يُطبّق فيه الرسم، قد تكون أسعار الصرف قد تغيرت بدرجة كبيرة، مما يتطلب عملية إعادة تقييم.</w:t>
      </w:r>
      <w:r>
        <w:rPr>
          <w:rtl/>
        </w:rPr>
        <w:t xml:space="preserve"> </w:t>
      </w:r>
      <w:r w:rsidR="004E359B">
        <w:rPr>
          <w:rFonts w:hint="cs"/>
          <w:rtl/>
        </w:rPr>
        <w:t>و</w:t>
      </w:r>
      <w:r w:rsidRPr="005D619C">
        <w:rPr>
          <w:rtl/>
          <w:lang w:bidi="ar-EG"/>
        </w:rPr>
        <w:t>يجب على الأمانة أن تعيد النظر في المنهجية بغية تقليل التباطؤ والنظر في تقديم اقتراح للدول الأعضاء.</w:t>
      </w:r>
      <w:r>
        <w:rPr>
          <w:rtl/>
          <w:lang w:bidi="ar-EG"/>
        </w:rPr>
        <w:t xml:space="preserve"> </w:t>
      </w:r>
      <w:r w:rsidRPr="005D619C">
        <w:rPr>
          <w:rtl/>
          <w:lang w:bidi="ar-EG"/>
        </w:rPr>
        <w:t>وعندما تعيد المنظمة النظر في الآلية، ينبغي أن تضمن ألا يتأثر العملاء تأثيرا سلبيا بأي تغييرات تُجرى.</w:t>
      </w:r>
    </w:p>
    <w:p w:rsidR="00167916" w:rsidRPr="005D619C" w:rsidRDefault="00167916" w:rsidP="00A928B4">
      <w:pPr>
        <w:pStyle w:val="NumberedParaAR"/>
      </w:pPr>
      <w:r w:rsidRPr="005D619C">
        <w:rPr>
          <w:rtl/>
          <w:lang w:bidi="ar-EG"/>
        </w:rPr>
        <w:t>ولتحقيق الأهداف التجارية الحالية والمستقبلية لمعاهدة التعاون بشأن البراءات وتلبية احتياجات الأعمال التجارية المتزايدة، ينبغي التوفيق بين كفاءات الموارد البشرية لمعاهدة التعاون بشأن البراءات مع الأهداف والنتائج المرتقبة لخطة معاهدة التعاون بشأن البراءات الاستراتيجية للأجل المتوسط.</w:t>
      </w:r>
    </w:p>
    <w:p w:rsidR="00167916" w:rsidRPr="005D619C" w:rsidRDefault="00167916" w:rsidP="00A928B4">
      <w:pPr>
        <w:pStyle w:val="NumberedParaAR"/>
      </w:pPr>
      <w:r w:rsidRPr="005D619C">
        <w:rPr>
          <w:rtl/>
          <w:lang w:bidi="ar-EG"/>
        </w:rPr>
        <w:t>وأخيرا، يجب أن تتخذ الأمانة إجراءات لضمان عمل نسخ احتياطية ملائمة من بيانات معاهدة التعاون بشأن البراءات في مكان تخزين مؤمن خارج الموقع وذلك لتقليل المخاطر المتعلقة باستمرارية الأعمال التجارية بما يتفق مع أفضل ممارسات التعافي من الكوارث.</w:t>
      </w:r>
    </w:p>
    <w:p w:rsidR="00167916" w:rsidRPr="00A928B4" w:rsidRDefault="00A928B4" w:rsidP="00A928B4">
      <w:pPr>
        <w:pStyle w:val="Heading2"/>
        <w:keepNext w:val="0"/>
        <w:bidi/>
        <w:spacing w:after="240"/>
        <w:ind w:left="567"/>
        <w:rPr>
          <w:rFonts w:ascii="Arabic Typesetting" w:hAnsi="Arabic Typesetting" w:cs="Arabic Typesetting"/>
          <w:b/>
          <w:bCs w:val="0"/>
          <w:i/>
          <w:iCs w:val="0"/>
          <w:sz w:val="36"/>
          <w:szCs w:val="36"/>
          <w:lang w:bidi="ar-EG"/>
        </w:rPr>
      </w:pPr>
      <w:bookmarkStart w:id="10" w:name="_Toc361774211"/>
      <w:r w:rsidRPr="00A928B4">
        <w:rPr>
          <w:rFonts w:ascii="Arabic Typesetting" w:hAnsi="Arabic Typesetting" w:cs="Arabic Typesetting"/>
          <w:b/>
          <w:bCs w:val="0"/>
          <w:i/>
          <w:iCs w:val="0"/>
          <w:sz w:val="36"/>
          <w:szCs w:val="36"/>
          <w:rtl/>
          <w:lang w:bidi="ar-EG"/>
        </w:rPr>
        <w:t>جيم.</w:t>
      </w:r>
      <w:r w:rsidRPr="00A928B4">
        <w:rPr>
          <w:rFonts w:ascii="Arabic Typesetting" w:hAnsi="Arabic Typesetting" w:cs="Arabic Typesetting" w:hint="cs"/>
          <w:b/>
          <w:bCs w:val="0"/>
          <w:i/>
          <w:iCs w:val="0"/>
          <w:sz w:val="36"/>
          <w:szCs w:val="36"/>
          <w:rtl/>
          <w:lang w:bidi="ar-EG"/>
        </w:rPr>
        <w:tab/>
      </w:r>
      <w:r w:rsidR="00167916" w:rsidRPr="00A928B4">
        <w:rPr>
          <w:rFonts w:ascii="Arabic Typesetting" w:hAnsi="Arabic Typesetting" w:cs="Arabic Typesetting"/>
          <w:b/>
          <w:bCs w:val="0"/>
          <w:i/>
          <w:iCs w:val="0"/>
          <w:sz w:val="36"/>
          <w:szCs w:val="36"/>
          <w:rtl/>
          <w:lang w:bidi="ar-EG"/>
        </w:rPr>
        <w:t>إدارة الأسفار</w:t>
      </w:r>
      <w:bookmarkEnd w:id="10"/>
    </w:p>
    <w:p w:rsidR="00167916" w:rsidRPr="005D619C" w:rsidRDefault="00167916" w:rsidP="00A928B4">
      <w:pPr>
        <w:pStyle w:val="NumberedParaAR"/>
      </w:pPr>
      <w:r w:rsidRPr="005D619C">
        <w:rPr>
          <w:rtl/>
          <w:lang w:bidi="ar-EG"/>
        </w:rPr>
        <w:t>فذت توصيات عديدة من التقرير السابق الصادر في 2009.</w:t>
      </w:r>
      <w:r>
        <w:rPr>
          <w:rtl/>
        </w:rPr>
        <w:t xml:space="preserve"> </w:t>
      </w:r>
      <w:r w:rsidRPr="005D619C">
        <w:rPr>
          <w:rtl/>
          <w:lang w:bidi="ar-EG"/>
        </w:rPr>
        <w:t>وزاد عدد تقارير البعثات الموثقة التي أعدها الموظفون.</w:t>
      </w:r>
      <w:r>
        <w:rPr>
          <w:rtl/>
        </w:rPr>
        <w:t xml:space="preserve"> </w:t>
      </w:r>
      <w:r w:rsidRPr="005D619C">
        <w:rPr>
          <w:rtl/>
          <w:lang w:bidi="ar-EG"/>
        </w:rPr>
        <w:t>ونفذت سياسة السفر الجديدة، التي تقصر السفر في درجة رجال الأعمال على الرحلات التي تتخطى مدتها 9 ساعات.</w:t>
      </w:r>
      <w:r>
        <w:rPr>
          <w:rtl/>
        </w:rPr>
        <w:t xml:space="preserve"> </w:t>
      </w:r>
      <w:r w:rsidRPr="005D619C">
        <w:rPr>
          <w:rtl/>
          <w:lang w:bidi="ar-EG"/>
        </w:rPr>
        <w:t>ونتج عن ذلك وفورات في التكاليف لصالح المنظمة.</w:t>
      </w:r>
      <w:r>
        <w:rPr>
          <w:rtl/>
        </w:rPr>
        <w:t xml:space="preserve"> </w:t>
      </w:r>
      <w:r w:rsidRPr="005D619C">
        <w:rPr>
          <w:rtl/>
          <w:lang w:bidi="ar-EG"/>
        </w:rPr>
        <w:t xml:space="preserve">ويمكن تحقيق المزيد من </w:t>
      </w:r>
      <w:proofErr w:type="spellStart"/>
      <w:r w:rsidRPr="005D619C">
        <w:rPr>
          <w:rtl/>
          <w:lang w:bidi="ar-EG"/>
        </w:rPr>
        <w:t>الوفورات</w:t>
      </w:r>
      <w:proofErr w:type="spellEnd"/>
      <w:r w:rsidRPr="005D619C">
        <w:rPr>
          <w:rtl/>
          <w:lang w:bidi="ar-EG"/>
        </w:rPr>
        <w:t xml:space="preserve"> عن طريق إجراء تغييرات في المجالات التالية:</w:t>
      </w:r>
      <w:r w:rsidRPr="005D619C">
        <w:t xml:space="preserve"> </w:t>
      </w:r>
      <w:r w:rsidRPr="005D619C">
        <w:rPr>
          <w:rtl/>
          <w:lang w:bidi="ar-EG"/>
        </w:rPr>
        <w:t>تماشي سياسة الويبو بشأن السفر مع سياسة الأمم المتحدة بشأن السفر، وتبادل تقارير البعثات فيما بين جميع البرامج، والحجز في الوقت المناسب وإكمال المطالب المتصلة بالأسفار.</w:t>
      </w:r>
    </w:p>
    <w:p w:rsidR="00167916" w:rsidRPr="005D619C" w:rsidRDefault="00167916" w:rsidP="00A928B4">
      <w:pPr>
        <w:pStyle w:val="NumberedParaAR"/>
      </w:pPr>
      <w:r w:rsidRPr="005D619C">
        <w:rPr>
          <w:rtl/>
          <w:lang w:bidi="ar-EG"/>
        </w:rPr>
        <w:lastRenderedPageBreak/>
        <w:t>ولا يخطط موظفو الويبو دائما للسفر مقدما بشكل كاف لكي يستفيدوا من الأسعار الأكثر توفيرا عند سفرهم لأداء مهام رسمية متعلقة بالأعمال التجارية.</w:t>
      </w:r>
      <w:r>
        <w:rPr>
          <w:rtl/>
          <w:lang w:bidi="ar-EG"/>
        </w:rPr>
        <w:t xml:space="preserve"> </w:t>
      </w:r>
      <w:r w:rsidRPr="005D619C">
        <w:rPr>
          <w:rtl/>
          <w:lang w:bidi="ar-EG"/>
        </w:rPr>
        <w:t>ونتيجة لذلك، تتكبد الويبو تكاليف سفر أكثر بكثير مما هو ضروري.</w:t>
      </w:r>
      <w:r>
        <w:rPr>
          <w:rtl/>
        </w:rPr>
        <w:t xml:space="preserve"> </w:t>
      </w:r>
      <w:r w:rsidRPr="005D619C">
        <w:rPr>
          <w:rtl/>
          <w:lang w:bidi="ar-EG"/>
        </w:rPr>
        <w:t>وتقدر الشعبة أنه يمكن تحقيق وفورات سن</w:t>
      </w:r>
      <w:r w:rsidR="00A928B4">
        <w:rPr>
          <w:rtl/>
          <w:lang w:bidi="ar-EG"/>
        </w:rPr>
        <w:t>وية في التكاليف تبلغ 870 ألف فر</w:t>
      </w:r>
      <w:r w:rsidRPr="005D619C">
        <w:rPr>
          <w:rtl/>
          <w:lang w:bidi="ar-EG"/>
        </w:rPr>
        <w:t>نك سويسري في 2011 عن طريق التخطيط للسفر مقدما.</w:t>
      </w:r>
    </w:p>
    <w:p w:rsidR="00167916" w:rsidRPr="005D619C" w:rsidRDefault="00167916" w:rsidP="00A928B4">
      <w:pPr>
        <w:pStyle w:val="NumberedParaAR"/>
      </w:pPr>
      <w:r w:rsidRPr="005D619C">
        <w:rPr>
          <w:rtl/>
          <w:lang w:bidi="ar-EG"/>
        </w:rPr>
        <w:t>لم تنفذ الإدارة التوصية السابقة الصادرة عن الشعبة في 2009 بأن تجمع جميع تقارير البعثات في قاعدة بيانات لتحسين فعالية تبادل المعارف المتراكمة وتعزيز التنسيق وتحسين مبادرات برامج الويبو المستمرة والمقبلة.</w:t>
      </w:r>
    </w:p>
    <w:p w:rsidR="00167916" w:rsidRPr="005D619C" w:rsidRDefault="00167916" w:rsidP="00A928B4">
      <w:pPr>
        <w:pStyle w:val="NumberedParaAR"/>
      </w:pPr>
      <w:r w:rsidRPr="005D619C">
        <w:rPr>
          <w:rtl/>
          <w:lang w:bidi="ar-EG"/>
        </w:rPr>
        <w:t>ورغم تحديث سياسة السفر في 2011، إلا أن الشعبة تقدر أن تعديل السياسة لتتماشى أكثر مع سياسة الأمم المتحدة بشأن السفر سيقلل بشكل كبير من التكاليف الحالية لبدلات عطلة زيارة الوطن التي بلغت قرابة 7</w:t>
      </w:r>
      <w:r w:rsidR="00A928B4">
        <w:rPr>
          <w:rFonts w:hint="cs"/>
          <w:rtl/>
          <w:lang w:bidi="ar-EG"/>
        </w:rPr>
        <w:t>,</w:t>
      </w:r>
      <w:r w:rsidR="00A928B4">
        <w:rPr>
          <w:rtl/>
          <w:lang w:bidi="ar-EG"/>
        </w:rPr>
        <w:t>7 مليون فر</w:t>
      </w:r>
      <w:r w:rsidRPr="005D619C">
        <w:rPr>
          <w:rtl/>
          <w:lang w:bidi="ar-EG"/>
        </w:rPr>
        <w:t>نك سويسري في الفترة من يناير 2009 إلى ديسمبر 2011.</w:t>
      </w:r>
      <w:r w:rsidRPr="005D619C">
        <w:t xml:space="preserve"> </w:t>
      </w:r>
    </w:p>
    <w:p w:rsidR="00167916" w:rsidRPr="005D619C" w:rsidRDefault="00167916" w:rsidP="00A928B4">
      <w:pPr>
        <w:pStyle w:val="NumberedParaAR"/>
      </w:pPr>
      <w:r w:rsidRPr="005D619C">
        <w:rPr>
          <w:rtl/>
          <w:lang w:bidi="ar-EG"/>
        </w:rPr>
        <w:t>ولا يكمل موظفو الويبو دائما المطالبات المتصلة بالأسفار في الوقت المناسب وحاليا لا تمنع سلف السفر عن الموظفين الذين لم يكملوا المطالبات المتصلة بالسفر التي فات موعد استحقاقها.</w:t>
      </w:r>
      <w:r>
        <w:rPr>
          <w:rtl/>
          <w:lang w:bidi="ar-EG"/>
        </w:rPr>
        <w:t xml:space="preserve"> </w:t>
      </w:r>
      <w:r w:rsidRPr="005D619C">
        <w:rPr>
          <w:rtl/>
          <w:lang w:bidi="ar-EG"/>
        </w:rPr>
        <w:t>وكنتيجة لذلك، قد لا تعرف الإدارة ما إذا كانت سلف الأسفار مبررة أو لا، وقد لا تُحسب تكاليف الأسفار كلها على نحو صحيح.</w:t>
      </w:r>
      <w:r>
        <w:rPr>
          <w:rtl/>
        </w:rPr>
        <w:t xml:space="preserve"> </w:t>
      </w:r>
    </w:p>
    <w:p w:rsidR="00167916" w:rsidRPr="00A928B4" w:rsidRDefault="00A928B4" w:rsidP="00A928B4">
      <w:pPr>
        <w:pStyle w:val="Heading2"/>
        <w:keepNext w:val="0"/>
        <w:bidi/>
        <w:spacing w:after="240"/>
        <w:ind w:left="567"/>
        <w:rPr>
          <w:rFonts w:ascii="Arabic Typesetting" w:hAnsi="Arabic Typesetting" w:cs="Arabic Typesetting"/>
          <w:b/>
          <w:bCs w:val="0"/>
          <w:i/>
          <w:iCs w:val="0"/>
          <w:sz w:val="36"/>
          <w:szCs w:val="36"/>
          <w:lang w:bidi="ar-EG"/>
        </w:rPr>
      </w:pPr>
      <w:bookmarkStart w:id="11" w:name="_Toc361774212"/>
      <w:r>
        <w:rPr>
          <w:rFonts w:ascii="Arabic Typesetting" w:hAnsi="Arabic Typesetting" w:cs="Arabic Typesetting"/>
          <w:b/>
          <w:bCs w:val="0"/>
          <w:i/>
          <w:iCs w:val="0"/>
          <w:sz w:val="36"/>
          <w:szCs w:val="36"/>
          <w:rtl/>
          <w:lang w:bidi="ar-EG"/>
        </w:rPr>
        <w:t>دال.</w:t>
      </w:r>
      <w:r>
        <w:rPr>
          <w:rFonts w:ascii="Arabic Typesetting" w:hAnsi="Arabic Typesetting" w:cs="Arabic Typesetting" w:hint="cs"/>
          <w:b/>
          <w:bCs w:val="0"/>
          <w:i/>
          <w:iCs w:val="0"/>
          <w:sz w:val="36"/>
          <w:szCs w:val="36"/>
          <w:rtl/>
          <w:lang w:bidi="ar-EG"/>
        </w:rPr>
        <w:tab/>
      </w:r>
      <w:r w:rsidR="00167916" w:rsidRPr="00A928B4">
        <w:rPr>
          <w:rFonts w:ascii="Arabic Typesetting" w:hAnsi="Arabic Typesetting" w:cs="Arabic Typesetting"/>
          <w:b/>
          <w:bCs w:val="0"/>
          <w:i/>
          <w:iCs w:val="0"/>
          <w:sz w:val="36"/>
          <w:szCs w:val="36"/>
          <w:rtl/>
          <w:lang w:bidi="ar-EG"/>
        </w:rPr>
        <w:t>إدارة دورة الدفع</w:t>
      </w:r>
      <w:bookmarkEnd w:id="11"/>
    </w:p>
    <w:p w:rsidR="00167916" w:rsidRPr="005D619C" w:rsidRDefault="00167916" w:rsidP="00DB5568">
      <w:pPr>
        <w:pStyle w:val="NumberedParaAR"/>
      </w:pPr>
      <w:r w:rsidRPr="005D619C">
        <w:rPr>
          <w:rtl/>
          <w:lang w:bidi="ar-EG"/>
        </w:rPr>
        <w:t>حدثت زيادة تدريجية لكن مطردة في حجم الفواتير التي يعالجها قسم النفقات بين سنتي 2010 و2012 (حوالي 8 بالمائة)، في حين ظل مستوى الموظفين ثابتا كما هو.</w:t>
      </w:r>
      <w:r>
        <w:rPr>
          <w:rtl/>
        </w:rPr>
        <w:t xml:space="preserve"> </w:t>
      </w:r>
      <w:r w:rsidRPr="005D619C">
        <w:rPr>
          <w:rtl/>
          <w:lang w:bidi="ar-EG"/>
        </w:rPr>
        <w:t xml:space="preserve">وزاد متوسط عدد المعاملات التي يعالجها كل موظف سنويا في هذه الفترة من </w:t>
      </w:r>
      <w:r w:rsidR="00DB5568">
        <w:rPr>
          <w:rFonts w:hint="cs"/>
          <w:rtl/>
          <w:lang w:bidi="ar-EG"/>
        </w:rPr>
        <w:t>657 1</w:t>
      </w:r>
      <w:r w:rsidRPr="005D619C">
        <w:rPr>
          <w:rtl/>
          <w:lang w:bidi="ar-EG"/>
        </w:rPr>
        <w:t xml:space="preserve"> إلى </w:t>
      </w:r>
      <w:r w:rsidR="00DB5568">
        <w:rPr>
          <w:rFonts w:hint="cs"/>
          <w:rtl/>
          <w:lang w:bidi="ar-EG"/>
        </w:rPr>
        <w:t>945 1</w:t>
      </w:r>
      <w:r w:rsidRPr="005D619C">
        <w:rPr>
          <w:rtl/>
          <w:lang w:bidi="ar-EG"/>
        </w:rPr>
        <w:t>. وعلى المنظمة أن تعزز هذه النتيجة الجيدة عن طريق تعزيز عمليات المراقبة الداخلية في مجال الفصل بين المهام ومراقبة الالتزامات وإدارة البيانات والمعلومات.</w:t>
      </w:r>
    </w:p>
    <w:p w:rsidR="00167916" w:rsidRPr="005D619C" w:rsidRDefault="00167916" w:rsidP="00DB5568">
      <w:pPr>
        <w:pStyle w:val="NumberedParaAR"/>
      </w:pPr>
      <w:r w:rsidRPr="005D619C">
        <w:rPr>
          <w:rtl/>
          <w:lang w:bidi="ar-EG"/>
        </w:rPr>
        <w:t>وينبغي زيادة تعزيز عملية الفصل بين المهام من ناحية عدد الموظفين الذين يمكنهم إدارة دورات الدفع والحفاظ على البيانات الرئيسية للبائعين في نظام الإدارة المتكاملة للمعلومات (</w:t>
      </w:r>
      <w:r w:rsidRPr="005D619C">
        <w:rPr>
          <w:lang w:bidi="ar-EG"/>
        </w:rPr>
        <w:t>AIMS</w:t>
      </w:r>
      <w:r w:rsidRPr="005D619C">
        <w:rPr>
          <w:rtl/>
          <w:lang w:bidi="ar-EG"/>
        </w:rPr>
        <w:t>).</w:t>
      </w:r>
      <w:r>
        <w:rPr>
          <w:rtl/>
        </w:rPr>
        <w:t xml:space="preserve"> </w:t>
      </w:r>
      <w:r w:rsidRPr="005D619C">
        <w:rPr>
          <w:rtl/>
          <w:lang w:bidi="ar-EG"/>
        </w:rPr>
        <w:t>فلذلك تأثير على سلامة البيانات</w:t>
      </w:r>
      <w:r w:rsidRPr="00DB5568">
        <w:rPr>
          <w:rStyle w:val="FootnoteReference"/>
          <w:rFonts w:cs="Arabic Typesetting"/>
          <w:rtl/>
          <w:lang w:bidi="ar-EG"/>
        </w:rPr>
        <w:footnoteReference w:id="3"/>
      </w:r>
      <w:r w:rsidRPr="005D619C">
        <w:rPr>
          <w:rtl/>
          <w:lang w:bidi="ar-EG"/>
        </w:rPr>
        <w:t xml:space="preserve"> في نظام الإدارة المتكاملة للمعلومات وهو يتطلب إجراءات مشتركة بين وحدات الويبو المعنية لتحسين بيئة المراقبة وكفاءة العمليات.</w:t>
      </w:r>
    </w:p>
    <w:p w:rsidR="00167916" w:rsidRPr="005D619C" w:rsidRDefault="00167916" w:rsidP="00DB5568">
      <w:pPr>
        <w:pStyle w:val="NumberedParaAR"/>
      </w:pPr>
      <w:r w:rsidRPr="005D619C">
        <w:rPr>
          <w:rtl/>
          <w:lang w:bidi="ar-EG"/>
        </w:rPr>
        <w:t>وقد قدم عدد كبير من طلبات الشراء (17 بالمائة من حيث القيمة) بعد إتمام الشراء بالفعل</w:t>
      </w:r>
      <w:r w:rsidRPr="00DB5568">
        <w:rPr>
          <w:rStyle w:val="FootnoteReference"/>
          <w:rFonts w:cs="Arabic Typesetting"/>
          <w:rtl/>
          <w:lang w:bidi="ar-EG"/>
        </w:rPr>
        <w:footnoteReference w:id="4"/>
      </w:r>
      <w:r w:rsidRPr="005D619C">
        <w:rPr>
          <w:rtl/>
          <w:lang w:bidi="ar-EG"/>
        </w:rPr>
        <w:t>.</w:t>
      </w:r>
      <w:r>
        <w:rPr>
          <w:rtl/>
        </w:rPr>
        <w:t xml:space="preserve"> </w:t>
      </w:r>
      <w:r w:rsidRPr="005D619C">
        <w:rPr>
          <w:rtl/>
          <w:lang w:bidi="ar-EG"/>
        </w:rPr>
        <w:t>ومن الجدير بالذكر أن تقديم الطلبات بعد إتمام الشراء بالفعل له تأثير كبير على نظام مراقبة التزامات المنظمة وينبغي اللجوء لذلك كاستثناء من باب الحصافة المالية والانضباط التنظيمي.</w:t>
      </w:r>
    </w:p>
    <w:p w:rsidR="00167916" w:rsidRPr="005D619C" w:rsidRDefault="00167916" w:rsidP="00DB5568">
      <w:pPr>
        <w:pStyle w:val="NumberedParaAR"/>
      </w:pPr>
      <w:r w:rsidRPr="005D619C">
        <w:rPr>
          <w:rtl/>
          <w:lang w:bidi="ar-EG"/>
        </w:rPr>
        <w:t>ومن أهم فوائد نظام الإدارة المتكاملة للمعلومات ـ الذي يعد أحد حلول مشروع تخطيط الموارد المؤسسية ـ القدرة على استخدام بيانات رئيسية مشتركة، مثل بيانات البائعين، عبر وظائف متعددة.</w:t>
      </w:r>
      <w:r>
        <w:rPr>
          <w:rtl/>
        </w:rPr>
        <w:t xml:space="preserve"> </w:t>
      </w:r>
      <w:r w:rsidRPr="005D619C">
        <w:rPr>
          <w:rtl/>
          <w:lang w:bidi="ar-EG"/>
        </w:rPr>
        <w:t>ولكن هذه الفائدة لا تتحقق إلا من خلال الحفاظ على سلامة البيانات.</w:t>
      </w:r>
      <w:r>
        <w:rPr>
          <w:rtl/>
        </w:rPr>
        <w:t xml:space="preserve"> </w:t>
      </w:r>
      <w:r w:rsidRPr="005D619C">
        <w:rPr>
          <w:rtl/>
          <w:lang w:bidi="ar-EG"/>
        </w:rPr>
        <w:t>ولم يكن هذا ما تم؛ فقد حددت الشعبة حالات تكرار محتمل بناء على أسماء وعناوين</w:t>
      </w:r>
      <w:r w:rsidR="00DB5568">
        <w:rPr>
          <w:rFonts w:hint="cs"/>
          <w:rtl/>
          <w:lang w:bidi="ar-EG"/>
        </w:rPr>
        <w:t> </w:t>
      </w:r>
      <w:r w:rsidRPr="005D619C">
        <w:rPr>
          <w:rtl/>
          <w:lang w:bidi="ar-EG"/>
        </w:rPr>
        <w:t>البائعين.</w:t>
      </w:r>
      <w:r>
        <w:rPr>
          <w:rtl/>
        </w:rPr>
        <w:t xml:space="preserve"> </w:t>
      </w:r>
    </w:p>
    <w:p w:rsidR="00167916" w:rsidRPr="005D619C" w:rsidRDefault="00167916" w:rsidP="00DB5568">
      <w:pPr>
        <w:pStyle w:val="NumberedParaAR"/>
      </w:pPr>
      <w:r w:rsidRPr="005D619C">
        <w:rPr>
          <w:rtl/>
          <w:lang w:bidi="ar-EG"/>
        </w:rPr>
        <w:lastRenderedPageBreak/>
        <w:t>ولم تنشئ الويبو حاليا نظاما متكاملا للمعلومات الإدارية، ففيما عدا التقارير الشهرية المعتادة، تُحصل المعلومات المالية وغير المالية ويُبلغ بها بصفة خاصة.</w:t>
      </w:r>
      <w:r>
        <w:rPr>
          <w:rtl/>
        </w:rPr>
        <w:t xml:space="preserve"> </w:t>
      </w:r>
      <w:r w:rsidRPr="005D619C">
        <w:rPr>
          <w:rtl/>
          <w:lang w:bidi="ar-EG"/>
        </w:rPr>
        <w:t>ويمكن إجراء تحسين لتوليد التقارير بشأن المعلومات الإدارية التي يمكن أن تساعد في اتخاذ القرارات على نحو أفضل وتحسين عمليات المراقبة.</w:t>
      </w:r>
    </w:p>
    <w:p w:rsidR="00167916" w:rsidRPr="00DB5568" w:rsidRDefault="00DB5568" w:rsidP="00DB5568">
      <w:pPr>
        <w:pStyle w:val="Heading2"/>
        <w:bidi/>
        <w:spacing w:after="240"/>
        <w:ind w:left="567"/>
        <w:rPr>
          <w:rFonts w:ascii="Arabic Typesetting" w:hAnsi="Arabic Typesetting" w:cs="Arabic Typesetting"/>
          <w:b/>
          <w:bCs w:val="0"/>
          <w:i/>
          <w:iCs w:val="0"/>
          <w:sz w:val="36"/>
          <w:szCs w:val="36"/>
          <w:lang w:bidi="ar-EG"/>
        </w:rPr>
      </w:pPr>
      <w:bookmarkStart w:id="12" w:name="_Toc361774213"/>
      <w:r>
        <w:rPr>
          <w:rFonts w:ascii="Arabic Typesetting" w:hAnsi="Arabic Typesetting" w:cs="Arabic Typesetting"/>
          <w:b/>
          <w:bCs w:val="0"/>
          <w:i/>
          <w:iCs w:val="0"/>
          <w:sz w:val="36"/>
          <w:szCs w:val="36"/>
          <w:rtl/>
          <w:lang w:bidi="ar-EG"/>
        </w:rPr>
        <w:t>هاء.</w:t>
      </w:r>
      <w:r>
        <w:rPr>
          <w:rFonts w:ascii="Arabic Typesetting" w:hAnsi="Arabic Typesetting" w:cs="Arabic Typesetting" w:hint="cs"/>
          <w:b/>
          <w:bCs w:val="0"/>
          <w:i/>
          <w:iCs w:val="0"/>
          <w:sz w:val="36"/>
          <w:szCs w:val="36"/>
          <w:rtl/>
          <w:lang w:bidi="ar-EG"/>
        </w:rPr>
        <w:tab/>
      </w:r>
      <w:r w:rsidR="00167916" w:rsidRPr="00DB5568">
        <w:rPr>
          <w:rFonts w:ascii="Arabic Typesetting" w:hAnsi="Arabic Typesetting" w:cs="Arabic Typesetting"/>
          <w:b/>
          <w:bCs w:val="0"/>
          <w:i/>
          <w:iCs w:val="0"/>
          <w:sz w:val="36"/>
          <w:szCs w:val="36"/>
          <w:rtl/>
          <w:lang w:bidi="ar-EG"/>
        </w:rPr>
        <w:t>إدارة خدمات المؤتمرات واللغات</w:t>
      </w:r>
      <w:bookmarkEnd w:id="12"/>
    </w:p>
    <w:p w:rsidR="00167916" w:rsidRPr="005D619C" w:rsidRDefault="00167916" w:rsidP="00DB5568">
      <w:pPr>
        <w:pStyle w:val="NumberedParaAR"/>
      </w:pPr>
      <w:r w:rsidRPr="005D619C">
        <w:rPr>
          <w:rtl/>
          <w:lang w:bidi="ar-EG"/>
        </w:rPr>
        <w:t>راجعت شعبة التدقيق الداخلي والرقابة الإدارية الخدمات التي تقدمها شعبة المؤتمرات واللغات استنادا إلى معايير 22 من هيئات الأمم المتحدة والمنظمات الدولية الأخرى ووجدت أن أعباء خدمات الترجمة في الويبو أكثر واستخدام أدوات تكنولوجيا المعلومات فيها محدودا بدرجة أكبر ووجدت اختلافات في تكاليف خدمات الاستعانة بالمصادر الخارجية.</w:t>
      </w:r>
    </w:p>
    <w:p w:rsidR="00167916" w:rsidRPr="005D619C" w:rsidRDefault="00167916" w:rsidP="00DB5568">
      <w:pPr>
        <w:pStyle w:val="NumberedParaAR"/>
      </w:pPr>
      <w:r w:rsidRPr="005D619C">
        <w:rPr>
          <w:rtl/>
          <w:lang w:bidi="ar-EG"/>
        </w:rPr>
        <w:t>فالمحاضر الحرفية التي تتضمن كتابة وتحرير الوقائع الكاملة للجمعيات وغيرها من الاجتماعات الكبرى تكبد المنظمة تكاليف باهظة (1</w:t>
      </w:r>
      <w:r w:rsidR="00DB5568">
        <w:rPr>
          <w:rFonts w:hint="cs"/>
          <w:rtl/>
          <w:lang w:bidi="ar-EG"/>
        </w:rPr>
        <w:t>,</w:t>
      </w:r>
      <w:r w:rsidRPr="005D619C">
        <w:rPr>
          <w:rtl/>
          <w:lang w:bidi="ar-EG"/>
        </w:rPr>
        <w:t>4 مليون فرنك سويسري في 2012).</w:t>
      </w:r>
      <w:r>
        <w:rPr>
          <w:rtl/>
        </w:rPr>
        <w:t xml:space="preserve"> </w:t>
      </w:r>
      <w:r w:rsidRPr="005D619C">
        <w:rPr>
          <w:rtl/>
          <w:lang w:bidi="ar-EG"/>
        </w:rPr>
        <w:t xml:space="preserve">ويتعين على الويبو أن تستغل التقنيات المتاحة حاليا لتوفير المعلومات </w:t>
      </w:r>
      <w:proofErr w:type="spellStart"/>
      <w:r w:rsidRPr="005D619C">
        <w:rPr>
          <w:rtl/>
          <w:lang w:bidi="ar-EG"/>
        </w:rPr>
        <w:t>بأنساق</w:t>
      </w:r>
      <w:proofErr w:type="spellEnd"/>
      <w:r w:rsidRPr="005D619C">
        <w:rPr>
          <w:rtl/>
          <w:lang w:bidi="ar-EG"/>
        </w:rPr>
        <w:t xml:space="preserve"> مختلفة وبتكلفة أقل.</w:t>
      </w:r>
    </w:p>
    <w:p w:rsidR="00167916" w:rsidRPr="005D619C" w:rsidRDefault="00167916" w:rsidP="00DB5568">
      <w:pPr>
        <w:pStyle w:val="NumberedParaAR"/>
      </w:pPr>
      <w:r w:rsidRPr="005D619C">
        <w:rPr>
          <w:rtl/>
          <w:lang w:bidi="ar-EG"/>
        </w:rPr>
        <w:t>وقد واجهت شعبة المؤتمرات واللغات تحدي تلبية الطلب المتزايد من خلال الموارد المحدودة المتاحة.</w:t>
      </w:r>
      <w:r>
        <w:rPr>
          <w:rtl/>
        </w:rPr>
        <w:t xml:space="preserve"> </w:t>
      </w:r>
      <w:r w:rsidRPr="005D619C">
        <w:rPr>
          <w:rtl/>
          <w:lang w:bidi="ar-EG"/>
        </w:rPr>
        <w:t>ولكي تحقق شعبة المؤتمرات واللغات أهدافها ونتائجها المرتقبة، ينبغي مراجعة البنية الحالية لضمان أنها تلبي الحاجة وتوفر خدمة كفؤة.</w:t>
      </w:r>
      <w:r>
        <w:rPr>
          <w:rtl/>
        </w:rPr>
        <w:t xml:space="preserve"> </w:t>
      </w:r>
      <w:r w:rsidRPr="005D619C">
        <w:rPr>
          <w:rtl/>
          <w:lang w:bidi="ar-EG"/>
        </w:rPr>
        <w:t>وينبغي وضع نظام أكثر شمولا لتحسين سير العمل، كما ينبغي الاستعانة ببرامج حاسوبية متخصصة لإدارة مواعيد المترجمين الفوريين.</w:t>
      </w:r>
      <w:r>
        <w:rPr>
          <w:rtl/>
        </w:rPr>
        <w:t xml:space="preserve"> </w:t>
      </w:r>
      <w:r w:rsidRPr="005D619C">
        <w:rPr>
          <w:rtl/>
          <w:lang w:bidi="ar-EG"/>
        </w:rPr>
        <w:t xml:space="preserve">وينبغي الاستعانة </w:t>
      </w:r>
      <w:proofErr w:type="spellStart"/>
      <w:r w:rsidRPr="005D619C">
        <w:rPr>
          <w:rtl/>
          <w:lang w:bidi="ar-EG"/>
        </w:rPr>
        <w:t>بالاستقصاءات</w:t>
      </w:r>
      <w:proofErr w:type="spellEnd"/>
      <w:r w:rsidRPr="005D619C">
        <w:rPr>
          <w:rtl/>
          <w:lang w:bidi="ar-EG"/>
        </w:rPr>
        <w:t xml:space="preserve"> على نحو منتظم لجمع ردود الأفعال لقياس الأداء على نحو أفضل.</w:t>
      </w:r>
      <w:r>
        <w:rPr>
          <w:rtl/>
        </w:rPr>
        <w:t xml:space="preserve"> </w:t>
      </w:r>
      <w:r w:rsidRPr="005D619C">
        <w:rPr>
          <w:rtl/>
          <w:lang w:bidi="ar-EG"/>
        </w:rPr>
        <w:t>وسيتعين تعديل كفاءات شعبة المؤتمرات واللغات وكيفية سير العمل بها لتتماشى مع هذه الأدوات الجديدة.</w:t>
      </w:r>
    </w:p>
    <w:p w:rsidR="00167916" w:rsidRPr="005D619C" w:rsidRDefault="00167916" w:rsidP="00DB5568">
      <w:pPr>
        <w:pStyle w:val="NumberedParaAR"/>
      </w:pPr>
      <w:r w:rsidRPr="005D619C">
        <w:rPr>
          <w:rtl/>
          <w:lang w:bidi="ar-EG"/>
        </w:rPr>
        <w:t>وقد ترجمت شعبة المؤتمرات واللغات 55 ألف صفحة في 2012 (مقابل 36 ألف صفحة في 2011) منها 56 بالمائة عن طريق مترجمين أفراد خارجيين.</w:t>
      </w:r>
      <w:r>
        <w:rPr>
          <w:rtl/>
        </w:rPr>
        <w:t xml:space="preserve"> </w:t>
      </w:r>
      <w:r w:rsidRPr="005D619C">
        <w:rPr>
          <w:rtl/>
          <w:lang w:bidi="ar-EG"/>
        </w:rPr>
        <w:t>وهذا المعدل يتخطى المعدل المستهدف المحدد في سياسة اللغات وهو 45 بالمائة.</w:t>
      </w:r>
      <w:r>
        <w:rPr>
          <w:rtl/>
        </w:rPr>
        <w:t xml:space="preserve"> </w:t>
      </w:r>
      <w:r w:rsidRPr="005D619C">
        <w:rPr>
          <w:rtl/>
          <w:lang w:bidi="ar-EG"/>
        </w:rPr>
        <w:t>وتتطلب زيادة معدل الاستعانة بالمصادر الخارجية مراجعة سبل مراقبة الجودة في شعبة اللغات وتنسيقها.</w:t>
      </w:r>
      <w:r>
        <w:rPr>
          <w:rtl/>
        </w:rPr>
        <w:t xml:space="preserve"> </w:t>
      </w:r>
    </w:p>
    <w:p w:rsidR="00167916" w:rsidRPr="005D619C" w:rsidRDefault="00167916" w:rsidP="00DB5568">
      <w:pPr>
        <w:pStyle w:val="NumberedParaAR"/>
      </w:pPr>
      <w:r w:rsidRPr="005D619C">
        <w:rPr>
          <w:rtl/>
          <w:lang w:bidi="ar-EG"/>
        </w:rPr>
        <w:t>ولم تتم مراجعة الرسم المدفوع للمترجمين الخارجيين الأفراد لما يزيد على 15 سنة.</w:t>
      </w:r>
      <w:r>
        <w:rPr>
          <w:rtl/>
        </w:rPr>
        <w:t xml:space="preserve"> </w:t>
      </w:r>
      <w:r w:rsidRPr="005D619C">
        <w:rPr>
          <w:rtl/>
          <w:lang w:bidi="ar-EG"/>
        </w:rPr>
        <w:t>وينبغي مراجعة الرسم بغية وضع سياسة أسعار تتضمن أسعارا مختلفة لخدمات مختلفة وينبغي ربط المدفوعات بالأداء المرضي للبائعين.</w:t>
      </w:r>
    </w:p>
    <w:p w:rsidR="00167916" w:rsidRPr="00DB5568" w:rsidRDefault="00DB5568" w:rsidP="00DB5568">
      <w:pPr>
        <w:pStyle w:val="Heading2"/>
        <w:bidi/>
        <w:spacing w:after="240"/>
        <w:ind w:left="567"/>
        <w:rPr>
          <w:rFonts w:ascii="Arabic Typesetting" w:hAnsi="Arabic Typesetting" w:cs="Arabic Typesetting"/>
          <w:b/>
          <w:bCs w:val="0"/>
          <w:i/>
          <w:iCs w:val="0"/>
          <w:sz w:val="36"/>
          <w:szCs w:val="36"/>
          <w:lang w:bidi="ar-EG"/>
        </w:rPr>
      </w:pPr>
      <w:bookmarkStart w:id="13" w:name="_Toc361774214"/>
      <w:r>
        <w:rPr>
          <w:rFonts w:ascii="Arabic Typesetting" w:hAnsi="Arabic Typesetting" w:cs="Arabic Typesetting"/>
          <w:b/>
          <w:bCs w:val="0"/>
          <w:i/>
          <w:iCs w:val="0"/>
          <w:sz w:val="36"/>
          <w:szCs w:val="36"/>
          <w:rtl/>
          <w:lang w:bidi="ar-EG"/>
        </w:rPr>
        <w:t>واو.</w:t>
      </w:r>
      <w:r>
        <w:rPr>
          <w:rFonts w:ascii="Arabic Typesetting" w:hAnsi="Arabic Typesetting" w:cs="Arabic Typesetting" w:hint="cs"/>
          <w:b/>
          <w:bCs w:val="0"/>
          <w:i/>
          <w:iCs w:val="0"/>
          <w:sz w:val="36"/>
          <w:szCs w:val="36"/>
          <w:rtl/>
          <w:lang w:bidi="ar-EG"/>
        </w:rPr>
        <w:tab/>
      </w:r>
      <w:r w:rsidR="00167916" w:rsidRPr="00DB5568">
        <w:rPr>
          <w:rFonts w:ascii="Arabic Typesetting" w:hAnsi="Arabic Typesetting" w:cs="Arabic Typesetting"/>
          <w:b/>
          <w:bCs w:val="0"/>
          <w:i/>
          <w:iCs w:val="0"/>
          <w:sz w:val="36"/>
          <w:szCs w:val="36"/>
          <w:rtl/>
          <w:lang w:bidi="ar-EG"/>
        </w:rPr>
        <w:t>بناء قاعة المؤتمرات الجديدة</w:t>
      </w:r>
      <w:bookmarkEnd w:id="13"/>
    </w:p>
    <w:p w:rsidR="00167916" w:rsidRPr="005D619C" w:rsidRDefault="00167916" w:rsidP="00DB5568">
      <w:pPr>
        <w:pStyle w:val="NumberedParaAR"/>
      </w:pPr>
      <w:r w:rsidRPr="005D619C">
        <w:rPr>
          <w:rtl/>
          <w:lang w:bidi="ar-EG"/>
        </w:rPr>
        <w:t>في سبتمبر 2012، أبلغت أمانة الويبو الدول الأعضاء بإنهاء التعاقد المبرم بين الويبو والمقاول العام بالنسبة لقاعة المؤتمرات الجديدة "بشكل ودي وباتفاق الطرفين" في نهاية يوليو 2012. وذكرت اللجنة الاستشارية المستقلة للرقابة أن "إجراء تدقيق/تحقيق معمّق في إدارة المشروع انطلاقا من اختيار المقاول العام إلى غاية الاتفاق المشترك على إنهاء العلاقة من شأنه أن يأتي بمعلومات موثوقة جدا بشأن المسائل التي أدت إلى الوضع الحالي والتي سيتعين التعاطي لها في أية محاولة لاستكمال البرنامج كما هو معتزم"</w:t>
      </w:r>
      <w:r w:rsidRPr="00DB5568">
        <w:rPr>
          <w:rStyle w:val="FootnoteReference"/>
          <w:rFonts w:cs="Arabic Typesetting"/>
          <w:rtl/>
          <w:lang w:bidi="ar-EG"/>
        </w:rPr>
        <w:footnoteReference w:id="5"/>
      </w:r>
      <w:r w:rsidRPr="005D619C">
        <w:rPr>
          <w:rtl/>
          <w:lang w:bidi="ar-EG"/>
        </w:rPr>
        <w:t>.</w:t>
      </w:r>
    </w:p>
    <w:p w:rsidR="00167916" w:rsidRPr="005D619C" w:rsidRDefault="00167916" w:rsidP="00DB5568">
      <w:pPr>
        <w:pStyle w:val="NumberedParaAR"/>
      </w:pPr>
      <w:r w:rsidRPr="005D619C">
        <w:rPr>
          <w:rtl/>
          <w:lang w:bidi="ar-EG"/>
        </w:rPr>
        <w:t>ويمكن أن يعزى إنهاء التعاقد إلى تدهور علاقة العمل بين أصحاب المصلحة الرئيسيين في مشروع قاعة المؤتمرات الجديدة؛ والتأخر في أعمال البناء، حيث كان ذلك واضحا في ديسمبر 2011 واستمرار التأخر لما بعد فترة نهاية السنة، وتباين الآراء بشأن مواصفات التصميم.</w:t>
      </w:r>
      <w:r>
        <w:rPr>
          <w:rtl/>
        </w:rPr>
        <w:t xml:space="preserve"> </w:t>
      </w:r>
      <w:r w:rsidRPr="005D619C">
        <w:rPr>
          <w:rtl/>
          <w:lang w:bidi="ar-EG"/>
        </w:rPr>
        <w:t xml:space="preserve">وذكرت التقارير أن التأخر في أعمال البناء كان مقداره 3 أسابيع في ديسمبر 2011، و33 يوم عمل في مارس 2012 و52 يوم عمل في يونيو 2012. وتوقف البناء في يونيو 2012 بسبب الاختلاف بين المقاول العام والويبو عندما رفض الأول أن يهدم ويعيد بناء عمود لم يكن متماشيا مع مواصفات التصميم المعماري. </w:t>
      </w:r>
    </w:p>
    <w:p w:rsidR="00167916" w:rsidRPr="005D619C" w:rsidRDefault="00167916" w:rsidP="00D22E8E">
      <w:pPr>
        <w:pStyle w:val="NumberedParaAR"/>
      </w:pPr>
      <w:r w:rsidRPr="005D619C">
        <w:rPr>
          <w:rtl/>
          <w:lang w:bidi="ar-EG"/>
        </w:rPr>
        <w:lastRenderedPageBreak/>
        <w:t>وأُبلغت شعبة التدقيق الداخلي والرقابة الإدارية أن المخاوف بشأن صورة المنظمة ونقص الأدلة الكافية كانا هما السببان وراء عدم إنهاء التعاقد مع المقاول العام في مرحلة مبكرة.</w:t>
      </w:r>
      <w:r>
        <w:rPr>
          <w:rtl/>
        </w:rPr>
        <w:t xml:space="preserve"> </w:t>
      </w:r>
    </w:p>
    <w:p w:rsidR="00167916" w:rsidRPr="005D619C" w:rsidRDefault="00167916" w:rsidP="00D22E8E">
      <w:pPr>
        <w:pStyle w:val="NumberedParaAR"/>
      </w:pPr>
      <w:r w:rsidRPr="005D619C">
        <w:rPr>
          <w:rtl/>
          <w:lang w:bidi="ar-EG"/>
        </w:rPr>
        <w:t>ومنذ إ</w:t>
      </w:r>
      <w:r w:rsidR="00D22E8E">
        <w:rPr>
          <w:rtl/>
          <w:lang w:bidi="ar-EG"/>
        </w:rPr>
        <w:t>نهاء التعاقد، اضطلعت الويبو بمس</w:t>
      </w:r>
      <w:r w:rsidR="00D22E8E">
        <w:rPr>
          <w:rFonts w:hint="cs"/>
          <w:rtl/>
          <w:lang w:bidi="ar-EG"/>
        </w:rPr>
        <w:t>ؤ</w:t>
      </w:r>
      <w:r w:rsidRPr="005D619C">
        <w:rPr>
          <w:rtl/>
          <w:lang w:bidi="ar-EG"/>
        </w:rPr>
        <w:t>وليات المقاول العام بشأن تنفيذ مشروع قاعة المؤتمرات الجديدة وأعطت صلاحيات موسعة للمهندس وقيادة المشروع.</w:t>
      </w:r>
      <w:r>
        <w:rPr>
          <w:rtl/>
        </w:rPr>
        <w:t xml:space="preserve"> </w:t>
      </w:r>
      <w:r w:rsidRPr="005D619C">
        <w:rPr>
          <w:rtl/>
          <w:lang w:bidi="ar-EG"/>
        </w:rPr>
        <w:t>ومن ثم فإن المخاطر الكبيرة العديدة المحيطة بهذا الموقف تتطلب سرعة تصرف الإدارة وتنفيذ إجراءات التخفيف من وطأة المخاطر.</w:t>
      </w:r>
    </w:p>
    <w:p w:rsidR="00167916" w:rsidRPr="005D619C" w:rsidRDefault="00167916" w:rsidP="00D22E8E">
      <w:pPr>
        <w:pStyle w:val="NumberedParaAR"/>
      </w:pPr>
      <w:r w:rsidRPr="005D619C">
        <w:rPr>
          <w:rtl/>
          <w:lang w:bidi="ar-EG"/>
        </w:rPr>
        <w:t>وبعد إنهاء التعاقد في يوليو 2012، كانت مدفوعات الويبو للمقاول العام، وفقا للشروط التعاقدية</w:t>
      </w:r>
      <w:r w:rsidRPr="00D22E8E">
        <w:rPr>
          <w:rStyle w:val="FootnoteReference"/>
          <w:rFonts w:cs="Arabic Typesetting"/>
          <w:rtl/>
          <w:lang w:bidi="ar-EG"/>
        </w:rPr>
        <w:footnoteReference w:id="6"/>
      </w:r>
      <w:r w:rsidRPr="005D619C">
        <w:rPr>
          <w:rtl/>
          <w:lang w:bidi="ar-EG"/>
        </w:rPr>
        <w:t>، قد بلغت حوالي</w:t>
      </w:r>
      <w:r w:rsidR="00D22E8E">
        <w:rPr>
          <w:rFonts w:hint="cs"/>
          <w:rtl/>
          <w:lang w:bidi="ar-EG"/>
        </w:rPr>
        <w:t> </w:t>
      </w:r>
      <w:r w:rsidR="00D22E8E">
        <w:rPr>
          <w:rtl/>
          <w:lang w:bidi="ar-EG"/>
        </w:rPr>
        <w:t>10 مليون فر</w:t>
      </w:r>
      <w:r w:rsidRPr="005D619C">
        <w:rPr>
          <w:rtl/>
          <w:lang w:bidi="ar-EG"/>
        </w:rPr>
        <w:t>نك سويسري وهو ما يزيد عن قيمة العمل المنجز.</w:t>
      </w:r>
      <w:r>
        <w:rPr>
          <w:rtl/>
          <w:lang w:val="en-GB"/>
        </w:rPr>
        <w:t xml:space="preserve"> </w:t>
      </w:r>
      <w:r w:rsidRPr="005D619C">
        <w:rPr>
          <w:rtl/>
          <w:lang w:bidi="ar-EG"/>
        </w:rPr>
        <w:t>ومن ثم استعادت الويبو جزءا من الأموال من المقاول العام</w:t>
      </w:r>
      <w:r w:rsidRPr="00D22E8E">
        <w:rPr>
          <w:rStyle w:val="FootnoteReference"/>
          <w:rFonts w:cs="Arabic Typesetting"/>
          <w:rtl/>
          <w:lang w:bidi="ar-EG"/>
        </w:rPr>
        <w:footnoteReference w:id="7"/>
      </w:r>
      <w:r w:rsidR="00D22E8E">
        <w:rPr>
          <w:rtl/>
          <w:lang w:bidi="ar-EG"/>
        </w:rPr>
        <w:t>؛</w:t>
      </w:r>
      <w:r w:rsidR="00D22E8E">
        <w:rPr>
          <w:rFonts w:hint="cs"/>
          <w:rtl/>
          <w:lang w:bidi="ar-EG"/>
        </w:rPr>
        <w:t xml:space="preserve"> </w:t>
      </w:r>
      <w:r w:rsidRPr="005D619C">
        <w:rPr>
          <w:rtl/>
          <w:lang w:bidi="ar-EG"/>
        </w:rPr>
        <w:t>ويتعين اتخاذ المزيد من الإجراءات لضمان استرداد الأموال المستحقة للويبو.</w:t>
      </w:r>
    </w:p>
    <w:p w:rsidR="00167916" w:rsidRPr="005D619C" w:rsidRDefault="00167916" w:rsidP="0018104B">
      <w:pPr>
        <w:pStyle w:val="Heading1"/>
        <w:keepLines/>
        <w:numPr>
          <w:ilvl w:val="0"/>
          <w:numId w:val="28"/>
        </w:numPr>
        <w:bidi/>
        <w:spacing w:after="360"/>
        <w:rPr>
          <w:rFonts w:ascii="Arabic Typesetting" w:hAnsi="Arabic Typesetting" w:cs="Arabic Typesetting"/>
          <w:sz w:val="40"/>
          <w:szCs w:val="40"/>
          <w:lang w:bidi="ar-EG"/>
        </w:rPr>
      </w:pPr>
      <w:bookmarkStart w:id="14" w:name="_Toc361774215"/>
      <w:r w:rsidRPr="005D619C">
        <w:rPr>
          <w:rFonts w:ascii="Arabic Typesetting" w:hAnsi="Arabic Typesetting" w:cs="Arabic Typesetting"/>
          <w:sz w:val="40"/>
          <w:szCs w:val="40"/>
          <w:rtl/>
          <w:lang w:bidi="ar-EG"/>
        </w:rPr>
        <w:t>أنشطة التحقيق في فترة التقرير</w:t>
      </w:r>
      <w:bookmarkEnd w:id="14"/>
    </w:p>
    <w:p w:rsidR="00167916" w:rsidRPr="005D619C" w:rsidRDefault="00167916" w:rsidP="00D22E8E">
      <w:pPr>
        <w:pStyle w:val="NumberedParaAR"/>
      </w:pPr>
      <w:r w:rsidRPr="005D619C">
        <w:rPr>
          <w:rtl/>
          <w:lang w:bidi="ar-EG"/>
        </w:rPr>
        <w:t xml:space="preserve">أثناء فترة التقرير، سُجلت 16 دعوى جديدة وأقفلت 28 دعوى (مقارنة بثماني عشرة دعوى </w:t>
      </w:r>
      <w:proofErr w:type="spellStart"/>
      <w:r w:rsidRPr="005D619C">
        <w:rPr>
          <w:rtl/>
          <w:lang w:bidi="ar-EG"/>
        </w:rPr>
        <w:t>متلقاة</w:t>
      </w:r>
      <w:proofErr w:type="spellEnd"/>
      <w:r w:rsidRPr="005D619C">
        <w:rPr>
          <w:rtl/>
          <w:lang w:bidi="ar-EG"/>
        </w:rPr>
        <w:t xml:space="preserve"> و16 دعوى مقفلة في الفترة السابقة).</w:t>
      </w:r>
      <w:r>
        <w:rPr>
          <w:rtl/>
        </w:rPr>
        <w:t xml:space="preserve"> </w:t>
      </w:r>
      <w:r w:rsidRPr="005D619C">
        <w:rPr>
          <w:rtl/>
          <w:lang w:bidi="ar-EG"/>
        </w:rPr>
        <w:t>تظهر هذه الأرقام أنه بينما ظل عدد الدعاوى الجديدة المسجلة ثابتا، تمكنت الشعبة من معالجة عدد كبير من الدعاوى.</w:t>
      </w:r>
    </w:p>
    <w:p w:rsidR="00167916" w:rsidRPr="005D619C" w:rsidRDefault="00167916" w:rsidP="00D22E8E">
      <w:pPr>
        <w:pStyle w:val="NumberedParaAR"/>
      </w:pPr>
      <w:r w:rsidRPr="005D619C">
        <w:rPr>
          <w:rtl/>
          <w:lang w:bidi="ar-EG"/>
        </w:rPr>
        <w:t>وقد كان لزيادة الإنتاجية أثران إيجابيان.</w:t>
      </w:r>
      <w:r>
        <w:rPr>
          <w:rtl/>
        </w:rPr>
        <w:t xml:space="preserve"> </w:t>
      </w:r>
      <w:r w:rsidRPr="005D619C">
        <w:rPr>
          <w:rtl/>
          <w:lang w:bidi="ar-EG"/>
        </w:rPr>
        <w:t>أولا، انتهت ظاهرة تراكم الدعاوى المتأخرة.</w:t>
      </w:r>
      <w:r>
        <w:rPr>
          <w:rtl/>
        </w:rPr>
        <w:t xml:space="preserve"> </w:t>
      </w:r>
      <w:r w:rsidRPr="005D619C">
        <w:rPr>
          <w:rtl/>
          <w:lang w:bidi="ar-EG"/>
        </w:rPr>
        <w:t>ففي 30 يونيو 2013، كان عدد الدعاوى المعلقة 2 فقط.</w:t>
      </w:r>
      <w:r>
        <w:rPr>
          <w:rtl/>
        </w:rPr>
        <w:t xml:space="preserve"> </w:t>
      </w:r>
      <w:r w:rsidRPr="005D619C">
        <w:rPr>
          <w:rtl/>
          <w:lang w:bidi="ar-EG"/>
        </w:rPr>
        <w:t>سُجلت واحدة في مطلع يونيو وتخضع للتقييم الأولي لتحديد ما إذا كان التحقيق الكامل مبررا؛ وسجلت الدعوى الأخرى في 2009 وعلقت منذ 2010 بعد إحالتها إلى السلطات السويسرية.</w:t>
      </w:r>
      <w:r>
        <w:rPr>
          <w:rtl/>
        </w:rPr>
        <w:t xml:space="preserve"> </w:t>
      </w:r>
      <w:r w:rsidRPr="005D619C">
        <w:rPr>
          <w:rtl/>
          <w:lang w:bidi="ar-EG"/>
        </w:rPr>
        <w:t>بينما في 1 يوليو 2012، كان عدد الدعاوى المعلقة 14 دعوى، بما فيها 4 تحقيقات جارية و10 دعاوى خاضعة للتقييم الأولي.</w:t>
      </w:r>
    </w:p>
    <w:p w:rsidR="00167916" w:rsidRPr="005D619C" w:rsidRDefault="00167916" w:rsidP="0018104B">
      <w:pPr>
        <w:pStyle w:val="ONUME"/>
        <w:keepNext/>
        <w:keepLines/>
        <w:tabs>
          <w:tab w:val="clear" w:pos="360"/>
        </w:tabs>
        <w:bidi/>
        <w:spacing w:after="120"/>
        <w:ind w:left="0" w:firstLine="0"/>
        <w:jc w:val="center"/>
        <w:rPr>
          <w:rFonts w:ascii="Arabic Typesetting" w:hAnsi="Arabic Typesetting" w:cs="Arabic Typesetting"/>
          <w:bCs/>
          <w:sz w:val="36"/>
          <w:szCs w:val="36"/>
          <w:rtl/>
          <w:lang w:bidi="ar-EG"/>
        </w:rPr>
      </w:pPr>
      <w:r w:rsidRPr="005D619C">
        <w:rPr>
          <w:rFonts w:ascii="Arabic Typesetting" w:hAnsi="Arabic Typesetting" w:cs="Arabic Typesetting"/>
          <w:bCs/>
          <w:sz w:val="36"/>
          <w:szCs w:val="36"/>
          <w:rtl/>
          <w:lang w:bidi="ar-EG"/>
        </w:rPr>
        <w:t>الجدول 1 – ملخص قضايا التحقيق</w:t>
      </w:r>
    </w:p>
    <w:tbl>
      <w:tblPr>
        <w:bidiVisual/>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44"/>
        <w:gridCol w:w="2233"/>
        <w:gridCol w:w="2233"/>
        <w:gridCol w:w="2233"/>
      </w:tblGrid>
      <w:tr w:rsidR="00167916" w:rsidRPr="005D619C" w:rsidTr="002F05DC">
        <w:trPr>
          <w:jc w:val="center"/>
        </w:trPr>
        <w:tc>
          <w:tcPr>
            <w:tcW w:w="2444" w:type="dxa"/>
            <w:shd w:val="clear" w:color="auto" w:fill="E6E6E6"/>
            <w:tcMar>
              <w:top w:w="57" w:type="dxa"/>
              <w:bottom w:w="57" w:type="dxa"/>
            </w:tcMar>
          </w:tcPr>
          <w:p w:rsidR="00167916" w:rsidRPr="005D619C" w:rsidRDefault="00167916" w:rsidP="00ED43B9">
            <w:pPr>
              <w:keepNext/>
              <w:keepLines/>
              <w:bidi/>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القضايا المعلقة في 1 يوليو 2012</w:t>
            </w:r>
          </w:p>
        </w:tc>
        <w:tc>
          <w:tcPr>
            <w:tcW w:w="2233" w:type="dxa"/>
            <w:shd w:val="clear" w:color="auto" w:fill="E6E6E6"/>
            <w:tcMar>
              <w:top w:w="57" w:type="dxa"/>
              <w:bottom w:w="57" w:type="dxa"/>
            </w:tcMar>
          </w:tcPr>
          <w:p w:rsidR="00167916" w:rsidRPr="005D619C" w:rsidRDefault="00167916" w:rsidP="00ED43B9">
            <w:pPr>
              <w:keepNext/>
              <w:keepLines/>
              <w:bidi/>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القضايا الجديدة المسجلة في الفترة من 1 يوليو 2012 إلى 30 يونيو 2013</w:t>
            </w:r>
          </w:p>
        </w:tc>
        <w:tc>
          <w:tcPr>
            <w:tcW w:w="2233" w:type="dxa"/>
            <w:shd w:val="clear" w:color="auto" w:fill="E6E6E6"/>
            <w:tcMar>
              <w:top w:w="57" w:type="dxa"/>
              <w:bottom w:w="57" w:type="dxa"/>
            </w:tcMar>
          </w:tcPr>
          <w:p w:rsidR="00167916" w:rsidRPr="005D619C" w:rsidRDefault="00167916" w:rsidP="00ED43B9">
            <w:pPr>
              <w:keepNext/>
              <w:keepLines/>
              <w:bidi/>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القضايا المقفلة في الفترة من 1 يوليو 2012 إلى 30 يونيو 2013</w:t>
            </w:r>
          </w:p>
        </w:tc>
        <w:tc>
          <w:tcPr>
            <w:tcW w:w="2233" w:type="dxa"/>
            <w:shd w:val="clear" w:color="auto" w:fill="E6E6E6"/>
            <w:tcMar>
              <w:top w:w="57" w:type="dxa"/>
              <w:bottom w:w="57" w:type="dxa"/>
            </w:tcMar>
          </w:tcPr>
          <w:p w:rsidR="00167916" w:rsidRPr="005D619C" w:rsidRDefault="00167916" w:rsidP="00ED43B9">
            <w:pPr>
              <w:keepNext/>
              <w:keepLines/>
              <w:bidi/>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القضايا المعلقة في 30 يونيو 2013</w:t>
            </w:r>
          </w:p>
        </w:tc>
      </w:tr>
      <w:tr w:rsidR="00167916" w:rsidRPr="005D619C" w:rsidTr="002F05DC">
        <w:trPr>
          <w:trHeight w:val="346"/>
          <w:jc w:val="center"/>
        </w:trPr>
        <w:tc>
          <w:tcPr>
            <w:tcW w:w="2444" w:type="dxa"/>
          </w:tcPr>
          <w:p w:rsidR="00167916" w:rsidRPr="005D619C" w:rsidRDefault="00167916" w:rsidP="002F05DC">
            <w:pPr>
              <w:keepNext/>
              <w:keepLines/>
              <w:spacing w:before="60"/>
              <w:jc w:val="center"/>
              <w:rPr>
                <w:rFonts w:ascii="Arabic Typesetting" w:hAnsi="Arabic Typesetting" w:cs="Arabic Typesetting"/>
                <w:b/>
                <w:sz w:val="36"/>
                <w:szCs w:val="36"/>
              </w:rPr>
            </w:pPr>
            <w:r w:rsidRPr="005D619C">
              <w:rPr>
                <w:rFonts w:ascii="Arabic Typesetting" w:hAnsi="Arabic Typesetting" w:cs="Arabic Typesetting"/>
                <w:b/>
                <w:sz w:val="36"/>
                <w:szCs w:val="36"/>
              </w:rPr>
              <w:t>14</w:t>
            </w:r>
          </w:p>
        </w:tc>
        <w:tc>
          <w:tcPr>
            <w:tcW w:w="2233" w:type="dxa"/>
          </w:tcPr>
          <w:p w:rsidR="00167916" w:rsidRPr="005D619C" w:rsidRDefault="00167916" w:rsidP="002F05DC">
            <w:pPr>
              <w:keepNext/>
              <w:keepLines/>
              <w:spacing w:before="60"/>
              <w:jc w:val="center"/>
              <w:rPr>
                <w:rFonts w:ascii="Arabic Typesetting" w:hAnsi="Arabic Typesetting" w:cs="Arabic Typesetting"/>
                <w:b/>
                <w:sz w:val="36"/>
                <w:szCs w:val="36"/>
              </w:rPr>
            </w:pPr>
            <w:r w:rsidRPr="005D619C">
              <w:rPr>
                <w:rFonts w:ascii="Arabic Typesetting" w:hAnsi="Arabic Typesetting" w:cs="Arabic Typesetting"/>
                <w:b/>
                <w:sz w:val="36"/>
                <w:szCs w:val="36"/>
              </w:rPr>
              <w:t>16</w:t>
            </w:r>
          </w:p>
        </w:tc>
        <w:tc>
          <w:tcPr>
            <w:tcW w:w="2233" w:type="dxa"/>
          </w:tcPr>
          <w:p w:rsidR="00167916" w:rsidRPr="005D619C" w:rsidRDefault="00167916" w:rsidP="002F05DC">
            <w:pPr>
              <w:keepNext/>
              <w:keepLines/>
              <w:spacing w:before="60"/>
              <w:jc w:val="center"/>
              <w:rPr>
                <w:rFonts w:ascii="Arabic Typesetting" w:hAnsi="Arabic Typesetting" w:cs="Arabic Typesetting"/>
                <w:b/>
                <w:sz w:val="36"/>
                <w:szCs w:val="36"/>
              </w:rPr>
            </w:pPr>
            <w:r w:rsidRPr="005D619C">
              <w:rPr>
                <w:rFonts w:ascii="Arabic Typesetting" w:hAnsi="Arabic Typesetting" w:cs="Arabic Typesetting"/>
                <w:b/>
                <w:sz w:val="36"/>
                <w:szCs w:val="36"/>
              </w:rPr>
              <w:t>28</w:t>
            </w:r>
          </w:p>
        </w:tc>
        <w:tc>
          <w:tcPr>
            <w:tcW w:w="2233" w:type="dxa"/>
          </w:tcPr>
          <w:p w:rsidR="00167916" w:rsidRPr="005D619C" w:rsidRDefault="00167916" w:rsidP="002F05DC">
            <w:pPr>
              <w:keepNext/>
              <w:keepLines/>
              <w:spacing w:before="60"/>
              <w:jc w:val="center"/>
              <w:rPr>
                <w:rFonts w:ascii="Arabic Typesetting" w:hAnsi="Arabic Typesetting" w:cs="Arabic Typesetting"/>
                <w:b/>
                <w:sz w:val="36"/>
                <w:szCs w:val="36"/>
              </w:rPr>
            </w:pPr>
            <w:r w:rsidRPr="005D619C">
              <w:rPr>
                <w:rFonts w:ascii="Arabic Typesetting" w:hAnsi="Arabic Typesetting" w:cs="Arabic Typesetting"/>
                <w:b/>
                <w:sz w:val="36"/>
                <w:szCs w:val="36"/>
              </w:rPr>
              <w:t>2</w:t>
            </w:r>
          </w:p>
        </w:tc>
      </w:tr>
    </w:tbl>
    <w:p w:rsidR="00167916" w:rsidRPr="005D619C" w:rsidRDefault="00167916" w:rsidP="00D22E8E">
      <w:pPr>
        <w:pStyle w:val="NumberedParaAR"/>
        <w:spacing w:before="240"/>
      </w:pPr>
      <w:r w:rsidRPr="005D619C">
        <w:rPr>
          <w:rtl/>
          <w:lang w:bidi="ar-EG"/>
        </w:rPr>
        <w:t>ثانيا، أدت زيادة الإنتاجية إلى تسريع وتيرة إنجاز أنشطة التحقيقات التي تجريها الشعبة.</w:t>
      </w:r>
      <w:r>
        <w:rPr>
          <w:rtl/>
        </w:rPr>
        <w:t xml:space="preserve"> </w:t>
      </w:r>
      <w:r w:rsidRPr="005D619C">
        <w:rPr>
          <w:rtl/>
          <w:lang w:bidi="ar-EG"/>
        </w:rPr>
        <w:t>فكان متوسط مدة إقفال الدعاوى أثناء فترة التقرير 6 أشهر.</w:t>
      </w:r>
      <w:r>
        <w:rPr>
          <w:rtl/>
        </w:rPr>
        <w:t xml:space="preserve"> </w:t>
      </w:r>
      <w:r w:rsidRPr="005D619C">
        <w:rPr>
          <w:rtl/>
          <w:lang w:bidi="ar-EG"/>
        </w:rPr>
        <w:t>وتصبح المدة 5 أشهر إذا لم تحسب دعوى واحدة وجب تعليقها لمدة 10 أشهر ودعوى أخرى اكتملت بعد 30 شهرا لأسباب خارجة جزئيا عن إرادة الشعبة.</w:t>
      </w:r>
      <w:r>
        <w:rPr>
          <w:rtl/>
        </w:rPr>
        <w:t xml:space="preserve"> </w:t>
      </w:r>
      <w:r w:rsidRPr="005D619C">
        <w:rPr>
          <w:rtl/>
          <w:lang w:bidi="ar-EG"/>
        </w:rPr>
        <w:t xml:space="preserve">وظلت الدعاوى </w:t>
      </w:r>
      <w:proofErr w:type="spellStart"/>
      <w:r w:rsidRPr="005D619C">
        <w:rPr>
          <w:rtl/>
          <w:lang w:bidi="ar-EG"/>
        </w:rPr>
        <w:t>المتلقاة</w:t>
      </w:r>
      <w:proofErr w:type="spellEnd"/>
      <w:r w:rsidRPr="005D619C">
        <w:rPr>
          <w:rtl/>
          <w:lang w:bidi="ar-EG"/>
        </w:rPr>
        <w:t xml:space="preserve"> والمقفلة خلال فترة التقرير مفتوحة لمدة 3 أشهر في المتوسط، مقارنة بسبعة أشهر في الفترة السابقة.</w:t>
      </w:r>
    </w:p>
    <w:p w:rsidR="00167916" w:rsidRPr="005D619C" w:rsidRDefault="00167916" w:rsidP="00D22E8E">
      <w:pPr>
        <w:pStyle w:val="NumberedParaAR"/>
      </w:pPr>
      <w:r w:rsidRPr="005D619C">
        <w:rPr>
          <w:rtl/>
          <w:lang w:bidi="ar-EG"/>
        </w:rPr>
        <w:t>ومنذ سنة 2008، سجلت الشعبة 101 قضية تحقيق إجمالا، منها 99 أقفلت اعتبارا من 30 يونيو 2013.</w:t>
      </w:r>
    </w:p>
    <w:p w:rsidR="00167916" w:rsidRPr="005D619C" w:rsidRDefault="00167916" w:rsidP="00D22E8E">
      <w:pPr>
        <w:pStyle w:val="NumberedParaAR"/>
      </w:pPr>
      <w:r w:rsidRPr="005D619C">
        <w:rPr>
          <w:rtl/>
          <w:lang w:bidi="ar-EG"/>
        </w:rPr>
        <w:lastRenderedPageBreak/>
        <w:t xml:space="preserve">وخلال فترة التقرير، تضمنت 4 من الدعاوى الجديدة المسجلة </w:t>
      </w:r>
      <w:proofErr w:type="spellStart"/>
      <w:r w:rsidRPr="005D619C">
        <w:rPr>
          <w:rtl/>
          <w:lang w:bidi="ar-EG"/>
        </w:rPr>
        <w:t>إدعاءات</w:t>
      </w:r>
      <w:proofErr w:type="spellEnd"/>
      <w:r w:rsidRPr="005D619C">
        <w:rPr>
          <w:rtl/>
          <w:lang w:bidi="ar-EG"/>
        </w:rPr>
        <w:t xml:space="preserve"> بممارسات غير متسقة بشأن الموارد البشرية و3 منها كانت تتعلق بسوء استخدام نظام أوقات العمل المرنة </w:t>
      </w:r>
      <w:proofErr w:type="spellStart"/>
      <w:r w:rsidRPr="005D619C">
        <w:rPr>
          <w:lang w:bidi="ar-EG"/>
        </w:rPr>
        <w:t>FlexiTime</w:t>
      </w:r>
      <w:proofErr w:type="spellEnd"/>
      <w:r w:rsidRPr="005D619C">
        <w:rPr>
          <w:rtl/>
          <w:lang w:bidi="ar-EG"/>
        </w:rPr>
        <w:t>.</w:t>
      </w:r>
      <w:r>
        <w:rPr>
          <w:rtl/>
        </w:rPr>
        <w:t xml:space="preserve"> </w:t>
      </w:r>
      <w:r w:rsidRPr="005D619C">
        <w:rPr>
          <w:rtl/>
          <w:lang w:bidi="ar-EG"/>
        </w:rPr>
        <w:t>أما الدعاوى التسع المتبقية فكانت تنتمي إلى فئات مختلفة، وهي:</w:t>
      </w:r>
      <w:r w:rsidRPr="005D619C">
        <w:t xml:space="preserve"> </w:t>
      </w:r>
      <w:r w:rsidRPr="005D619C">
        <w:rPr>
          <w:rtl/>
          <w:lang w:bidi="ar-EG"/>
        </w:rPr>
        <w:t>البيانات والتصريحات التي تخالف التزامات موظف مدني دولي (دعوتان؛ والمضايقة و/أو التمييز و/أو إساءة استخدام السلطة (دعوتان)؛ وإرسال معلومات على نحو غير مرخص به (دعوتان)؛ وإساءة استخدام موارد تكنولوجيا المعلومات والاتصالات (دعوتان)؛ ومتفرقات (دعوتان).</w:t>
      </w:r>
      <w:r>
        <w:rPr>
          <w:rtl/>
        </w:rPr>
        <w:t xml:space="preserve"> </w:t>
      </w:r>
    </w:p>
    <w:p w:rsidR="00167916" w:rsidRPr="005D619C" w:rsidRDefault="00167916" w:rsidP="00D22E8E">
      <w:pPr>
        <w:pStyle w:val="NumberedParaAR"/>
      </w:pPr>
      <w:r w:rsidRPr="005D619C">
        <w:rPr>
          <w:rtl/>
          <w:lang w:bidi="ar-EG"/>
        </w:rPr>
        <w:t>وأحيلت إحدى الدعاوى الستة عشر الجديدة المسجلة خلال فترة التقرير إلى الشعبة لكي تحقق فيها لجنة التظلمات المشتركة (مقارنة بثلاث دعاوى في الفترة السابقة).</w:t>
      </w:r>
      <w:r>
        <w:rPr>
          <w:rtl/>
          <w:lang w:bidi="ar-EG"/>
        </w:rPr>
        <w:t xml:space="preserve"> </w:t>
      </w:r>
      <w:r w:rsidRPr="005D619C">
        <w:rPr>
          <w:rtl/>
          <w:lang w:bidi="ar-EG"/>
        </w:rPr>
        <w:t xml:space="preserve">وسجلت دعاوى أخرى بناء على شكاوى أو طلبات تقدم بها موظفون </w:t>
      </w:r>
      <w:proofErr w:type="spellStart"/>
      <w:r w:rsidRPr="005D619C">
        <w:rPr>
          <w:rtl/>
          <w:lang w:bidi="ar-EG"/>
        </w:rPr>
        <w:t>بالويبو</w:t>
      </w:r>
      <w:proofErr w:type="spellEnd"/>
      <w:r w:rsidRPr="005D619C">
        <w:rPr>
          <w:rtl/>
          <w:lang w:bidi="ar-EG"/>
        </w:rPr>
        <w:t>، سواء بصفتهم الشخصية أو كممثلين للإدارة.</w:t>
      </w:r>
      <w:r w:rsidRPr="005D619C">
        <w:t xml:space="preserve"> </w:t>
      </w:r>
    </w:p>
    <w:p w:rsidR="00167916" w:rsidRPr="005D619C" w:rsidRDefault="00167916" w:rsidP="00D22E8E">
      <w:pPr>
        <w:pStyle w:val="NumberedParaAR"/>
      </w:pPr>
      <w:r w:rsidRPr="005D619C">
        <w:rPr>
          <w:rtl/>
          <w:lang w:bidi="ar-EG"/>
        </w:rPr>
        <w:t>من بين الدعاوى الثماني والعشرين المقفلة خلال فترة التقرير، أدت 11 دعوى (39 بالمائة) إلى التحقيق الكامل، سواء بناء على قرار من مدير الشعبة وفقا لنتيجة التقييم الأولي، أو في الدعاوى الأربع بناء على إحالة من لجنة التظلمات المشتركة.</w:t>
      </w:r>
      <w:r>
        <w:rPr>
          <w:rtl/>
        </w:rPr>
        <w:t xml:space="preserve"> </w:t>
      </w:r>
      <w:r w:rsidRPr="005D619C">
        <w:rPr>
          <w:rtl/>
          <w:lang w:bidi="ar-EG"/>
        </w:rPr>
        <w:t>ولم تجد الشعبة دليلا على سوء السلوك من قبل الجاني المزعوم في أي من دعاوى لجنة التظلمات المشتركة.</w:t>
      </w:r>
      <w:r>
        <w:rPr>
          <w:rtl/>
        </w:rPr>
        <w:t xml:space="preserve"> </w:t>
      </w:r>
      <w:r w:rsidRPr="005D619C">
        <w:rPr>
          <w:rtl/>
          <w:lang w:bidi="ar-EG"/>
        </w:rPr>
        <w:t>وفي الدعاوى الخمس الأخرى (18 بالمائة من بين 28 حالة مقفلة)، خلصت الشعبة إلى أن ادعاءات سوء السلوك مدعومة بأدلة.</w:t>
      </w:r>
      <w:r>
        <w:rPr>
          <w:rtl/>
        </w:rPr>
        <w:t xml:space="preserve"> </w:t>
      </w:r>
      <w:r w:rsidRPr="005D619C">
        <w:rPr>
          <w:rtl/>
          <w:lang w:bidi="ar-EG"/>
        </w:rPr>
        <w:t>وتعذر إكمال عملية تحقيق واحدة بسبب ترك الموظفين للخدمة.</w:t>
      </w:r>
      <w:r>
        <w:rPr>
          <w:rtl/>
        </w:rPr>
        <w:t xml:space="preserve"> </w:t>
      </w:r>
    </w:p>
    <w:p w:rsidR="00167916" w:rsidRPr="005D619C" w:rsidRDefault="00167916" w:rsidP="00797210">
      <w:pPr>
        <w:pStyle w:val="NumberedParaAR"/>
      </w:pPr>
      <w:r w:rsidRPr="005D619C">
        <w:rPr>
          <w:rtl/>
          <w:lang w:bidi="ar-EG"/>
        </w:rPr>
        <w:t>ويوضح الجدول 2 أدناه نتائج القضايا المقفلة في فترة التقرير:</w:t>
      </w:r>
    </w:p>
    <w:p w:rsidR="00167916" w:rsidRPr="005D619C" w:rsidRDefault="00167916" w:rsidP="0018104B">
      <w:pPr>
        <w:pStyle w:val="Caption"/>
        <w:keepLines/>
        <w:bidi/>
        <w:spacing w:after="120"/>
        <w:jc w:val="center"/>
        <w:rPr>
          <w:rFonts w:ascii="Arabic Typesetting" w:hAnsi="Arabic Typesetting" w:cs="Arabic Typesetting"/>
          <w:bCs w:val="0"/>
          <w:sz w:val="36"/>
          <w:szCs w:val="36"/>
          <w:rtl/>
          <w:lang w:bidi="ar-EG"/>
        </w:rPr>
      </w:pPr>
      <w:r w:rsidRPr="005D619C">
        <w:rPr>
          <w:rFonts w:ascii="Arabic Typesetting" w:hAnsi="Arabic Typesetting" w:cs="Arabic Typesetting"/>
          <w:sz w:val="36"/>
          <w:szCs w:val="36"/>
          <w:rtl/>
          <w:lang w:bidi="ar-EG"/>
        </w:rPr>
        <w:t>الجدول 2 – نتائج القضايا المقفلة في الفترة من 1 يوليو 2012 إلى 30 يونيو 2013</w:t>
      </w:r>
    </w:p>
    <w:tbl>
      <w:tblPr>
        <w:bidiVisual/>
        <w:tblW w:w="7658" w:type="dxa"/>
        <w:jc w:val="center"/>
        <w:tblInd w:w="-147" w:type="dxa"/>
        <w:tblLayout w:type="fixed"/>
        <w:tblLook w:val="0000" w:firstRow="0" w:lastRow="0" w:firstColumn="0" w:lastColumn="0" w:noHBand="0" w:noVBand="0"/>
      </w:tblPr>
      <w:tblGrid>
        <w:gridCol w:w="5738"/>
        <w:gridCol w:w="960"/>
        <w:gridCol w:w="960"/>
      </w:tblGrid>
      <w:tr w:rsidR="00167916" w:rsidRPr="005D619C" w:rsidTr="002F05DC">
        <w:trPr>
          <w:trHeight w:val="255"/>
          <w:jc w:val="center"/>
        </w:trPr>
        <w:tc>
          <w:tcPr>
            <w:tcW w:w="5738" w:type="dxa"/>
            <w:tcBorders>
              <w:top w:val="single" w:sz="4" w:space="0" w:color="auto"/>
              <w:left w:val="single" w:sz="4" w:space="0" w:color="auto"/>
              <w:bottom w:val="single" w:sz="4" w:space="0" w:color="auto"/>
              <w:right w:val="single" w:sz="4" w:space="0" w:color="auto"/>
            </w:tcBorders>
            <w:shd w:val="clear" w:color="auto" w:fill="E6E6E6"/>
            <w:noWrap/>
            <w:tcMar>
              <w:top w:w="57" w:type="dxa"/>
            </w:tcMar>
            <w:vAlign w:val="bottom"/>
          </w:tcPr>
          <w:p w:rsidR="00167916" w:rsidRPr="005D619C" w:rsidRDefault="00167916" w:rsidP="00ED43B9">
            <w:pPr>
              <w:keepLines/>
              <w:bidi/>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النتيجة</w:t>
            </w:r>
          </w:p>
        </w:tc>
        <w:tc>
          <w:tcPr>
            <w:tcW w:w="960" w:type="dxa"/>
            <w:tcBorders>
              <w:top w:val="single" w:sz="4" w:space="0" w:color="auto"/>
              <w:left w:val="nil"/>
              <w:bottom w:val="single" w:sz="4" w:space="0" w:color="auto"/>
              <w:right w:val="single" w:sz="4" w:space="0" w:color="auto"/>
            </w:tcBorders>
            <w:shd w:val="clear" w:color="auto" w:fill="E6E6E6"/>
            <w:noWrap/>
            <w:tcMar>
              <w:top w:w="57" w:type="dxa"/>
            </w:tcMar>
            <w:vAlign w:val="bottom"/>
          </w:tcPr>
          <w:p w:rsidR="00167916" w:rsidRPr="005D619C" w:rsidRDefault="00167916" w:rsidP="00ED43B9">
            <w:pPr>
              <w:keepLines/>
              <w:bidi/>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العدد</w:t>
            </w:r>
          </w:p>
        </w:tc>
        <w:tc>
          <w:tcPr>
            <w:tcW w:w="960" w:type="dxa"/>
            <w:tcBorders>
              <w:top w:val="single" w:sz="4" w:space="0" w:color="auto"/>
              <w:left w:val="nil"/>
              <w:bottom w:val="single" w:sz="4" w:space="0" w:color="auto"/>
              <w:right w:val="single" w:sz="4" w:space="0" w:color="auto"/>
            </w:tcBorders>
            <w:shd w:val="clear" w:color="auto" w:fill="E6E6E6"/>
          </w:tcPr>
          <w:p w:rsidR="00167916" w:rsidRPr="005D619C" w:rsidRDefault="00167916" w:rsidP="00ED43B9">
            <w:pPr>
              <w:keepLines/>
              <w:bidi/>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النسبة المئوية</w:t>
            </w:r>
          </w:p>
        </w:tc>
      </w:tr>
      <w:tr w:rsidR="00167916" w:rsidRPr="005D619C" w:rsidTr="002F05DC">
        <w:trPr>
          <w:trHeight w:val="255"/>
          <w:jc w:val="center"/>
        </w:trPr>
        <w:tc>
          <w:tcPr>
            <w:tcW w:w="5738" w:type="dxa"/>
            <w:tcBorders>
              <w:top w:val="nil"/>
              <w:left w:val="single" w:sz="4" w:space="0" w:color="auto"/>
              <w:bottom w:val="single" w:sz="4" w:space="0" w:color="auto"/>
              <w:right w:val="single" w:sz="4" w:space="0" w:color="auto"/>
            </w:tcBorders>
            <w:noWrap/>
            <w:tcMar>
              <w:top w:w="57" w:type="dxa"/>
            </w:tcMar>
            <w:vAlign w:val="bottom"/>
          </w:tcPr>
          <w:p w:rsidR="00167916" w:rsidRPr="005D619C" w:rsidRDefault="00167916" w:rsidP="00ED43B9">
            <w:pPr>
              <w:keepLines/>
              <w:bidi/>
              <w:rPr>
                <w:rFonts w:ascii="Arabic Typesetting" w:hAnsi="Arabic Typesetting" w:cs="Arabic Typesetting"/>
                <w:sz w:val="36"/>
                <w:szCs w:val="36"/>
                <w:rtl/>
                <w:lang w:bidi="ar-EG"/>
              </w:rPr>
            </w:pPr>
            <w:r w:rsidRPr="005D619C">
              <w:rPr>
                <w:rFonts w:ascii="Arabic Typesetting" w:hAnsi="Arabic Typesetting" w:cs="Arabic Typesetting"/>
                <w:sz w:val="36"/>
                <w:szCs w:val="36"/>
                <w:rtl/>
                <w:lang w:bidi="ar-EG"/>
              </w:rPr>
              <w:t>الادعاء لا يستند (الادعاءات لا تستند) إلى دليل بناء على التقييم الأولي</w:t>
            </w:r>
          </w:p>
        </w:tc>
        <w:tc>
          <w:tcPr>
            <w:tcW w:w="960" w:type="dxa"/>
            <w:tcBorders>
              <w:top w:val="nil"/>
              <w:left w:val="nil"/>
              <w:bottom w:val="single" w:sz="4" w:space="0" w:color="auto"/>
              <w:right w:val="single" w:sz="4" w:space="0" w:color="auto"/>
            </w:tcBorders>
            <w:noWrap/>
            <w:tcMar>
              <w:top w:w="57" w:type="dxa"/>
            </w:tcMar>
            <w:vAlign w:val="bottom"/>
          </w:tcPr>
          <w:p w:rsidR="00167916" w:rsidRPr="005D619C" w:rsidRDefault="00167916" w:rsidP="00BD1BF5">
            <w:pPr>
              <w:keepLines/>
              <w:bidi/>
              <w:spacing w:after="60"/>
              <w:jc w:val="center"/>
              <w:rPr>
                <w:rFonts w:ascii="Arabic Typesetting" w:hAnsi="Arabic Typesetting" w:cs="Arabic Typesetting"/>
                <w:sz w:val="36"/>
                <w:szCs w:val="36"/>
              </w:rPr>
            </w:pPr>
            <w:r w:rsidRPr="005D619C">
              <w:rPr>
                <w:rFonts w:ascii="Arabic Typesetting" w:hAnsi="Arabic Typesetting" w:cs="Arabic Typesetting"/>
                <w:sz w:val="36"/>
                <w:szCs w:val="36"/>
              </w:rPr>
              <w:t>10</w:t>
            </w:r>
          </w:p>
        </w:tc>
        <w:tc>
          <w:tcPr>
            <w:tcW w:w="960" w:type="dxa"/>
            <w:tcBorders>
              <w:top w:val="nil"/>
              <w:left w:val="nil"/>
              <w:bottom w:val="single" w:sz="4" w:space="0" w:color="auto"/>
              <w:right w:val="single" w:sz="4" w:space="0" w:color="auto"/>
            </w:tcBorders>
          </w:tcPr>
          <w:p w:rsidR="00167916" w:rsidRPr="005D619C" w:rsidRDefault="00167916" w:rsidP="00BD1BF5">
            <w:pPr>
              <w:keepLines/>
              <w:bidi/>
              <w:jc w:val="center"/>
              <w:rPr>
                <w:rFonts w:ascii="Arabic Typesetting" w:hAnsi="Arabic Typesetting" w:cs="Arabic Typesetting"/>
                <w:sz w:val="36"/>
                <w:szCs w:val="36"/>
              </w:rPr>
            </w:pPr>
            <w:r w:rsidRPr="005D619C">
              <w:rPr>
                <w:rFonts w:ascii="Arabic Typesetting" w:hAnsi="Arabic Typesetting" w:cs="Arabic Typesetting"/>
                <w:sz w:val="36"/>
                <w:szCs w:val="36"/>
              </w:rPr>
              <w:t>36</w:t>
            </w:r>
          </w:p>
        </w:tc>
      </w:tr>
      <w:tr w:rsidR="00167916" w:rsidRPr="005D619C" w:rsidTr="002F05DC">
        <w:trPr>
          <w:trHeight w:val="255"/>
          <w:jc w:val="center"/>
        </w:trPr>
        <w:tc>
          <w:tcPr>
            <w:tcW w:w="5738" w:type="dxa"/>
            <w:tcBorders>
              <w:top w:val="nil"/>
              <w:left w:val="single" w:sz="4" w:space="0" w:color="auto"/>
              <w:bottom w:val="single" w:sz="4" w:space="0" w:color="auto"/>
              <w:right w:val="single" w:sz="4" w:space="0" w:color="auto"/>
            </w:tcBorders>
            <w:noWrap/>
            <w:tcMar>
              <w:top w:w="57" w:type="dxa"/>
            </w:tcMar>
            <w:vAlign w:val="bottom"/>
          </w:tcPr>
          <w:p w:rsidR="00167916" w:rsidRPr="005D619C" w:rsidRDefault="00167916" w:rsidP="00ED43B9">
            <w:pPr>
              <w:keepLines/>
              <w:bidi/>
              <w:rPr>
                <w:rFonts w:ascii="Arabic Typesetting" w:hAnsi="Arabic Typesetting" w:cs="Arabic Typesetting"/>
                <w:sz w:val="36"/>
                <w:szCs w:val="36"/>
                <w:rtl/>
                <w:lang w:bidi="ar-EG"/>
              </w:rPr>
            </w:pPr>
            <w:r w:rsidRPr="005D619C">
              <w:rPr>
                <w:rFonts w:ascii="Arabic Typesetting" w:hAnsi="Arabic Typesetting" w:cs="Arabic Typesetting"/>
                <w:sz w:val="36"/>
                <w:szCs w:val="36"/>
                <w:rtl/>
                <w:lang w:bidi="ar-EG"/>
              </w:rPr>
              <w:t>الادعاء لا يستند (الادعاءات لا تستند) إلى دليل بناء على تحقيق كامل</w:t>
            </w:r>
          </w:p>
        </w:tc>
        <w:tc>
          <w:tcPr>
            <w:tcW w:w="960" w:type="dxa"/>
            <w:tcBorders>
              <w:top w:val="nil"/>
              <w:left w:val="nil"/>
              <w:bottom w:val="single" w:sz="4" w:space="0" w:color="auto"/>
              <w:right w:val="single" w:sz="4" w:space="0" w:color="auto"/>
            </w:tcBorders>
            <w:noWrap/>
            <w:tcMar>
              <w:top w:w="57" w:type="dxa"/>
            </w:tcMar>
            <w:vAlign w:val="bottom"/>
          </w:tcPr>
          <w:p w:rsidR="00167916" w:rsidRPr="005D619C" w:rsidRDefault="00167916" w:rsidP="00BD1BF5">
            <w:pPr>
              <w:keepLines/>
              <w:bidi/>
              <w:spacing w:after="60"/>
              <w:jc w:val="center"/>
              <w:rPr>
                <w:rFonts w:ascii="Arabic Typesetting" w:hAnsi="Arabic Typesetting" w:cs="Arabic Typesetting"/>
                <w:sz w:val="36"/>
                <w:szCs w:val="36"/>
              </w:rPr>
            </w:pPr>
            <w:r w:rsidRPr="005D619C">
              <w:rPr>
                <w:rFonts w:ascii="Arabic Typesetting" w:hAnsi="Arabic Typesetting" w:cs="Arabic Typesetting"/>
                <w:sz w:val="36"/>
                <w:szCs w:val="36"/>
              </w:rPr>
              <w:t>6</w:t>
            </w:r>
          </w:p>
        </w:tc>
        <w:tc>
          <w:tcPr>
            <w:tcW w:w="960" w:type="dxa"/>
            <w:tcBorders>
              <w:top w:val="nil"/>
              <w:left w:val="nil"/>
              <w:bottom w:val="single" w:sz="4" w:space="0" w:color="auto"/>
              <w:right w:val="single" w:sz="4" w:space="0" w:color="auto"/>
            </w:tcBorders>
          </w:tcPr>
          <w:p w:rsidR="00167916" w:rsidRPr="005D619C" w:rsidRDefault="00167916" w:rsidP="00BD1BF5">
            <w:pPr>
              <w:keepLines/>
              <w:bidi/>
              <w:jc w:val="center"/>
              <w:rPr>
                <w:rFonts w:ascii="Arabic Typesetting" w:hAnsi="Arabic Typesetting" w:cs="Arabic Typesetting"/>
                <w:sz w:val="36"/>
                <w:szCs w:val="36"/>
              </w:rPr>
            </w:pPr>
            <w:r w:rsidRPr="005D619C">
              <w:rPr>
                <w:rFonts w:ascii="Arabic Typesetting" w:hAnsi="Arabic Typesetting" w:cs="Arabic Typesetting"/>
                <w:sz w:val="36"/>
                <w:szCs w:val="36"/>
              </w:rPr>
              <w:t>21</w:t>
            </w:r>
          </w:p>
        </w:tc>
      </w:tr>
      <w:tr w:rsidR="00167916" w:rsidRPr="005D619C" w:rsidTr="002F05DC">
        <w:trPr>
          <w:trHeight w:val="255"/>
          <w:jc w:val="center"/>
        </w:trPr>
        <w:tc>
          <w:tcPr>
            <w:tcW w:w="5738" w:type="dxa"/>
            <w:tcBorders>
              <w:top w:val="nil"/>
              <w:left w:val="single" w:sz="4" w:space="0" w:color="auto"/>
              <w:bottom w:val="single" w:sz="4" w:space="0" w:color="auto"/>
              <w:right w:val="single" w:sz="4" w:space="0" w:color="auto"/>
            </w:tcBorders>
            <w:noWrap/>
            <w:tcMar>
              <w:top w:w="57" w:type="dxa"/>
            </w:tcMar>
            <w:vAlign w:val="bottom"/>
          </w:tcPr>
          <w:p w:rsidR="00167916" w:rsidRPr="005D619C" w:rsidRDefault="00167916" w:rsidP="00ED43B9">
            <w:pPr>
              <w:keepLines/>
              <w:bidi/>
              <w:rPr>
                <w:rFonts w:ascii="Arabic Typesetting" w:hAnsi="Arabic Typesetting" w:cs="Arabic Typesetting"/>
                <w:sz w:val="36"/>
                <w:szCs w:val="36"/>
                <w:rtl/>
                <w:lang w:bidi="ar-EG"/>
              </w:rPr>
            </w:pPr>
            <w:r w:rsidRPr="005D619C">
              <w:rPr>
                <w:rFonts w:ascii="Arabic Typesetting" w:hAnsi="Arabic Typesetting" w:cs="Arabic Typesetting"/>
                <w:sz w:val="36"/>
                <w:szCs w:val="36"/>
                <w:rtl/>
                <w:lang w:bidi="ar-EG"/>
              </w:rPr>
              <w:t>الادعاء يستند (الادعاءات تستند) إلى دليل</w:t>
            </w:r>
          </w:p>
        </w:tc>
        <w:tc>
          <w:tcPr>
            <w:tcW w:w="960" w:type="dxa"/>
            <w:tcBorders>
              <w:top w:val="nil"/>
              <w:left w:val="nil"/>
              <w:bottom w:val="single" w:sz="4" w:space="0" w:color="auto"/>
              <w:right w:val="single" w:sz="4" w:space="0" w:color="auto"/>
            </w:tcBorders>
            <w:noWrap/>
            <w:tcMar>
              <w:top w:w="57" w:type="dxa"/>
            </w:tcMar>
            <w:vAlign w:val="bottom"/>
          </w:tcPr>
          <w:p w:rsidR="00167916" w:rsidRPr="005D619C" w:rsidRDefault="00167916" w:rsidP="00BD1BF5">
            <w:pPr>
              <w:keepLines/>
              <w:bidi/>
              <w:spacing w:after="60"/>
              <w:jc w:val="center"/>
              <w:rPr>
                <w:rFonts w:ascii="Arabic Typesetting" w:hAnsi="Arabic Typesetting" w:cs="Arabic Typesetting"/>
                <w:sz w:val="36"/>
                <w:szCs w:val="36"/>
              </w:rPr>
            </w:pPr>
            <w:r w:rsidRPr="005D619C">
              <w:rPr>
                <w:rFonts w:ascii="Arabic Typesetting" w:hAnsi="Arabic Typesetting" w:cs="Arabic Typesetting"/>
                <w:sz w:val="36"/>
                <w:szCs w:val="36"/>
              </w:rPr>
              <w:t>5</w:t>
            </w:r>
          </w:p>
        </w:tc>
        <w:tc>
          <w:tcPr>
            <w:tcW w:w="960" w:type="dxa"/>
            <w:tcBorders>
              <w:top w:val="nil"/>
              <w:left w:val="nil"/>
              <w:bottom w:val="single" w:sz="4" w:space="0" w:color="auto"/>
              <w:right w:val="single" w:sz="4" w:space="0" w:color="auto"/>
            </w:tcBorders>
          </w:tcPr>
          <w:p w:rsidR="00167916" w:rsidRPr="005D619C" w:rsidRDefault="00167916" w:rsidP="00BD1BF5">
            <w:pPr>
              <w:keepLines/>
              <w:bidi/>
              <w:jc w:val="center"/>
              <w:rPr>
                <w:rFonts w:ascii="Arabic Typesetting" w:hAnsi="Arabic Typesetting" w:cs="Arabic Typesetting"/>
                <w:sz w:val="36"/>
                <w:szCs w:val="36"/>
              </w:rPr>
            </w:pPr>
            <w:r w:rsidRPr="005D619C">
              <w:rPr>
                <w:rFonts w:ascii="Arabic Typesetting" w:hAnsi="Arabic Typesetting" w:cs="Arabic Typesetting"/>
                <w:sz w:val="36"/>
                <w:szCs w:val="36"/>
              </w:rPr>
              <w:t>18</w:t>
            </w:r>
          </w:p>
        </w:tc>
      </w:tr>
      <w:tr w:rsidR="00167916" w:rsidRPr="005D619C" w:rsidTr="00797210">
        <w:trPr>
          <w:trHeight w:val="255"/>
          <w:jc w:val="center"/>
        </w:trPr>
        <w:tc>
          <w:tcPr>
            <w:tcW w:w="5738" w:type="dxa"/>
            <w:tcBorders>
              <w:top w:val="nil"/>
              <w:left w:val="single" w:sz="4" w:space="0" w:color="auto"/>
              <w:bottom w:val="single" w:sz="4" w:space="0" w:color="auto"/>
              <w:right w:val="single" w:sz="4" w:space="0" w:color="auto"/>
            </w:tcBorders>
            <w:noWrap/>
            <w:tcMar>
              <w:top w:w="57" w:type="dxa"/>
            </w:tcMar>
            <w:vAlign w:val="bottom"/>
          </w:tcPr>
          <w:p w:rsidR="00167916" w:rsidRPr="005D619C" w:rsidRDefault="00167916" w:rsidP="00797210">
            <w:pPr>
              <w:bidi/>
              <w:rPr>
                <w:rFonts w:ascii="Arabic Typesetting" w:hAnsi="Arabic Typesetting" w:cs="Arabic Typesetting"/>
                <w:sz w:val="36"/>
                <w:szCs w:val="36"/>
                <w:rtl/>
                <w:lang w:bidi="ar-EG"/>
              </w:rPr>
            </w:pPr>
            <w:r w:rsidRPr="005D619C">
              <w:rPr>
                <w:rFonts w:ascii="Arabic Typesetting" w:hAnsi="Arabic Typesetting" w:cs="Arabic Typesetting"/>
                <w:sz w:val="36"/>
                <w:szCs w:val="36"/>
                <w:rtl/>
                <w:lang w:bidi="ar-EG"/>
              </w:rPr>
              <w:t>أسباب أخرى (على سبيل المثال ترك الموظفين للخدمة، الموضوع لا يقع ضمن نطاق سلطة الشعبة، وجود حل آخر)</w:t>
            </w:r>
          </w:p>
        </w:tc>
        <w:tc>
          <w:tcPr>
            <w:tcW w:w="960" w:type="dxa"/>
            <w:tcBorders>
              <w:top w:val="nil"/>
              <w:left w:val="nil"/>
              <w:bottom w:val="single" w:sz="4" w:space="0" w:color="auto"/>
              <w:right w:val="single" w:sz="4" w:space="0" w:color="auto"/>
            </w:tcBorders>
            <w:noWrap/>
            <w:tcMar>
              <w:top w:w="57" w:type="dxa"/>
            </w:tcMar>
            <w:vAlign w:val="center"/>
          </w:tcPr>
          <w:p w:rsidR="00167916" w:rsidRPr="005D619C" w:rsidRDefault="00167916" w:rsidP="00BD1BF5">
            <w:pPr>
              <w:bidi/>
              <w:spacing w:after="60" w:line="24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6</w:t>
            </w:r>
          </w:p>
        </w:tc>
        <w:tc>
          <w:tcPr>
            <w:tcW w:w="960" w:type="dxa"/>
            <w:tcBorders>
              <w:top w:val="nil"/>
              <w:left w:val="nil"/>
              <w:bottom w:val="single" w:sz="4" w:space="0" w:color="auto"/>
              <w:right w:val="single" w:sz="4" w:space="0" w:color="auto"/>
            </w:tcBorders>
            <w:vAlign w:val="center"/>
          </w:tcPr>
          <w:p w:rsidR="00167916" w:rsidRPr="005D619C" w:rsidRDefault="00167916" w:rsidP="00BD1BF5">
            <w:pPr>
              <w:keepLines/>
              <w:bidi/>
              <w:spacing w:after="60" w:line="24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21</w:t>
            </w:r>
          </w:p>
        </w:tc>
      </w:tr>
      <w:tr w:rsidR="00167916" w:rsidRPr="005D619C" w:rsidTr="002F05DC">
        <w:trPr>
          <w:trHeight w:val="255"/>
          <w:jc w:val="center"/>
        </w:trPr>
        <w:tc>
          <w:tcPr>
            <w:tcW w:w="5738" w:type="dxa"/>
            <w:tcBorders>
              <w:top w:val="nil"/>
              <w:left w:val="single" w:sz="4" w:space="0" w:color="auto"/>
              <w:bottom w:val="single" w:sz="4" w:space="0" w:color="auto"/>
              <w:right w:val="single" w:sz="4" w:space="0" w:color="auto"/>
            </w:tcBorders>
            <w:noWrap/>
            <w:tcMar>
              <w:top w:w="57" w:type="dxa"/>
            </w:tcMar>
            <w:vAlign w:val="bottom"/>
          </w:tcPr>
          <w:p w:rsidR="00167916" w:rsidRPr="005D619C" w:rsidRDefault="00167916" w:rsidP="00ED43B9">
            <w:pPr>
              <w:keepLines/>
              <w:bidi/>
              <w:rPr>
                <w:rFonts w:ascii="Arabic Typesetting" w:hAnsi="Arabic Typesetting" w:cs="Arabic Typesetting"/>
                <w:sz w:val="36"/>
                <w:szCs w:val="36"/>
                <w:rtl/>
                <w:lang w:bidi="ar-EG"/>
              </w:rPr>
            </w:pPr>
            <w:r w:rsidRPr="005D619C">
              <w:rPr>
                <w:rFonts w:ascii="Arabic Typesetting" w:hAnsi="Arabic Typesetting" w:cs="Arabic Typesetting"/>
                <w:sz w:val="36"/>
                <w:szCs w:val="36"/>
                <w:rtl/>
                <w:lang w:bidi="ar-EG"/>
              </w:rPr>
              <w:t>سحب الشكوى</w:t>
            </w:r>
          </w:p>
        </w:tc>
        <w:tc>
          <w:tcPr>
            <w:tcW w:w="960" w:type="dxa"/>
            <w:tcBorders>
              <w:top w:val="nil"/>
              <w:left w:val="nil"/>
              <w:bottom w:val="single" w:sz="4" w:space="0" w:color="auto"/>
              <w:right w:val="single" w:sz="4" w:space="0" w:color="auto"/>
            </w:tcBorders>
            <w:noWrap/>
            <w:tcMar>
              <w:top w:w="57" w:type="dxa"/>
            </w:tcMar>
            <w:vAlign w:val="bottom"/>
          </w:tcPr>
          <w:p w:rsidR="00167916" w:rsidRPr="005D619C" w:rsidRDefault="00167916" w:rsidP="00BD1BF5">
            <w:pPr>
              <w:keepLines/>
              <w:bidi/>
              <w:spacing w:after="60"/>
              <w:jc w:val="center"/>
              <w:rPr>
                <w:rFonts w:ascii="Arabic Typesetting" w:hAnsi="Arabic Typesetting" w:cs="Arabic Typesetting"/>
                <w:sz w:val="36"/>
                <w:szCs w:val="36"/>
              </w:rPr>
            </w:pPr>
            <w:r w:rsidRPr="005D619C">
              <w:rPr>
                <w:rFonts w:ascii="Arabic Typesetting" w:hAnsi="Arabic Typesetting" w:cs="Arabic Typesetting"/>
                <w:sz w:val="36"/>
                <w:szCs w:val="36"/>
              </w:rPr>
              <w:t>1</w:t>
            </w:r>
          </w:p>
        </w:tc>
        <w:tc>
          <w:tcPr>
            <w:tcW w:w="960" w:type="dxa"/>
            <w:tcBorders>
              <w:top w:val="nil"/>
              <w:left w:val="nil"/>
              <w:bottom w:val="single" w:sz="4" w:space="0" w:color="auto"/>
              <w:right w:val="single" w:sz="4" w:space="0" w:color="auto"/>
            </w:tcBorders>
          </w:tcPr>
          <w:p w:rsidR="00167916" w:rsidRPr="005D619C" w:rsidRDefault="00167916" w:rsidP="00BD1BF5">
            <w:pPr>
              <w:keepLines/>
              <w:bidi/>
              <w:jc w:val="center"/>
              <w:rPr>
                <w:rFonts w:ascii="Arabic Typesetting" w:hAnsi="Arabic Typesetting" w:cs="Arabic Typesetting"/>
                <w:sz w:val="36"/>
                <w:szCs w:val="36"/>
              </w:rPr>
            </w:pPr>
            <w:r w:rsidRPr="005D619C">
              <w:rPr>
                <w:rFonts w:ascii="Arabic Typesetting" w:hAnsi="Arabic Typesetting" w:cs="Arabic Typesetting"/>
                <w:sz w:val="36"/>
                <w:szCs w:val="36"/>
              </w:rPr>
              <w:t>4</w:t>
            </w:r>
          </w:p>
        </w:tc>
      </w:tr>
      <w:tr w:rsidR="00167916" w:rsidRPr="005D619C" w:rsidTr="002F05DC">
        <w:trPr>
          <w:trHeight w:val="255"/>
          <w:jc w:val="center"/>
        </w:trPr>
        <w:tc>
          <w:tcPr>
            <w:tcW w:w="5738" w:type="dxa"/>
            <w:tcBorders>
              <w:top w:val="single" w:sz="4" w:space="0" w:color="auto"/>
              <w:left w:val="single" w:sz="4" w:space="0" w:color="auto"/>
              <w:bottom w:val="single" w:sz="4" w:space="0" w:color="auto"/>
              <w:right w:val="nil"/>
            </w:tcBorders>
            <w:noWrap/>
            <w:tcMar>
              <w:top w:w="57" w:type="dxa"/>
            </w:tcMar>
            <w:vAlign w:val="bottom"/>
          </w:tcPr>
          <w:p w:rsidR="00167916" w:rsidRPr="005D619C" w:rsidRDefault="00167916" w:rsidP="00ED43B9">
            <w:pPr>
              <w:keepLines/>
              <w:bidi/>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المجموع</w:t>
            </w:r>
          </w:p>
        </w:tc>
        <w:tc>
          <w:tcPr>
            <w:tcW w:w="960" w:type="dxa"/>
            <w:tcBorders>
              <w:top w:val="single" w:sz="4" w:space="0" w:color="auto"/>
              <w:left w:val="single" w:sz="4" w:space="0" w:color="auto"/>
              <w:bottom w:val="single" w:sz="4" w:space="0" w:color="auto"/>
              <w:right w:val="single" w:sz="4" w:space="0" w:color="auto"/>
            </w:tcBorders>
            <w:noWrap/>
            <w:tcMar>
              <w:top w:w="57" w:type="dxa"/>
            </w:tcMar>
            <w:vAlign w:val="bottom"/>
          </w:tcPr>
          <w:p w:rsidR="00167916" w:rsidRPr="005D619C" w:rsidRDefault="00167916" w:rsidP="00BD1BF5">
            <w:pPr>
              <w:keepLines/>
              <w:bidi/>
              <w:spacing w:after="60"/>
              <w:jc w:val="center"/>
              <w:rPr>
                <w:rFonts w:ascii="Arabic Typesetting" w:hAnsi="Arabic Typesetting" w:cs="Arabic Typesetting"/>
                <w:b/>
                <w:sz w:val="36"/>
                <w:szCs w:val="36"/>
              </w:rPr>
            </w:pPr>
            <w:r w:rsidRPr="005D619C">
              <w:rPr>
                <w:rFonts w:ascii="Arabic Typesetting" w:hAnsi="Arabic Typesetting" w:cs="Arabic Typesetting"/>
                <w:b/>
                <w:sz w:val="36"/>
                <w:szCs w:val="36"/>
              </w:rPr>
              <w:t>28</w:t>
            </w:r>
          </w:p>
        </w:tc>
        <w:tc>
          <w:tcPr>
            <w:tcW w:w="960" w:type="dxa"/>
            <w:tcBorders>
              <w:top w:val="single" w:sz="4" w:space="0" w:color="auto"/>
              <w:left w:val="single" w:sz="4" w:space="0" w:color="auto"/>
              <w:bottom w:val="single" w:sz="4" w:space="0" w:color="auto"/>
              <w:right w:val="single" w:sz="4" w:space="0" w:color="auto"/>
            </w:tcBorders>
          </w:tcPr>
          <w:p w:rsidR="00167916" w:rsidRPr="005D619C" w:rsidRDefault="00167916" w:rsidP="00BD1BF5">
            <w:pPr>
              <w:keepLines/>
              <w:bidi/>
              <w:jc w:val="center"/>
              <w:rPr>
                <w:rFonts w:ascii="Arabic Typesetting" w:hAnsi="Arabic Typesetting" w:cs="Arabic Typesetting"/>
                <w:b/>
                <w:sz w:val="36"/>
                <w:szCs w:val="36"/>
              </w:rPr>
            </w:pPr>
            <w:r w:rsidRPr="005D619C">
              <w:rPr>
                <w:rFonts w:ascii="Arabic Typesetting" w:hAnsi="Arabic Typesetting" w:cs="Arabic Typesetting"/>
                <w:b/>
                <w:sz w:val="36"/>
                <w:szCs w:val="36"/>
              </w:rPr>
              <w:t>100</w:t>
            </w:r>
          </w:p>
        </w:tc>
      </w:tr>
    </w:tbl>
    <w:p w:rsidR="00167916" w:rsidRPr="005D619C" w:rsidRDefault="00167916" w:rsidP="00797210">
      <w:pPr>
        <w:pStyle w:val="NumberedParaAR"/>
        <w:spacing w:before="240"/>
      </w:pPr>
      <w:r w:rsidRPr="005D619C">
        <w:rPr>
          <w:rtl/>
          <w:lang w:bidi="ar-EG"/>
        </w:rPr>
        <w:t>في 4 من الدعاوى الخمس التي وجدت الشعبة أن ادعاءات سوء السلوك فيها تستند إلى دليل، اتخذت الإدارة الإجراءات التالية:</w:t>
      </w:r>
      <w:r>
        <w:rPr>
          <w:rtl/>
          <w:lang w:bidi="ar-EG"/>
        </w:rPr>
        <w:t xml:space="preserve"> </w:t>
      </w:r>
      <w:r w:rsidRPr="005D619C">
        <w:rPr>
          <w:rtl/>
          <w:lang w:bidi="ar-EG"/>
        </w:rPr>
        <w:t xml:space="preserve">(أ) وُجه توبيخ كتابي إلى أحد الموظفين؛ (2) وفي إحدى الدعاوى، قرر المدير العام عدم اتخاذ إجراءات أخرى استنادا إلى ظروف التخفيف المبينة في تقرير التحقيق؛ (3) </w:t>
      </w:r>
      <w:r w:rsidR="00797210">
        <w:rPr>
          <w:rFonts w:hint="cs"/>
          <w:rtl/>
          <w:lang w:bidi="ar-EG"/>
        </w:rPr>
        <w:t>و</w:t>
      </w:r>
      <w:r w:rsidRPr="005D619C">
        <w:rPr>
          <w:rtl/>
          <w:lang w:bidi="ar-EG"/>
        </w:rPr>
        <w:t>أبرم اتفاق لترك الخدمة مع أحد الموظفين بعد إحالة الدعوى إلى اللجنة الاستشارية المشتركة طلبا للمشورة بشأن الإجراء التأديبي المناسب؛ وفي دعوى أخرى نفذت إجراءات تأديبية.</w:t>
      </w:r>
      <w:r>
        <w:rPr>
          <w:rtl/>
        </w:rPr>
        <w:t xml:space="preserve"> </w:t>
      </w:r>
      <w:r w:rsidRPr="005D619C">
        <w:rPr>
          <w:rtl/>
          <w:lang w:bidi="ar-EG"/>
        </w:rPr>
        <w:t>وأخيرا، لا تزال دعوى واحدة قيد الاستعراض من قبل الإدارة.</w:t>
      </w:r>
    </w:p>
    <w:p w:rsidR="00167916" w:rsidRPr="005D619C" w:rsidRDefault="00167916" w:rsidP="00797210">
      <w:pPr>
        <w:pStyle w:val="NumberedParaAR"/>
      </w:pPr>
      <w:r w:rsidRPr="005D619C">
        <w:rPr>
          <w:rtl/>
          <w:lang w:bidi="ar-EG"/>
        </w:rPr>
        <w:lastRenderedPageBreak/>
        <w:t>وقد استخلصت الشعبة أيضا بعض الدروس من أنشطة التحقيق التي أجريت خلال فترة التقرير.</w:t>
      </w:r>
      <w:r>
        <w:rPr>
          <w:rtl/>
        </w:rPr>
        <w:t xml:space="preserve"> </w:t>
      </w:r>
      <w:r w:rsidRPr="005D619C">
        <w:rPr>
          <w:rtl/>
          <w:lang w:bidi="ar-EG"/>
        </w:rPr>
        <w:t>فقد صدرت بعض تقارير التدخل الإداري والتوصيات لتحسين الأنظمة والسياسات والإجراءات الحالية.</w:t>
      </w:r>
      <w:r>
        <w:rPr>
          <w:rtl/>
        </w:rPr>
        <w:t xml:space="preserve"> </w:t>
      </w:r>
      <w:r w:rsidRPr="005D619C">
        <w:rPr>
          <w:rtl/>
          <w:lang w:bidi="ar-EG"/>
        </w:rPr>
        <w:t>ومن المسائل المرفوعة للإدارة أمور تتعلق بالأنشطة الخارجية ونظام البريد الإلكتروني وتحديد حالة الإعالة.</w:t>
      </w:r>
    </w:p>
    <w:p w:rsidR="00167916" w:rsidRPr="005D619C" w:rsidRDefault="00167916" w:rsidP="00797210">
      <w:pPr>
        <w:pStyle w:val="NumberedParaAR"/>
      </w:pPr>
      <w:r w:rsidRPr="005D619C">
        <w:rPr>
          <w:rtl/>
          <w:lang w:bidi="ar-EG"/>
        </w:rPr>
        <w:t>وتعرض الجداول والأشكال التوضيحية الواردة في المرفق الثاني معلومات إحصائية عن قضايا الشكاوى والتحقيق.</w:t>
      </w:r>
    </w:p>
    <w:p w:rsidR="00167916" w:rsidRPr="005D619C" w:rsidRDefault="00167916" w:rsidP="00797210">
      <w:pPr>
        <w:pStyle w:val="NumberedParaAR"/>
      </w:pPr>
      <w:r w:rsidRPr="005D619C">
        <w:rPr>
          <w:rtl/>
          <w:lang w:bidi="ar-EG"/>
        </w:rPr>
        <w:t>وخلال فترة التقرير، أجرت الشعبة مشاورات حول مشروع سياسة التحقيق، المعلق منذ أغسطس 2010، وأيضا حول النسخة المعدلة من دليل إجراءات التحقيق الصادرة في يوليو 2010. وعقدت الجولة الأولى من المشاورات مع مديري برامج الويبو ومكتب المستشار القانوني وإدارة الموارد البشرية وأمين المظالم ومجلس الموظفين واللجنة الاستشارية المستقلة للرقابة في الفترة من نهاية أكتوبر 2012 إلى فبراير 2013. وبعد هذه الجولة الأولى من المشاورات، عدلت الشعبة المشروعين وأعادت توزيعهما لعقد جولة أخرى من المشاورات حولهما في 30 أبريل 2013. والخطوة التالية هي إرسال مشروع سياسة التحقيق إلى الدول الأعضاء للتشاور حوله، حسبما يتطلب ميثاق الرقابة الداخلية.</w:t>
      </w:r>
    </w:p>
    <w:p w:rsidR="00167916" w:rsidRPr="005D619C" w:rsidRDefault="00167916" w:rsidP="0018104B">
      <w:pPr>
        <w:pStyle w:val="Heading1"/>
        <w:keepLines/>
        <w:numPr>
          <w:ilvl w:val="0"/>
          <w:numId w:val="28"/>
        </w:numPr>
        <w:bidi/>
        <w:spacing w:after="360"/>
        <w:rPr>
          <w:rFonts w:ascii="Arabic Typesetting" w:hAnsi="Arabic Typesetting" w:cs="Arabic Typesetting"/>
          <w:sz w:val="40"/>
          <w:szCs w:val="40"/>
          <w:lang w:bidi="ar-EG"/>
        </w:rPr>
      </w:pPr>
      <w:bookmarkStart w:id="15" w:name="_Toc361774216"/>
      <w:r w:rsidRPr="005D619C">
        <w:rPr>
          <w:rFonts w:ascii="Arabic Typesetting" w:hAnsi="Arabic Typesetting" w:cs="Arabic Typesetting"/>
          <w:sz w:val="40"/>
          <w:szCs w:val="40"/>
          <w:rtl/>
          <w:lang w:bidi="ar-EG"/>
        </w:rPr>
        <w:t>حالات الامتناع عن المساعدة أو الإدلاء بمعلومات</w:t>
      </w:r>
      <w:bookmarkEnd w:id="15"/>
    </w:p>
    <w:p w:rsidR="00167916" w:rsidRPr="005D619C" w:rsidRDefault="00167916" w:rsidP="00797210">
      <w:pPr>
        <w:pStyle w:val="NumberedParaAR"/>
      </w:pPr>
      <w:r w:rsidRPr="005D619C">
        <w:rPr>
          <w:rtl/>
          <w:lang w:bidi="ar-EG"/>
        </w:rPr>
        <w:t>وفقا للفقرة 27(ج) من ميثاق الرقابة الداخلية، أبلغ مدير شعبة التدقيق الداخلي والرقابة الإدارية عن اثنين من الموظفين امتنعا عن المساعدة في تحقيق جاري أثناء فترة التقرير، بينما طلب موظف آخر إجراء تحقيق ثم امتنع عن توفير دليل ادعى أنه بحوزته.</w:t>
      </w:r>
      <w:r>
        <w:rPr>
          <w:rtl/>
        </w:rPr>
        <w:t xml:space="preserve"> </w:t>
      </w:r>
      <w:r w:rsidRPr="005D619C">
        <w:rPr>
          <w:rtl/>
          <w:lang w:bidi="ar-EG"/>
        </w:rPr>
        <w:t>ولم يمنع عدم تعاون هؤلاء الموظفين الشعبة من إكمال عملها ولكن تسبب في تأخيره.</w:t>
      </w:r>
    </w:p>
    <w:p w:rsidR="00167916" w:rsidRPr="005D619C" w:rsidRDefault="00167916" w:rsidP="0018104B">
      <w:pPr>
        <w:pStyle w:val="Heading1"/>
        <w:keepLines/>
        <w:numPr>
          <w:ilvl w:val="0"/>
          <w:numId w:val="28"/>
        </w:numPr>
        <w:bidi/>
        <w:spacing w:after="360"/>
        <w:rPr>
          <w:rFonts w:ascii="Arabic Typesetting" w:hAnsi="Arabic Typesetting" w:cs="Arabic Typesetting"/>
          <w:sz w:val="40"/>
          <w:szCs w:val="40"/>
          <w:lang w:bidi="ar-EG"/>
        </w:rPr>
      </w:pPr>
      <w:bookmarkStart w:id="16" w:name="_Toc361774217"/>
      <w:r w:rsidRPr="005D619C">
        <w:rPr>
          <w:rFonts w:ascii="Arabic Typesetting" w:hAnsi="Arabic Typesetting" w:cs="Arabic Typesetting"/>
          <w:sz w:val="40"/>
          <w:szCs w:val="40"/>
          <w:rtl/>
          <w:lang w:bidi="ar-EG"/>
        </w:rPr>
        <w:t>حالة تنفيذ التوصيات السابقة</w:t>
      </w:r>
      <w:bookmarkEnd w:id="16"/>
    </w:p>
    <w:p w:rsidR="00167916" w:rsidRPr="005D619C" w:rsidRDefault="00167916" w:rsidP="00797210">
      <w:pPr>
        <w:pStyle w:val="NumberedParaAR"/>
      </w:pPr>
      <w:r w:rsidRPr="005D619C">
        <w:rPr>
          <w:rtl/>
          <w:lang w:bidi="ar-EG"/>
        </w:rPr>
        <w:t>المدير العام منوط به أن يضمن الاستجابة الفورية لكل التوصيات التي يصدرها مدير شعبة التدقيق الداخلي والرقابة الإدارية وغيره من الجهات الرقابية مع توضيح الإجراءات المتخذة فيما يتعلق بنتائج التقرير وتوصياته المحددة</w:t>
      </w:r>
      <w:r w:rsidRPr="001D6DBE">
        <w:rPr>
          <w:rStyle w:val="FootnoteReference"/>
          <w:rFonts w:cs="Arabic Typesetting"/>
          <w:rtl/>
          <w:lang w:bidi="ar-EG"/>
        </w:rPr>
        <w:footnoteReference w:id="8"/>
      </w:r>
      <w:r w:rsidRPr="005D619C">
        <w:rPr>
          <w:rtl/>
          <w:lang w:bidi="ar-EG"/>
        </w:rPr>
        <w:t>.</w:t>
      </w:r>
      <w:r>
        <w:rPr>
          <w:rtl/>
          <w:lang w:bidi="ar-EG"/>
        </w:rPr>
        <w:t xml:space="preserve"> </w:t>
      </w:r>
      <w:r w:rsidRPr="005D619C">
        <w:rPr>
          <w:rtl/>
          <w:lang w:bidi="ar-EG"/>
        </w:rPr>
        <w:t>ويؤدي المدير العام هذه المهمة من خلال مديري البرنامج المسؤولين عن المجالات التشغيلية المعينة بداخل المنظمة</w:t>
      </w:r>
      <w:r w:rsidRPr="001D6DBE">
        <w:rPr>
          <w:rStyle w:val="FootnoteReference"/>
          <w:rFonts w:cs="Arabic Typesetting"/>
          <w:rtl/>
          <w:lang w:bidi="ar-EG"/>
        </w:rPr>
        <w:footnoteReference w:id="9"/>
      </w:r>
      <w:r w:rsidRPr="005D619C">
        <w:rPr>
          <w:rtl/>
          <w:lang w:bidi="ar-EG"/>
        </w:rPr>
        <w:t>.</w:t>
      </w:r>
      <w:r>
        <w:rPr>
          <w:rtl/>
        </w:rPr>
        <w:t xml:space="preserve"> </w:t>
      </w:r>
      <w:r w:rsidRPr="005D619C">
        <w:rPr>
          <w:rtl/>
          <w:lang w:bidi="ar-EG"/>
        </w:rPr>
        <w:t>ويكون تنفيذ مديري الويبو لكل توصيات الرقابة خاضعا لمتابعة منتظمة من قبل الشعبة</w:t>
      </w:r>
      <w:r w:rsidRPr="001D6DBE">
        <w:rPr>
          <w:rStyle w:val="FootnoteReference"/>
          <w:rFonts w:cs="Arabic Typesetting"/>
          <w:rtl/>
          <w:lang w:bidi="ar-EG"/>
        </w:rPr>
        <w:footnoteReference w:id="10"/>
      </w:r>
      <w:r w:rsidRPr="005D619C">
        <w:rPr>
          <w:rtl/>
          <w:lang w:bidi="ar-EG"/>
        </w:rPr>
        <w:t>.</w:t>
      </w:r>
    </w:p>
    <w:p w:rsidR="00167916" w:rsidRPr="005D619C" w:rsidRDefault="00167916" w:rsidP="00727D92">
      <w:pPr>
        <w:pStyle w:val="Caption"/>
        <w:keepNext/>
        <w:bidi/>
        <w:spacing w:after="120"/>
        <w:jc w:val="center"/>
        <w:rPr>
          <w:rFonts w:ascii="Arabic Typesetting" w:hAnsi="Arabic Typesetting" w:cs="Arabic Typesetting"/>
          <w:bCs w:val="0"/>
          <w:sz w:val="36"/>
          <w:szCs w:val="36"/>
          <w:rtl/>
          <w:lang w:bidi="ar-EG"/>
        </w:rPr>
      </w:pPr>
      <w:r w:rsidRPr="005D619C">
        <w:rPr>
          <w:rFonts w:ascii="Arabic Typesetting" w:hAnsi="Arabic Typesetting" w:cs="Arabic Typesetting"/>
          <w:sz w:val="36"/>
          <w:szCs w:val="36"/>
          <w:rtl/>
          <w:lang w:bidi="ar-EG"/>
        </w:rPr>
        <w:lastRenderedPageBreak/>
        <w:t>الجدول 3 – التوصيات الجارية حسب المصدر</w:t>
      </w:r>
    </w:p>
    <w:tbl>
      <w:tblPr>
        <w:bidiVisual/>
        <w:tblW w:w="8862" w:type="dxa"/>
        <w:jc w:val="center"/>
        <w:tblInd w:w="-635" w:type="dxa"/>
        <w:tblLayout w:type="fixed"/>
        <w:tblCellMar>
          <w:left w:w="0" w:type="dxa"/>
          <w:right w:w="0" w:type="dxa"/>
        </w:tblCellMar>
        <w:tblLook w:val="0000" w:firstRow="0" w:lastRow="0" w:firstColumn="0" w:lastColumn="0" w:noHBand="0" w:noVBand="0"/>
      </w:tblPr>
      <w:tblGrid>
        <w:gridCol w:w="2270"/>
        <w:gridCol w:w="1768"/>
        <w:gridCol w:w="1528"/>
        <w:gridCol w:w="1648"/>
        <w:gridCol w:w="1648"/>
      </w:tblGrid>
      <w:tr w:rsidR="00167916" w:rsidRPr="005D619C" w:rsidTr="001D6DBE">
        <w:trPr>
          <w:cantSplit/>
          <w:trHeight w:val="152"/>
          <w:jc w:val="center"/>
        </w:trPr>
        <w:tc>
          <w:tcPr>
            <w:tcW w:w="2270"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167916" w:rsidRPr="005D619C" w:rsidRDefault="00167916" w:rsidP="001D6DBE">
            <w:pPr>
              <w:keepNext/>
              <w:keepLines/>
              <w:bidi/>
              <w:spacing w:line="320" w:lineRule="exact"/>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المصدر</w:t>
            </w:r>
          </w:p>
        </w:tc>
        <w:tc>
          <w:tcPr>
            <w:tcW w:w="176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167916" w:rsidRPr="005D619C" w:rsidRDefault="00167916" w:rsidP="001D6DBE">
            <w:pPr>
              <w:keepNext/>
              <w:keepLines/>
              <w:bidi/>
              <w:spacing w:line="320" w:lineRule="exact"/>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1 يوليو 2012</w:t>
            </w:r>
          </w:p>
        </w:tc>
        <w:tc>
          <w:tcPr>
            <w:tcW w:w="1528" w:type="dxa"/>
            <w:tcBorders>
              <w:top w:val="single" w:sz="8" w:space="0" w:color="auto"/>
              <w:left w:val="nil"/>
              <w:bottom w:val="single" w:sz="8" w:space="0" w:color="auto"/>
              <w:right w:val="nil"/>
            </w:tcBorders>
            <w:shd w:val="clear" w:color="auto" w:fill="C0C0C0"/>
            <w:noWrap/>
            <w:tcMar>
              <w:top w:w="0" w:type="dxa"/>
              <w:left w:w="108" w:type="dxa"/>
              <w:bottom w:w="0" w:type="dxa"/>
              <w:right w:w="108" w:type="dxa"/>
            </w:tcMar>
            <w:vAlign w:val="bottom"/>
          </w:tcPr>
          <w:p w:rsidR="00167916" w:rsidRPr="005D619C" w:rsidRDefault="00167916" w:rsidP="001D6DBE">
            <w:pPr>
              <w:keepNext/>
              <w:keepLines/>
              <w:spacing w:line="320" w:lineRule="exact"/>
              <w:jc w:val="center"/>
              <w:rPr>
                <w:rFonts w:ascii="Arabic Typesetting" w:hAnsi="Arabic Typesetting" w:cs="Arabic Typesetting"/>
                <w:sz w:val="36"/>
                <w:szCs w:val="36"/>
                <w:rtl/>
                <w:lang w:bidi="ar-EG"/>
              </w:rPr>
            </w:pPr>
            <w:r w:rsidRPr="005D619C">
              <w:rPr>
                <w:rFonts w:ascii="Arabic Typesetting" w:hAnsi="Arabic Typesetting" w:cs="Arabic Typesetting"/>
                <w:b/>
                <w:sz w:val="36"/>
                <w:szCs w:val="36"/>
              </w:rPr>
              <w:t> </w:t>
            </w: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167916" w:rsidRPr="005D619C" w:rsidRDefault="00167916" w:rsidP="001D6DBE">
            <w:pPr>
              <w:keepNext/>
              <w:keepLines/>
              <w:spacing w:line="320" w:lineRule="exact"/>
              <w:rPr>
                <w:rFonts w:ascii="Arabic Typesetting" w:hAnsi="Arabic Typesetting" w:cs="Arabic Typesetting"/>
                <w:sz w:val="36"/>
                <w:szCs w:val="36"/>
              </w:rPr>
            </w:pPr>
            <w:r w:rsidRPr="005D619C">
              <w:rPr>
                <w:rFonts w:ascii="Arabic Typesetting" w:hAnsi="Arabic Typesetting" w:cs="Arabic Typesetting"/>
                <w:b/>
                <w:sz w:val="36"/>
                <w:szCs w:val="36"/>
              </w:rPr>
              <w:t> </w:t>
            </w: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167916" w:rsidRPr="005D619C" w:rsidRDefault="00167916" w:rsidP="001D6DBE">
            <w:pPr>
              <w:keepNext/>
              <w:keepLines/>
              <w:bidi/>
              <w:spacing w:line="320" w:lineRule="exact"/>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30 يونيو 2013</w:t>
            </w:r>
          </w:p>
        </w:tc>
      </w:tr>
      <w:tr w:rsidR="00167916" w:rsidRPr="005D619C" w:rsidTr="001D6DBE">
        <w:trPr>
          <w:cantSplit/>
          <w:trHeight w:val="538"/>
          <w:jc w:val="center"/>
        </w:trPr>
        <w:tc>
          <w:tcPr>
            <w:tcW w:w="227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tcPr>
          <w:p w:rsidR="00167916" w:rsidRPr="005D619C" w:rsidRDefault="00167916" w:rsidP="001D6DBE">
            <w:pPr>
              <w:keepNext/>
              <w:keepLines/>
              <w:bidi/>
              <w:spacing w:line="320" w:lineRule="exact"/>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توصيات الرقابة من:</w:t>
            </w:r>
          </w:p>
        </w:tc>
        <w:tc>
          <w:tcPr>
            <w:tcW w:w="176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67916" w:rsidRPr="005D619C" w:rsidRDefault="00167916" w:rsidP="001D6DBE">
            <w:pPr>
              <w:keepNext/>
              <w:keepLines/>
              <w:bidi/>
              <w:spacing w:line="320" w:lineRule="exact"/>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التوصيات الجارية</w:t>
            </w:r>
          </w:p>
        </w:tc>
        <w:tc>
          <w:tcPr>
            <w:tcW w:w="152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67916" w:rsidRPr="005D619C" w:rsidRDefault="00167916" w:rsidP="001D6DBE">
            <w:pPr>
              <w:keepNext/>
              <w:keepLines/>
              <w:bidi/>
              <w:spacing w:line="320" w:lineRule="exact"/>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توصيات مضافة أثناء الفترة</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67916" w:rsidRPr="005D619C" w:rsidRDefault="00167916" w:rsidP="001D6DBE">
            <w:pPr>
              <w:keepNext/>
              <w:keepLines/>
              <w:bidi/>
              <w:spacing w:line="320" w:lineRule="exact"/>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توصيات مسجلة باعتبارها منفذة أثناء الفترة</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67916" w:rsidRPr="005D619C" w:rsidRDefault="00167916" w:rsidP="001D6DBE">
            <w:pPr>
              <w:keepNext/>
              <w:keepLines/>
              <w:bidi/>
              <w:spacing w:line="320" w:lineRule="exact"/>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توصيات قيد التنفيذ</w:t>
            </w:r>
          </w:p>
        </w:tc>
      </w:tr>
      <w:tr w:rsidR="00167916" w:rsidRPr="005D619C" w:rsidTr="001D6DBE">
        <w:trPr>
          <w:cantSplit/>
          <w:trHeight w:val="152"/>
          <w:jc w:val="center"/>
        </w:trPr>
        <w:tc>
          <w:tcPr>
            <w:tcW w:w="22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1D6DBE">
            <w:pPr>
              <w:keepNext/>
              <w:keepLines/>
              <w:bidi/>
              <w:spacing w:line="320" w:lineRule="exact"/>
              <w:jc w:val="center"/>
              <w:rPr>
                <w:rFonts w:ascii="Arabic Typesetting" w:hAnsi="Arabic Typesetting" w:cs="Arabic Typesetting"/>
                <w:sz w:val="36"/>
                <w:szCs w:val="36"/>
                <w:rtl/>
                <w:lang w:bidi="ar-EG"/>
              </w:rPr>
            </w:pPr>
            <w:r w:rsidRPr="005D619C">
              <w:rPr>
                <w:rFonts w:ascii="Arabic Typesetting" w:hAnsi="Arabic Typesetting" w:cs="Arabic Typesetting"/>
                <w:sz w:val="36"/>
                <w:szCs w:val="36"/>
                <w:rtl/>
                <w:lang w:bidi="ar-EG"/>
              </w:rPr>
              <w:t>مراجع الحسابات الخارجي</w:t>
            </w: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12</w:t>
            </w:r>
          </w:p>
        </w:tc>
        <w:tc>
          <w:tcPr>
            <w:tcW w:w="152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8</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4</w:t>
            </w:r>
          </w:p>
        </w:tc>
      </w:tr>
      <w:tr w:rsidR="00167916" w:rsidRPr="005D619C" w:rsidTr="001D6DBE">
        <w:trPr>
          <w:cantSplit/>
          <w:trHeight w:val="152"/>
          <w:jc w:val="center"/>
        </w:trPr>
        <w:tc>
          <w:tcPr>
            <w:tcW w:w="22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1D6DBE">
            <w:pPr>
              <w:keepNext/>
              <w:keepLines/>
              <w:bidi/>
              <w:spacing w:line="320" w:lineRule="exact"/>
              <w:jc w:val="center"/>
              <w:rPr>
                <w:rFonts w:ascii="Arabic Typesetting" w:hAnsi="Arabic Typesetting" w:cs="Arabic Typesetting"/>
                <w:sz w:val="36"/>
                <w:szCs w:val="36"/>
                <w:rtl/>
                <w:lang w:bidi="ar-EG"/>
              </w:rPr>
            </w:pPr>
            <w:r w:rsidRPr="005D619C">
              <w:rPr>
                <w:rFonts w:ascii="Arabic Typesetting" w:hAnsi="Arabic Typesetting" w:cs="Arabic Typesetting"/>
                <w:sz w:val="36"/>
                <w:szCs w:val="36"/>
                <w:rtl/>
                <w:lang w:bidi="ar-EG"/>
              </w:rPr>
              <w:t>وحدة التفتيش المشتركة</w:t>
            </w: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1</w:t>
            </w:r>
          </w:p>
        </w:tc>
        <w:tc>
          <w:tcPr>
            <w:tcW w:w="152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1</w:t>
            </w:r>
          </w:p>
        </w:tc>
      </w:tr>
      <w:tr w:rsidR="00167916" w:rsidRPr="005D619C" w:rsidTr="001D6DBE">
        <w:trPr>
          <w:cantSplit/>
          <w:trHeight w:val="152"/>
          <w:jc w:val="center"/>
        </w:trPr>
        <w:tc>
          <w:tcPr>
            <w:tcW w:w="22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1D6DBE">
            <w:pPr>
              <w:keepNext/>
              <w:keepLines/>
              <w:bidi/>
              <w:spacing w:line="320" w:lineRule="exact"/>
              <w:jc w:val="center"/>
              <w:rPr>
                <w:rFonts w:ascii="Arabic Typesetting" w:hAnsi="Arabic Typesetting" w:cs="Arabic Typesetting"/>
                <w:sz w:val="36"/>
                <w:szCs w:val="36"/>
                <w:rtl/>
                <w:lang w:bidi="ar-EG"/>
              </w:rPr>
            </w:pPr>
            <w:r w:rsidRPr="005D619C">
              <w:rPr>
                <w:rFonts w:ascii="Arabic Typesetting" w:hAnsi="Arabic Typesetting" w:cs="Arabic Typesetting"/>
                <w:sz w:val="36"/>
                <w:szCs w:val="36"/>
                <w:rtl/>
                <w:lang w:bidi="ar-EG"/>
              </w:rPr>
              <w:t xml:space="preserve">شعبة التدقيق الداخلي والرقابة الإدارية </w:t>
            </w: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118</w:t>
            </w:r>
          </w:p>
        </w:tc>
        <w:tc>
          <w:tcPr>
            <w:tcW w:w="152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77</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lang w:bidi="ar-EG"/>
              </w:rPr>
            </w:pPr>
            <w:r w:rsidRPr="005D619C">
              <w:rPr>
                <w:rFonts w:ascii="Arabic Typesetting" w:hAnsi="Arabic Typesetting" w:cs="Arabic Typesetting"/>
                <w:sz w:val="36"/>
                <w:szCs w:val="36"/>
              </w:rPr>
              <w:t>86</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118</w:t>
            </w:r>
          </w:p>
        </w:tc>
      </w:tr>
      <w:tr w:rsidR="00167916" w:rsidRPr="005D619C" w:rsidTr="001D6DBE">
        <w:trPr>
          <w:cantSplit/>
          <w:trHeight w:val="152"/>
          <w:jc w:val="center"/>
        </w:trPr>
        <w:tc>
          <w:tcPr>
            <w:tcW w:w="22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1D6DBE">
            <w:pPr>
              <w:keepNext/>
              <w:keepLines/>
              <w:bidi/>
              <w:spacing w:line="320" w:lineRule="exact"/>
              <w:jc w:val="center"/>
              <w:rPr>
                <w:rFonts w:ascii="Arabic Typesetting" w:hAnsi="Arabic Typesetting" w:cs="Arabic Typesetting"/>
                <w:sz w:val="36"/>
                <w:szCs w:val="36"/>
                <w:rtl/>
                <w:lang w:bidi="ar-EG"/>
              </w:rPr>
            </w:pPr>
            <w:r w:rsidRPr="005D619C">
              <w:rPr>
                <w:rFonts w:ascii="Arabic Typesetting" w:hAnsi="Arabic Typesetting" w:cs="Arabic Typesetting"/>
                <w:sz w:val="36"/>
                <w:szCs w:val="36"/>
                <w:rtl/>
                <w:lang w:bidi="ar-EG"/>
              </w:rPr>
              <w:t>اللجنة الاستشارية المستقلة للرقابة</w:t>
            </w:r>
          </w:p>
        </w:tc>
        <w:tc>
          <w:tcPr>
            <w:tcW w:w="176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9</w:t>
            </w:r>
          </w:p>
        </w:tc>
        <w:tc>
          <w:tcPr>
            <w:tcW w:w="152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6</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sz w:val="36"/>
                <w:szCs w:val="36"/>
              </w:rPr>
            </w:pPr>
            <w:r w:rsidRPr="005D619C">
              <w:rPr>
                <w:rFonts w:ascii="Arabic Typesetting" w:hAnsi="Arabic Typesetting" w:cs="Arabic Typesetting"/>
                <w:sz w:val="36"/>
                <w:szCs w:val="36"/>
              </w:rPr>
              <w:t>3</w:t>
            </w:r>
          </w:p>
        </w:tc>
      </w:tr>
      <w:tr w:rsidR="00167916" w:rsidRPr="005D619C" w:rsidTr="001D6DBE">
        <w:trPr>
          <w:cantSplit/>
          <w:trHeight w:val="152"/>
          <w:jc w:val="center"/>
        </w:trPr>
        <w:tc>
          <w:tcPr>
            <w:tcW w:w="2270"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167916" w:rsidRPr="005D619C" w:rsidRDefault="00167916" w:rsidP="001D6DBE">
            <w:pPr>
              <w:keepNext/>
              <w:keepLines/>
              <w:bidi/>
              <w:spacing w:line="320" w:lineRule="exact"/>
              <w:ind w:firstLine="482"/>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المجموع</w:t>
            </w:r>
          </w:p>
        </w:tc>
        <w:tc>
          <w:tcPr>
            <w:tcW w:w="176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b/>
                <w:sz w:val="36"/>
                <w:szCs w:val="36"/>
              </w:rPr>
            </w:pPr>
            <w:r w:rsidRPr="005D619C">
              <w:rPr>
                <w:rFonts w:ascii="Arabic Typesetting" w:hAnsi="Arabic Typesetting" w:cs="Arabic Typesetting"/>
                <w:b/>
                <w:sz w:val="36"/>
                <w:szCs w:val="36"/>
              </w:rPr>
              <w:t>140</w:t>
            </w:r>
          </w:p>
        </w:tc>
        <w:tc>
          <w:tcPr>
            <w:tcW w:w="152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b/>
                <w:sz w:val="36"/>
                <w:szCs w:val="36"/>
              </w:rPr>
            </w:pPr>
            <w:r w:rsidRPr="005D619C">
              <w:rPr>
                <w:rFonts w:ascii="Arabic Typesetting" w:hAnsi="Arabic Typesetting" w:cs="Arabic Typesetting"/>
                <w:b/>
                <w:sz w:val="36"/>
                <w:szCs w:val="36"/>
              </w:rPr>
              <w:t>77</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b/>
                <w:sz w:val="36"/>
                <w:szCs w:val="36"/>
              </w:rPr>
            </w:pPr>
            <w:r w:rsidRPr="005D619C">
              <w:rPr>
                <w:rFonts w:ascii="Arabic Typesetting" w:hAnsi="Arabic Typesetting" w:cs="Arabic Typesetting"/>
                <w:b/>
                <w:sz w:val="36"/>
                <w:szCs w:val="36"/>
              </w:rPr>
              <w:t>123</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167916" w:rsidRPr="005D619C" w:rsidRDefault="00167916" w:rsidP="00BD1BF5">
            <w:pPr>
              <w:keepNext/>
              <w:keepLines/>
              <w:bidi/>
              <w:spacing w:line="320" w:lineRule="exact"/>
              <w:jc w:val="center"/>
              <w:rPr>
                <w:rFonts w:ascii="Arabic Typesetting" w:hAnsi="Arabic Typesetting" w:cs="Arabic Typesetting"/>
                <w:b/>
                <w:sz w:val="36"/>
                <w:szCs w:val="36"/>
              </w:rPr>
            </w:pPr>
            <w:r w:rsidRPr="005D619C">
              <w:rPr>
                <w:rFonts w:ascii="Arabic Typesetting" w:hAnsi="Arabic Typesetting" w:cs="Arabic Typesetting"/>
                <w:b/>
                <w:sz w:val="36"/>
                <w:szCs w:val="36"/>
              </w:rPr>
              <w:t>94</w:t>
            </w:r>
          </w:p>
        </w:tc>
      </w:tr>
    </w:tbl>
    <w:p w:rsidR="00167916" w:rsidRPr="005D619C" w:rsidRDefault="00167916" w:rsidP="001D6DBE">
      <w:pPr>
        <w:pStyle w:val="NumberedParaAR"/>
        <w:spacing w:before="240"/>
      </w:pPr>
      <w:r w:rsidRPr="005D619C">
        <w:rPr>
          <w:rtl/>
          <w:lang w:bidi="ar-EG"/>
        </w:rPr>
        <w:t>وفي تاريخ هذا التقرير، توجد الآن 94 توصية مسجلة باعتبارها مفتوحة من مديري المشروعات منها 67 توصية تتعلق بالمسائل ذات المخاطر العالية جدا (4) والمسائل ذات المخاطر العالية (63).</w:t>
      </w:r>
      <w:r>
        <w:rPr>
          <w:rtl/>
        </w:rPr>
        <w:t xml:space="preserve"> </w:t>
      </w:r>
      <w:r w:rsidRPr="005D619C">
        <w:rPr>
          <w:rtl/>
          <w:lang w:bidi="ar-EG"/>
        </w:rPr>
        <w:t xml:space="preserve">وتتصل التوصيات الأربع ذات المخاطر العالية جدا أساسا بمسائل تكنولوجيا المعلومات المحددة في </w:t>
      </w:r>
      <w:proofErr w:type="spellStart"/>
      <w:r w:rsidRPr="005D619C">
        <w:rPr>
          <w:rtl/>
          <w:lang w:bidi="ar-EG"/>
        </w:rPr>
        <w:t>تدقيقات</w:t>
      </w:r>
      <w:proofErr w:type="spellEnd"/>
      <w:r w:rsidRPr="005D619C">
        <w:rPr>
          <w:rtl/>
          <w:lang w:bidi="ar-EG"/>
        </w:rPr>
        <w:t xml:space="preserve"> نظام أوقات العمل المرنة وآليات مراقبة دخول الموظفين إلى مباني الويبو (2011) والتحقق من توصيات التدقيق الخاصة بشعبة التدقيق الداخلي والرقابة الإدارية والمتصلة بتكنولوجيا وأمن المعلومات (2011).</w:t>
      </w:r>
      <w:r>
        <w:rPr>
          <w:rtl/>
        </w:rPr>
        <w:t xml:space="preserve"> </w:t>
      </w:r>
      <w:r w:rsidRPr="005D619C">
        <w:rPr>
          <w:rtl/>
          <w:lang w:bidi="ar-EG"/>
        </w:rPr>
        <w:t>وهناك تسع عشرة توصية (20</w:t>
      </w:r>
      <w:r w:rsidR="001D6DBE">
        <w:rPr>
          <w:rFonts w:hint="cs"/>
          <w:rtl/>
          <w:lang w:bidi="ar-EG"/>
        </w:rPr>
        <w:t xml:space="preserve"> بالمائة)</w:t>
      </w:r>
      <w:r w:rsidRPr="005D619C">
        <w:rPr>
          <w:rtl/>
          <w:lang w:bidi="ar-EG"/>
        </w:rPr>
        <w:t xml:space="preserve"> من التوصيات عالية المخاطر مفتوحة منذ أكثر من سنتين.</w:t>
      </w:r>
    </w:p>
    <w:p w:rsidR="00167916" w:rsidRPr="005D619C" w:rsidRDefault="00167916" w:rsidP="00483DAA">
      <w:pPr>
        <w:pStyle w:val="NumberedParaAR"/>
      </w:pPr>
      <w:r w:rsidRPr="005D619C">
        <w:rPr>
          <w:rtl/>
          <w:lang w:bidi="ar-EG"/>
        </w:rPr>
        <w:t>ومنذ صدور التقرير السنوي الموجز لسنة 2012</w:t>
      </w:r>
      <w:r w:rsidRPr="001D6DBE">
        <w:rPr>
          <w:rStyle w:val="FootnoteReference"/>
          <w:rFonts w:cs="Arabic Typesetting"/>
          <w:rtl/>
          <w:lang w:bidi="ar-EG"/>
        </w:rPr>
        <w:footnoteReference w:id="11"/>
      </w:r>
      <w:r w:rsidRPr="005D619C">
        <w:rPr>
          <w:rtl/>
          <w:lang w:bidi="ar-EG"/>
        </w:rPr>
        <w:t>، استعانت الشعبة ببرنامج حاسوبي جديد للرقابة</w:t>
      </w:r>
      <w:r>
        <w:rPr>
          <w:rtl/>
          <w:lang w:bidi="ar-EG"/>
        </w:rPr>
        <w:t xml:space="preserve"> </w:t>
      </w:r>
      <w:r w:rsidR="001D6DBE">
        <w:rPr>
          <w:rtl/>
          <w:lang w:bidi="ar-EG"/>
        </w:rPr>
        <w:t>©</w:t>
      </w:r>
      <w:proofErr w:type="spellStart"/>
      <w:r w:rsidR="00483DAA">
        <w:rPr>
          <w:lang w:bidi="ar-EG"/>
        </w:rPr>
        <w:t>TeamMate</w:t>
      </w:r>
      <w:proofErr w:type="spellEnd"/>
      <w:r>
        <w:rPr>
          <w:rtl/>
          <w:lang w:bidi="ar-EG"/>
        </w:rPr>
        <w:t xml:space="preserve"> </w:t>
      </w:r>
      <w:r w:rsidRPr="005D619C">
        <w:rPr>
          <w:rtl/>
          <w:lang w:bidi="ar-EG"/>
        </w:rPr>
        <w:t>ونظام إلكتروني جديد لإدارة التوصيات</w:t>
      </w:r>
      <w:r>
        <w:rPr>
          <w:lang w:bidi="ar-EG"/>
        </w:rPr>
        <w:t xml:space="preserve"> </w:t>
      </w:r>
      <w:proofErr w:type="spellStart"/>
      <w:r w:rsidRPr="005D619C">
        <w:rPr>
          <w:lang w:bidi="ar-EG"/>
        </w:rPr>
        <w:t>TeamCentral</w:t>
      </w:r>
      <w:proofErr w:type="spellEnd"/>
      <w:r>
        <w:rPr>
          <w:lang w:bidi="ar-EG"/>
        </w:rPr>
        <w:t>©</w:t>
      </w:r>
      <w:r w:rsidRPr="005D619C">
        <w:t xml:space="preserve"> </w:t>
      </w:r>
      <w:r w:rsidRPr="005D619C">
        <w:rPr>
          <w:rtl/>
          <w:lang w:bidi="ar-EG"/>
        </w:rPr>
        <w:t>وقد كان النظام محل ترحيب وكانت النتيجة الأولية إيجابية.</w:t>
      </w:r>
      <w:r>
        <w:rPr>
          <w:rtl/>
        </w:rPr>
        <w:t xml:space="preserve"> </w:t>
      </w:r>
      <w:r w:rsidRPr="005D619C">
        <w:rPr>
          <w:rtl/>
          <w:lang w:bidi="ar-EG"/>
        </w:rPr>
        <w:t>ويسمح البرنامج الحاسوبي بإجراء حوار مستمر بين الشعبة والبرامج حول تنفيذ التوصيات.</w:t>
      </w:r>
    </w:p>
    <w:p w:rsidR="00167916" w:rsidRPr="005D619C" w:rsidRDefault="00167916" w:rsidP="0018104B">
      <w:pPr>
        <w:pStyle w:val="Caption"/>
        <w:keepNext/>
        <w:keepLines/>
        <w:bidi/>
        <w:spacing w:after="120"/>
        <w:jc w:val="center"/>
        <w:rPr>
          <w:rFonts w:ascii="Arabic Typesetting" w:hAnsi="Arabic Typesetting" w:cs="Arabic Typesetting"/>
          <w:b w:val="0"/>
          <w:bCs w:val="0"/>
          <w:sz w:val="36"/>
          <w:szCs w:val="36"/>
          <w:rtl/>
          <w:lang w:bidi="ar-EG"/>
        </w:rPr>
      </w:pPr>
      <w:r w:rsidRPr="005D619C">
        <w:rPr>
          <w:rFonts w:ascii="Arabic Typesetting" w:hAnsi="Arabic Typesetting" w:cs="Arabic Typesetting"/>
          <w:b w:val="0"/>
          <w:bCs w:val="0"/>
          <w:sz w:val="36"/>
          <w:szCs w:val="36"/>
          <w:rtl/>
          <w:lang w:bidi="ar-EG"/>
        </w:rPr>
        <w:t>الشكل 1 – أعمار توصيات الرقابة –</w:t>
      </w:r>
      <w:r>
        <w:rPr>
          <w:rFonts w:ascii="Arabic Typesetting" w:hAnsi="Arabic Typesetting" w:cs="Arabic Typesetting"/>
          <w:b w:val="0"/>
          <w:bCs w:val="0"/>
          <w:sz w:val="36"/>
          <w:szCs w:val="36"/>
          <w:rtl/>
          <w:lang w:bidi="ar-EG"/>
        </w:rPr>
        <w:t xml:space="preserve"> </w:t>
      </w:r>
      <w:r w:rsidRPr="005D619C">
        <w:rPr>
          <w:rFonts w:ascii="Arabic Typesetting" w:hAnsi="Arabic Typesetting" w:cs="Arabic Typesetting"/>
          <w:b w:val="0"/>
          <w:bCs w:val="0"/>
          <w:sz w:val="36"/>
          <w:szCs w:val="36"/>
          <w:rtl/>
          <w:lang w:bidi="ar-EG"/>
        </w:rPr>
        <w:t>30 يونيو 2013</w:t>
      </w:r>
    </w:p>
    <w:p w:rsidR="00167916" w:rsidRPr="005D619C" w:rsidRDefault="00695ED8" w:rsidP="0018104B">
      <w:pPr>
        <w:bidi/>
        <w:jc w:val="center"/>
        <w:rPr>
          <w:rFonts w:ascii="Arabic Typesetting" w:hAnsi="Arabic Typesetting" w:cs="Arabic Typesetting"/>
          <w:sz w:val="36"/>
          <w:szCs w:val="36"/>
        </w:rPr>
      </w:pPr>
      <w:r>
        <w:rPr>
          <w:noProof/>
        </w:rPr>
        <w:drawing>
          <wp:inline distT="0" distB="0" distL="0" distR="0">
            <wp:extent cx="4166235" cy="2726690"/>
            <wp:effectExtent l="0" t="0" r="24765" b="1651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7916" w:rsidRPr="005D619C" w:rsidRDefault="00167916" w:rsidP="00580FEB">
      <w:pPr>
        <w:pStyle w:val="NumberedParaAR"/>
        <w:spacing w:before="240"/>
      </w:pPr>
      <w:r w:rsidRPr="005D619C">
        <w:rPr>
          <w:rtl/>
          <w:lang w:bidi="ar-EG"/>
        </w:rPr>
        <w:lastRenderedPageBreak/>
        <w:t>من بين التوصيات السبع والستين ذات المخاطر العالية والعالية جدا، 15 توصية متصلة بإدارة البرامج و13 متصلة بالموارد البشرية و12 متصلة بتكنولوجيا المعلومات و10 متصلة بالإدارة المالية و4 متصلة بالمشتريات و3 متصلة بعمليات المراقبة الداخلية وإدارة الأداء والأمن بالترتيب، و2 متصلتان بإدارة المعلومات وواحدة متصلة بكل من الأخلاقيات وإدارة</w:t>
      </w:r>
      <w:r w:rsidR="00580FEB">
        <w:rPr>
          <w:rFonts w:hint="cs"/>
          <w:rtl/>
          <w:lang w:bidi="ar-EG"/>
        </w:rPr>
        <w:t> </w:t>
      </w:r>
      <w:r w:rsidRPr="005D619C">
        <w:rPr>
          <w:rtl/>
          <w:lang w:bidi="ar-EG"/>
        </w:rPr>
        <w:t>الخزانة.</w:t>
      </w:r>
      <w:r w:rsidRPr="005D619C">
        <w:t xml:space="preserve"> </w:t>
      </w:r>
    </w:p>
    <w:p w:rsidR="00167916" w:rsidRPr="005D619C" w:rsidRDefault="00167916" w:rsidP="00580FEB">
      <w:pPr>
        <w:pStyle w:val="Caption"/>
        <w:bidi/>
        <w:spacing w:after="120"/>
        <w:jc w:val="center"/>
        <w:rPr>
          <w:rFonts w:ascii="Arabic Typesetting" w:hAnsi="Arabic Typesetting" w:cs="Arabic Typesetting"/>
          <w:b w:val="0"/>
          <w:bCs w:val="0"/>
          <w:sz w:val="36"/>
          <w:szCs w:val="36"/>
          <w:rtl/>
          <w:lang w:bidi="ar-EG"/>
        </w:rPr>
      </w:pPr>
      <w:r w:rsidRPr="005D619C">
        <w:rPr>
          <w:rFonts w:ascii="Arabic Typesetting" w:hAnsi="Arabic Typesetting" w:cs="Arabic Typesetting"/>
          <w:b w:val="0"/>
          <w:bCs w:val="0"/>
          <w:sz w:val="36"/>
          <w:szCs w:val="36"/>
          <w:rtl/>
          <w:lang w:bidi="ar-EG"/>
        </w:rPr>
        <w:t>الشكل 2 – التوصيات الجارية حسب الفئة</w:t>
      </w:r>
    </w:p>
    <w:p w:rsidR="00167916" w:rsidRPr="005D619C" w:rsidRDefault="00695ED8" w:rsidP="00580FEB">
      <w:pPr>
        <w:bidi/>
        <w:jc w:val="center"/>
        <w:rPr>
          <w:rFonts w:ascii="Arabic Typesetting" w:hAnsi="Arabic Typesetting" w:cs="Arabic Typesetting"/>
          <w:sz w:val="36"/>
          <w:szCs w:val="36"/>
        </w:rPr>
      </w:pPr>
      <w:r>
        <w:rPr>
          <w:noProof/>
        </w:rPr>
        <w:drawing>
          <wp:inline distT="0" distB="0" distL="0" distR="0">
            <wp:extent cx="4200525" cy="2459990"/>
            <wp:effectExtent l="0" t="0" r="9525" b="16510"/>
            <wp:docPr id="4"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7916" w:rsidRPr="005D619C" w:rsidRDefault="00167916" w:rsidP="00580FEB">
      <w:pPr>
        <w:pStyle w:val="NumberedParaAR"/>
      </w:pPr>
      <w:r w:rsidRPr="005D619C">
        <w:rPr>
          <w:rtl/>
          <w:lang w:bidi="ar-EG"/>
        </w:rPr>
        <w:t>واستمر التنفيذ التدريجي لتوصيات مراجع الحسابات الخارجي أثناء الفترة، ولم يبق معلقا غير 4 توصيات.</w:t>
      </w:r>
      <w:r>
        <w:rPr>
          <w:rtl/>
        </w:rPr>
        <w:t xml:space="preserve"> </w:t>
      </w:r>
      <w:r w:rsidRPr="005D619C">
        <w:rPr>
          <w:rtl/>
          <w:lang w:bidi="ar-EG"/>
        </w:rPr>
        <w:t>وطبقا لميثاق الرقابة الداخلية، قدمت الشعبة تقريرا للمدير العام حول تنفيذ التوصيات التي أصدرها مراجع الحسابات الخارجي، وقدمت نسخة منه لكل من مراجع الحسابات الخارجي واللجنة الاستشارية المستقلة للرقابة.</w:t>
      </w:r>
    </w:p>
    <w:p w:rsidR="00167916" w:rsidRPr="005D619C" w:rsidRDefault="00167916" w:rsidP="00580FEB">
      <w:pPr>
        <w:pStyle w:val="NumberedParaAR"/>
      </w:pPr>
      <w:r w:rsidRPr="005D619C">
        <w:rPr>
          <w:rtl/>
          <w:lang w:bidi="ar-EG"/>
        </w:rPr>
        <w:t>ووفقا لميثاق الرقابة الداخلية، يجب أن يقدم هذا التقرير السنوي الموجز "وصفا لكل التوصيات التي لم يوافق عليها المدير العام، مع إبداء الأسباب التي دفعته لذلك".</w:t>
      </w:r>
      <w:r>
        <w:rPr>
          <w:rtl/>
        </w:rPr>
        <w:t xml:space="preserve"> </w:t>
      </w:r>
      <w:r w:rsidRPr="005D619C">
        <w:rPr>
          <w:rtl/>
          <w:lang w:bidi="ar-EG"/>
        </w:rPr>
        <w:t>ويعرض المرفق الثالث توصية واحدة أقفلت أثناء فترة التقرير دون تنفيذ مع أسباب عدم تنفيذها.</w:t>
      </w:r>
    </w:p>
    <w:p w:rsidR="00167916" w:rsidRPr="005D619C" w:rsidRDefault="00167916" w:rsidP="00580FEB">
      <w:pPr>
        <w:pStyle w:val="Heading1"/>
        <w:numPr>
          <w:ilvl w:val="0"/>
          <w:numId w:val="28"/>
        </w:numPr>
        <w:bidi/>
        <w:spacing w:after="360"/>
        <w:rPr>
          <w:rFonts w:ascii="Arabic Typesetting" w:hAnsi="Arabic Typesetting" w:cs="Arabic Typesetting"/>
          <w:sz w:val="40"/>
          <w:szCs w:val="40"/>
          <w:lang w:bidi="ar-EG"/>
        </w:rPr>
      </w:pPr>
      <w:bookmarkStart w:id="17" w:name="_Toc361774218"/>
      <w:r w:rsidRPr="005D619C">
        <w:rPr>
          <w:rFonts w:ascii="Arabic Typesetting" w:hAnsi="Arabic Typesetting" w:cs="Arabic Typesetting"/>
          <w:sz w:val="40"/>
          <w:szCs w:val="40"/>
          <w:rtl/>
          <w:lang w:bidi="ar-EG"/>
        </w:rPr>
        <w:t>أعمال رقابية أخرى</w:t>
      </w:r>
      <w:bookmarkEnd w:id="17"/>
    </w:p>
    <w:p w:rsidR="00167916" w:rsidRPr="000746A5" w:rsidRDefault="00580FEB" w:rsidP="000746A5">
      <w:pPr>
        <w:pStyle w:val="Heading2"/>
        <w:keepLines/>
        <w:bidi/>
        <w:spacing w:after="240"/>
        <w:ind w:left="567"/>
        <w:rPr>
          <w:rFonts w:ascii="Arabic Typesetting" w:hAnsi="Arabic Typesetting" w:cs="Arabic Typesetting"/>
          <w:b/>
          <w:bCs w:val="0"/>
          <w:i/>
          <w:iCs w:val="0"/>
          <w:sz w:val="40"/>
          <w:szCs w:val="40"/>
          <w:lang w:bidi="ar-EG"/>
        </w:rPr>
      </w:pPr>
      <w:bookmarkStart w:id="18" w:name="_Toc361774219"/>
      <w:r>
        <w:rPr>
          <w:rFonts w:ascii="Arabic Typesetting" w:hAnsi="Arabic Typesetting" w:cs="Arabic Typesetting"/>
          <w:b/>
          <w:bCs w:val="0"/>
          <w:i/>
          <w:iCs w:val="0"/>
          <w:sz w:val="40"/>
          <w:szCs w:val="40"/>
          <w:rtl/>
          <w:lang w:bidi="ar-EG"/>
        </w:rPr>
        <w:t>ألف.</w:t>
      </w:r>
      <w:r>
        <w:rPr>
          <w:rFonts w:ascii="Arabic Typesetting" w:hAnsi="Arabic Typesetting" w:cs="Arabic Typesetting" w:hint="cs"/>
          <w:b/>
          <w:bCs w:val="0"/>
          <w:i/>
          <w:iCs w:val="0"/>
          <w:sz w:val="40"/>
          <w:szCs w:val="40"/>
          <w:rtl/>
          <w:lang w:bidi="ar-EG"/>
        </w:rPr>
        <w:tab/>
      </w:r>
      <w:r w:rsidR="00167916" w:rsidRPr="000746A5">
        <w:rPr>
          <w:rFonts w:ascii="Arabic Typesetting" w:hAnsi="Arabic Typesetting" w:cs="Arabic Typesetting"/>
          <w:b/>
          <w:bCs w:val="0"/>
          <w:i/>
          <w:iCs w:val="0"/>
          <w:sz w:val="40"/>
          <w:szCs w:val="40"/>
          <w:rtl/>
          <w:lang w:bidi="ar-EG"/>
        </w:rPr>
        <w:t>أعمال المشورة والاستشارة</w:t>
      </w:r>
      <w:bookmarkEnd w:id="18"/>
    </w:p>
    <w:p w:rsidR="00167916" w:rsidRPr="005D619C" w:rsidRDefault="00167916" w:rsidP="00580FEB">
      <w:pPr>
        <w:pStyle w:val="NumberedParaAR"/>
      </w:pPr>
      <w:r w:rsidRPr="005D619C">
        <w:rPr>
          <w:rtl/>
          <w:lang w:bidi="ar-EG"/>
        </w:rPr>
        <w:t>بالإضافة إلى عملها الرقابي المعتاد ووفقا لميثاق الرقابة الداخلية، تقدم شعبة التدقيق الداخلي والرقابة الإدارية المشورة بطريقتين.</w:t>
      </w:r>
      <w:r>
        <w:rPr>
          <w:rtl/>
        </w:rPr>
        <w:t xml:space="preserve"> </w:t>
      </w:r>
      <w:r w:rsidRPr="005D619C">
        <w:rPr>
          <w:rtl/>
          <w:lang w:bidi="ar-EG"/>
        </w:rPr>
        <w:t>الأولى هي المشاركة كمراقب في اللجان المختلفة (لجنة الويبو بشأن الاستثمار ولجنة عقد قاعة المؤتمرات الخاص).</w:t>
      </w:r>
      <w:r>
        <w:rPr>
          <w:rtl/>
          <w:lang w:bidi="ar-EG"/>
        </w:rPr>
        <w:t xml:space="preserve"> </w:t>
      </w:r>
      <w:r w:rsidRPr="005D619C">
        <w:rPr>
          <w:rtl/>
          <w:lang w:bidi="ar-EG"/>
        </w:rPr>
        <w:t>والثانية هي تقديم المشورة عند طلبها بشأن الإطار التنظيمي أو وثائق السياسات على النحو الوارد في المرفق الرابع.</w:t>
      </w:r>
    </w:p>
    <w:p w:rsidR="00167916" w:rsidRPr="005D619C" w:rsidRDefault="00580FEB" w:rsidP="000746A5">
      <w:pPr>
        <w:pStyle w:val="Heading2"/>
        <w:keepLines/>
        <w:bidi/>
        <w:spacing w:after="240"/>
        <w:ind w:left="567"/>
        <w:rPr>
          <w:rFonts w:ascii="Arabic Typesetting" w:hAnsi="Arabic Typesetting" w:cs="Arabic Typesetting"/>
          <w:sz w:val="36"/>
          <w:szCs w:val="36"/>
        </w:rPr>
      </w:pPr>
      <w:bookmarkStart w:id="19" w:name="_Toc361774220"/>
      <w:r>
        <w:rPr>
          <w:rFonts w:ascii="Arabic Typesetting" w:hAnsi="Arabic Typesetting" w:cs="Arabic Typesetting"/>
          <w:b/>
          <w:bCs w:val="0"/>
          <w:i/>
          <w:iCs w:val="0"/>
          <w:sz w:val="40"/>
          <w:szCs w:val="40"/>
          <w:rtl/>
          <w:lang w:bidi="ar-EG"/>
        </w:rPr>
        <w:t>باء.</w:t>
      </w:r>
      <w:r>
        <w:rPr>
          <w:rFonts w:ascii="Arabic Typesetting" w:hAnsi="Arabic Typesetting" w:cs="Arabic Typesetting" w:hint="cs"/>
          <w:b/>
          <w:bCs w:val="0"/>
          <w:i/>
          <w:iCs w:val="0"/>
          <w:sz w:val="40"/>
          <w:szCs w:val="40"/>
          <w:rtl/>
          <w:lang w:bidi="ar-EG"/>
        </w:rPr>
        <w:tab/>
      </w:r>
      <w:r w:rsidR="00167916" w:rsidRPr="000746A5">
        <w:rPr>
          <w:rFonts w:ascii="Arabic Typesetting" w:hAnsi="Arabic Typesetting" w:cs="Arabic Typesetting"/>
          <w:b/>
          <w:bCs w:val="0"/>
          <w:i/>
          <w:iCs w:val="0"/>
          <w:sz w:val="40"/>
          <w:szCs w:val="40"/>
          <w:rtl/>
          <w:lang w:bidi="ar-EG"/>
        </w:rPr>
        <w:t>اللجنة الاستشارية المستقلة للرقابة</w:t>
      </w:r>
      <w:bookmarkEnd w:id="19"/>
      <w:r w:rsidR="00167916" w:rsidRPr="005D619C">
        <w:rPr>
          <w:rFonts w:ascii="Arabic Typesetting" w:hAnsi="Arabic Typesetting" w:cs="Arabic Typesetting"/>
          <w:sz w:val="36"/>
          <w:szCs w:val="36"/>
        </w:rPr>
        <w:t xml:space="preserve"> </w:t>
      </w:r>
    </w:p>
    <w:p w:rsidR="00167916" w:rsidRPr="005D619C" w:rsidRDefault="00167916" w:rsidP="00580FEB">
      <w:pPr>
        <w:pStyle w:val="NumberedParaAR"/>
      </w:pPr>
      <w:r w:rsidRPr="005D619C">
        <w:rPr>
          <w:rtl/>
          <w:lang w:bidi="ar-EG"/>
        </w:rPr>
        <w:t>كانت شعبة التدقيق الداخلي والرقابة الإدارية تتلقى الدعوة بانتظام من اللجنة الاستشارية المستقلة للرقابة</w:t>
      </w:r>
      <w:r>
        <w:rPr>
          <w:rtl/>
          <w:lang w:bidi="ar-EG"/>
        </w:rPr>
        <w:t xml:space="preserve"> </w:t>
      </w:r>
      <w:r w:rsidRPr="005D619C">
        <w:rPr>
          <w:rtl/>
          <w:lang w:bidi="ar-EG"/>
        </w:rPr>
        <w:t>لحضور اجتماعاتها الفصلية من أجل الإجابة على الأسئلة التفصيلية المتعلقة بعمل وأداء الشعبة.</w:t>
      </w:r>
      <w:r>
        <w:rPr>
          <w:rtl/>
        </w:rPr>
        <w:t xml:space="preserve"> </w:t>
      </w:r>
      <w:r w:rsidRPr="005D619C">
        <w:rPr>
          <w:rtl/>
          <w:lang w:bidi="ar-EG"/>
        </w:rPr>
        <w:t>وقد عقدت الاجتماعات من السادس والعشرين إلى التاسع والعشرين للجنة الاستشارية المستقلة للرقابة أثناء الفترة التي يغطيها هذا التقرير.</w:t>
      </w:r>
    </w:p>
    <w:p w:rsidR="00167916" w:rsidRPr="005D619C" w:rsidRDefault="00167916" w:rsidP="00580FEB">
      <w:pPr>
        <w:pStyle w:val="NumberedParaAR"/>
      </w:pPr>
      <w:r w:rsidRPr="005D619C">
        <w:rPr>
          <w:rtl/>
          <w:lang w:bidi="ar-EG"/>
        </w:rPr>
        <w:lastRenderedPageBreak/>
        <w:t>وقد أفادت شعبة التدقيق الداخلي والرقابة الإدارية من مشورة اللجنة الاستشارية المستقلة للرقابة وإرشاداتها كما ورد في تقارير الأخيرة</w:t>
      </w:r>
      <w:r w:rsidRPr="00580FEB">
        <w:rPr>
          <w:rStyle w:val="FootnoteReference"/>
          <w:rFonts w:cs="Arabic Typesetting"/>
          <w:rtl/>
          <w:lang w:bidi="ar-EG"/>
        </w:rPr>
        <w:footnoteReference w:id="12"/>
      </w:r>
      <w:r w:rsidRPr="005D619C">
        <w:rPr>
          <w:rtl/>
          <w:lang w:bidi="ar-EG"/>
        </w:rPr>
        <w:t>.</w:t>
      </w:r>
    </w:p>
    <w:p w:rsidR="00167916" w:rsidRPr="000746A5" w:rsidRDefault="00580FEB" w:rsidP="000746A5">
      <w:pPr>
        <w:pStyle w:val="Heading2"/>
        <w:keepLines/>
        <w:bidi/>
        <w:spacing w:after="240"/>
        <w:ind w:left="567"/>
        <w:rPr>
          <w:rFonts w:ascii="Arabic Typesetting" w:hAnsi="Arabic Typesetting" w:cs="Arabic Typesetting"/>
          <w:b/>
          <w:bCs w:val="0"/>
          <w:i/>
          <w:iCs w:val="0"/>
          <w:sz w:val="40"/>
          <w:szCs w:val="40"/>
          <w:lang w:bidi="ar-EG"/>
        </w:rPr>
      </w:pPr>
      <w:bookmarkStart w:id="20" w:name="_Toc361774221"/>
      <w:r>
        <w:rPr>
          <w:rFonts w:ascii="Arabic Typesetting" w:hAnsi="Arabic Typesetting" w:cs="Arabic Typesetting"/>
          <w:b/>
          <w:bCs w:val="0"/>
          <w:i/>
          <w:iCs w:val="0"/>
          <w:sz w:val="40"/>
          <w:szCs w:val="40"/>
          <w:rtl/>
          <w:lang w:bidi="ar-EG"/>
        </w:rPr>
        <w:t>جيم.</w:t>
      </w:r>
      <w:r>
        <w:rPr>
          <w:rFonts w:ascii="Arabic Typesetting" w:hAnsi="Arabic Typesetting" w:cs="Arabic Typesetting" w:hint="cs"/>
          <w:b/>
          <w:bCs w:val="0"/>
          <w:i/>
          <w:iCs w:val="0"/>
          <w:sz w:val="40"/>
          <w:szCs w:val="40"/>
          <w:rtl/>
          <w:lang w:bidi="ar-EG"/>
        </w:rPr>
        <w:tab/>
      </w:r>
      <w:r w:rsidR="00167916" w:rsidRPr="000746A5">
        <w:rPr>
          <w:rFonts w:ascii="Arabic Typesetting" w:hAnsi="Arabic Typesetting" w:cs="Arabic Typesetting"/>
          <w:b/>
          <w:bCs w:val="0"/>
          <w:i/>
          <w:iCs w:val="0"/>
          <w:sz w:val="40"/>
          <w:szCs w:val="40"/>
          <w:rtl/>
          <w:lang w:bidi="ar-EG"/>
        </w:rPr>
        <w:t>استقصاء رضا العملاء</w:t>
      </w:r>
      <w:bookmarkEnd w:id="20"/>
    </w:p>
    <w:p w:rsidR="00167916" w:rsidRPr="005D619C" w:rsidRDefault="00167916" w:rsidP="00580FEB">
      <w:pPr>
        <w:pStyle w:val="NumberedParaAR"/>
      </w:pPr>
      <w:r w:rsidRPr="005D619C">
        <w:rPr>
          <w:rtl/>
          <w:lang w:bidi="ar-EG"/>
        </w:rPr>
        <w:t xml:space="preserve">من أجل تحقيق فهم أفضل لتوقعات الزملاء والاطلاع على آرائهم في العمل الرقابي، بدأت شعبة التدقيق الداخلي والرقابة الإدارية استخدام </w:t>
      </w:r>
      <w:proofErr w:type="spellStart"/>
      <w:r w:rsidRPr="005D619C">
        <w:rPr>
          <w:rtl/>
          <w:lang w:bidi="ar-EG"/>
        </w:rPr>
        <w:t>استقصاءات</w:t>
      </w:r>
      <w:proofErr w:type="spellEnd"/>
      <w:r w:rsidRPr="005D619C">
        <w:rPr>
          <w:rtl/>
          <w:lang w:bidi="ar-EG"/>
        </w:rPr>
        <w:t xml:space="preserve"> رضا العملاء بشكل منتظم منذ يناير 2012. وتمكّن هذه </w:t>
      </w:r>
      <w:proofErr w:type="spellStart"/>
      <w:r w:rsidRPr="005D619C">
        <w:rPr>
          <w:rtl/>
          <w:lang w:bidi="ar-EG"/>
        </w:rPr>
        <w:t>الاستقصاءات</w:t>
      </w:r>
      <w:proofErr w:type="spellEnd"/>
      <w:r w:rsidRPr="005D619C">
        <w:rPr>
          <w:rtl/>
          <w:lang w:bidi="ar-EG"/>
        </w:rPr>
        <w:t xml:space="preserve"> الشعبة من أن تحدد بشكل أفضل مجالات تحسين عملها.</w:t>
      </w:r>
    </w:p>
    <w:p w:rsidR="00167916" w:rsidRPr="005D619C" w:rsidRDefault="00167916" w:rsidP="00A95B9F">
      <w:pPr>
        <w:pStyle w:val="NumberedParaAR"/>
      </w:pPr>
      <w:r w:rsidRPr="005D619C">
        <w:rPr>
          <w:rtl/>
          <w:lang w:bidi="ar-EG"/>
        </w:rPr>
        <w:t>وقد أرسل 12 استقصاء إلى العملاء في الأشهر الثماني عشر الماضية.</w:t>
      </w:r>
      <w:r>
        <w:rPr>
          <w:rtl/>
        </w:rPr>
        <w:t xml:space="preserve"> </w:t>
      </w:r>
      <w:r w:rsidRPr="005D619C">
        <w:rPr>
          <w:rtl/>
          <w:lang w:bidi="ar-EG"/>
        </w:rPr>
        <w:t>وكان العمل في المتوسط مرضيا بنسبة 80</w:t>
      </w:r>
      <w:r w:rsidR="00580FEB">
        <w:rPr>
          <w:rFonts w:hint="cs"/>
          <w:rtl/>
          <w:lang w:bidi="ar-EG"/>
        </w:rPr>
        <w:t xml:space="preserve"> بالمائة.</w:t>
      </w:r>
      <w:r>
        <w:rPr>
          <w:rtl/>
        </w:rPr>
        <w:t xml:space="preserve"> </w:t>
      </w:r>
      <w:r w:rsidRPr="005D619C">
        <w:rPr>
          <w:rtl/>
          <w:lang w:bidi="ar-EG"/>
        </w:rPr>
        <w:t>في حين تحققت أفضل نتيجة في المتوسط بالنسبة للفرق التي "اتبعت سلوكيات موضوعية ومهنية ومهذبة" حيث بلغت نسبة الرضا 90</w:t>
      </w:r>
      <w:r w:rsidR="00580FEB">
        <w:rPr>
          <w:rFonts w:hint="cs"/>
          <w:rtl/>
          <w:lang w:bidi="ar-EG"/>
        </w:rPr>
        <w:t xml:space="preserve"> بالمائة</w:t>
      </w:r>
      <w:r w:rsidRPr="005D619C">
        <w:rPr>
          <w:rtl/>
          <w:lang w:bidi="ar-EG"/>
        </w:rPr>
        <w:t>.</w:t>
      </w:r>
      <w:r>
        <w:rPr>
          <w:rtl/>
        </w:rPr>
        <w:t xml:space="preserve"> </w:t>
      </w:r>
      <w:r w:rsidRPr="005D619C">
        <w:rPr>
          <w:rtl/>
          <w:lang w:bidi="ar-EG"/>
        </w:rPr>
        <w:t>أما أسوأ علامة في المتوسط فقد جاءت عند تقييم ما إذا كان "التدقيق/التقييم الكامل قد استغرق وقتا معقولا من إخطار التدقيق/التقييم إلى إصدار التقرير النهائي" حيث بلغت نسبة الرضا 70</w:t>
      </w:r>
      <w:r w:rsidR="00A95B9F">
        <w:rPr>
          <w:rFonts w:hint="cs"/>
          <w:rtl/>
          <w:lang w:bidi="ar-EG"/>
        </w:rPr>
        <w:t xml:space="preserve"> بالمائة</w:t>
      </w:r>
      <w:r w:rsidRPr="005D619C">
        <w:rPr>
          <w:rtl/>
          <w:lang w:bidi="ar-EG"/>
        </w:rPr>
        <w:t>.</w:t>
      </w:r>
    </w:p>
    <w:p w:rsidR="00167916" w:rsidRPr="005D619C" w:rsidRDefault="00167916" w:rsidP="00A95B9F">
      <w:pPr>
        <w:pStyle w:val="NumberedParaAR"/>
      </w:pPr>
      <w:r w:rsidRPr="005D619C">
        <w:rPr>
          <w:rtl/>
          <w:lang w:bidi="ar-EG"/>
        </w:rPr>
        <w:t>وتفيد الشعبة من التعليقات الإضافية المرسلة من الوحدات التي خضعت للتدقيق/التقييم في تحديد مواطن الضعف وكيفية إصلاح أوجه القصور.</w:t>
      </w:r>
      <w:r>
        <w:rPr>
          <w:rtl/>
        </w:rPr>
        <w:t xml:space="preserve"> </w:t>
      </w:r>
      <w:r w:rsidRPr="005D619C">
        <w:rPr>
          <w:rtl/>
          <w:lang w:bidi="ar-EG"/>
        </w:rPr>
        <w:t xml:space="preserve">ويُأمل أن يساعد برنامج </w:t>
      </w:r>
      <w:r>
        <w:rPr>
          <w:rtl/>
          <w:lang w:bidi="ar-EG"/>
        </w:rPr>
        <w:t>©</w:t>
      </w:r>
      <w:r w:rsidR="00A95B9F">
        <w:rPr>
          <w:lang w:bidi="ar-EG"/>
        </w:rPr>
        <w:t>Teammate</w:t>
      </w:r>
      <w:r>
        <w:rPr>
          <w:rtl/>
          <w:lang w:bidi="ar-EG"/>
        </w:rPr>
        <w:t xml:space="preserve"> </w:t>
      </w:r>
      <w:r w:rsidRPr="005D619C">
        <w:rPr>
          <w:rtl/>
          <w:lang w:bidi="ar-EG"/>
        </w:rPr>
        <w:t>الحاسوبي في تحسين أداء الشعبة ومستوى الرضا الكلي للخدمات التي تستفيد من عمل الشعبة.</w:t>
      </w:r>
    </w:p>
    <w:p w:rsidR="00167916" w:rsidRPr="00A95B9F" w:rsidRDefault="00A95B9F" w:rsidP="000746A5">
      <w:pPr>
        <w:pStyle w:val="Heading2"/>
        <w:keepLines/>
        <w:bidi/>
        <w:spacing w:after="240"/>
        <w:ind w:left="567"/>
        <w:rPr>
          <w:rFonts w:ascii="Arabic Typesetting" w:hAnsi="Arabic Typesetting" w:cs="Arabic Typesetting"/>
          <w:b/>
          <w:bCs w:val="0"/>
          <w:sz w:val="40"/>
          <w:szCs w:val="40"/>
          <w:lang w:bidi="ar-EG"/>
        </w:rPr>
      </w:pPr>
      <w:bookmarkStart w:id="21" w:name="_Toc361774222"/>
      <w:r>
        <w:rPr>
          <w:rFonts w:ascii="Arabic Typesetting" w:hAnsi="Arabic Typesetting" w:cs="Arabic Typesetting"/>
          <w:b/>
          <w:bCs w:val="0"/>
          <w:i/>
          <w:iCs w:val="0"/>
          <w:sz w:val="40"/>
          <w:szCs w:val="40"/>
          <w:rtl/>
          <w:lang w:bidi="ar-EG"/>
        </w:rPr>
        <w:t>دال.</w:t>
      </w:r>
      <w:r>
        <w:rPr>
          <w:rFonts w:ascii="Arabic Typesetting" w:hAnsi="Arabic Typesetting" w:cs="Arabic Typesetting"/>
          <w:b/>
          <w:bCs w:val="0"/>
          <w:i/>
          <w:iCs w:val="0"/>
          <w:sz w:val="40"/>
          <w:szCs w:val="40"/>
          <w:lang w:bidi="ar-EG"/>
        </w:rPr>
        <w:tab/>
      </w:r>
      <w:r w:rsidR="00167916" w:rsidRPr="000746A5">
        <w:rPr>
          <w:rFonts w:ascii="Arabic Typesetting" w:hAnsi="Arabic Typesetting" w:cs="Arabic Typesetting"/>
          <w:b/>
          <w:bCs w:val="0"/>
          <w:i/>
          <w:iCs w:val="0"/>
          <w:sz w:val="40"/>
          <w:szCs w:val="40"/>
          <w:rtl/>
          <w:lang w:bidi="ar-EG"/>
        </w:rPr>
        <w:t>مراجع الحسابات الخارجي</w:t>
      </w:r>
      <w:bookmarkEnd w:id="21"/>
    </w:p>
    <w:p w:rsidR="00167916" w:rsidRPr="005D619C" w:rsidRDefault="00167916" w:rsidP="00A95B9F">
      <w:pPr>
        <w:pStyle w:val="NumberedParaAR"/>
      </w:pPr>
      <w:r w:rsidRPr="005D619C">
        <w:rPr>
          <w:rtl/>
          <w:lang w:bidi="ar-EG"/>
        </w:rPr>
        <w:t>استمر التعاون والتنسيق الممتاز على المستوي المهني والعملي والذي توطد مع مراجع الحسابات الخارجي بعقد اجتماعات منتظمة لتبادل المعلومات حول المسائل المتعلقة بالتدقيق والرقابة الإدارية وإدارة المخاطر.</w:t>
      </w:r>
      <w:r>
        <w:rPr>
          <w:rtl/>
        </w:rPr>
        <w:t xml:space="preserve"> </w:t>
      </w:r>
      <w:r w:rsidRPr="005D619C">
        <w:rPr>
          <w:rtl/>
          <w:lang w:bidi="ar-EG"/>
        </w:rPr>
        <w:t>وتبادل مراجع الحسابات الخارجي وشعبة التدقيق الداخلي والرقابة الإدارية الاستراتيجيات والخطط السنوية والتقارير الفردية بهدف ضمان تغطية الرقابة الإدارية على نحو يتسم بالكفاءة وتجنب أي ازدواج محتمل لا داعي له.</w:t>
      </w:r>
    </w:p>
    <w:p w:rsidR="00167916" w:rsidRPr="00A95B9F" w:rsidRDefault="00A95B9F" w:rsidP="000746A5">
      <w:pPr>
        <w:pStyle w:val="Heading2"/>
        <w:keepLines/>
        <w:bidi/>
        <w:spacing w:after="240"/>
        <w:ind w:left="567"/>
        <w:rPr>
          <w:rFonts w:ascii="Arabic Typesetting" w:hAnsi="Arabic Typesetting" w:cs="Arabic Typesetting"/>
          <w:sz w:val="40"/>
          <w:szCs w:val="40"/>
          <w:lang w:bidi="ar-EG"/>
        </w:rPr>
      </w:pPr>
      <w:bookmarkStart w:id="22" w:name="_Toc361774223"/>
      <w:r>
        <w:rPr>
          <w:rFonts w:ascii="Arabic Typesetting" w:hAnsi="Arabic Typesetting" w:cs="Arabic Typesetting"/>
          <w:b/>
          <w:bCs w:val="0"/>
          <w:i/>
          <w:iCs w:val="0"/>
          <w:sz w:val="40"/>
          <w:szCs w:val="40"/>
          <w:rtl/>
          <w:lang w:bidi="ar-EG"/>
        </w:rPr>
        <w:t>هاء.</w:t>
      </w:r>
      <w:r>
        <w:rPr>
          <w:rFonts w:ascii="Arabic Typesetting" w:hAnsi="Arabic Typesetting" w:cs="Arabic Typesetting"/>
          <w:b/>
          <w:bCs w:val="0"/>
          <w:i/>
          <w:iCs w:val="0"/>
          <w:sz w:val="40"/>
          <w:szCs w:val="40"/>
          <w:lang w:bidi="ar-EG"/>
        </w:rPr>
        <w:tab/>
      </w:r>
      <w:r w:rsidR="00167916" w:rsidRPr="000746A5">
        <w:rPr>
          <w:rFonts w:ascii="Arabic Typesetting" w:hAnsi="Arabic Typesetting" w:cs="Arabic Typesetting"/>
          <w:b/>
          <w:bCs w:val="0"/>
          <w:i/>
          <w:iCs w:val="0"/>
          <w:sz w:val="40"/>
          <w:szCs w:val="40"/>
          <w:rtl/>
          <w:lang w:bidi="ar-EG"/>
        </w:rPr>
        <w:t>أمين المظالم ومكتب الأخلاقيات</w:t>
      </w:r>
      <w:bookmarkEnd w:id="22"/>
    </w:p>
    <w:p w:rsidR="00167916" w:rsidRPr="005D619C" w:rsidRDefault="00167916" w:rsidP="00A95B9F">
      <w:pPr>
        <w:pStyle w:val="NumberedParaAR"/>
      </w:pPr>
      <w:r w:rsidRPr="005D619C">
        <w:rPr>
          <w:rtl/>
          <w:lang w:bidi="ar-EG"/>
        </w:rPr>
        <w:t>أثناء فترة التقرير، اجتمع مدير شعبة التدقيق الداخلي والرقابة الإدارية بأمين المظالم ومكتب الأخلاقيات بشكل منتظم، كما يقضي ميثاق الرقابة الداخلية، للتأكد من وجود حلقة الاتصال الجيدة وتجنب أي ازدواج للأنشطة لغير ضرورة.</w:t>
      </w:r>
      <w:r>
        <w:rPr>
          <w:rtl/>
        </w:rPr>
        <w:t xml:space="preserve"> </w:t>
      </w:r>
      <w:r w:rsidRPr="005D619C">
        <w:rPr>
          <w:rtl/>
          <w:lang w:bidi="ar-EG"/>
        </w:rPr>
        <w:t>وقدمت المناقشات عونا وفائدة كبيرين في الاضطلاع الفعال بالمهام المنفصلة والمستقلة لشعبة التدقيق الداخلي والرقابة الإدارية وأمين المظالم ومكتب الأخلاقيات.</w:t>
      </w:r>
    </w:p>
    <w:p w:rsidR="00167916" w:rsidRPr="00A95B9F" w:rsidRDefault="00A95B9F" w:rsidP="000746A5">
      <w:pPr>
        <w:pStyle w:val="Heading2"/>
        <w:keepLines/>
        <w:bidi/>
        <w:spacing w:after="240"/>
        <w:ind w:left="567"/>
        <w:rPr>
          <w:rFonts w:ascii="Arabic Typesetting" w:hAnsi="Arabic Typesetting" w:cs="Arabic Typesetting"/>
          <w:sz w:val="40"/>
          <w:szCs w:val="40"/>
          <w:lang w:bidi="ar-EG"/>
        </w:rPr>
      </w:pPr>
      <w:bookmarkStart w:id="23" w:name="_Toc361774224"/>
      <w:r>
        <w:rPr>
          <w:rFonts w:ascii="Arabic Typesetting" w:hAnsi="Arabic Typesetting" w:cs="Arabic Typesetting"/>
          <w:b/>
          <w:bCs w:val="0"/>
          <w:i/>
          <w:iCs w:val="0"/>
          <w:sz w:val="40"/>
          <w:szCs w:val="40"/>
          <w:rtl/>
          <w:lang w:bidi="ar-EG"/>
        </w:rPr>
        <w:t>واو.</w:t>
      </w:r>
      <w:r>
        <w:rPr>
          <w:rFonts w:ascii="Arabic Typesetting" w:hAnsi="Arabic Typesetting" w:cs="Arabic Typesetting"/>
          <w:b/>
          <w:bCs w:val="0"/>
          <w:i/>
          <w:iCs w:val="0"/>
          <w:sz w:val="40"/>
          <w:szCs w:val="40"/>
          <w:lang w:bidi="ar-EG"/>
        </w:rPr>
        <w:tab/>
      </w:r>
      <w:r w:rsidR="00167916" w:rsidRPr="000746A5">
        <w:rPr>
          <w:rFonts w:ascii="Arabic Typesetting" w:hAnsi="Arabic Typesetting" w:cs="Arabic Typesetting"/>
          <w:b/>
          <w:bCs w:val="0"/>
          <w:i/>
          <w:iCs w:val="0"/>
          <w:sz w:val="40"/>
          <w:szCs w:val="40"/>
          <w:rtl/>
          <w:lang w:bidi="ar-EG"/>
        </w:rPr>
        <w:t>الربط الشبكي مع وظائف الرقابة الأخرى</w:t>
      </w:r>
      <w:bookmarkEnd w:id="23"/>
    </w:p>
    <w:p w:rsidR="00167916" w:rsidRPr="005D619C" w:rsidRDefault="00167916" w:rsidP="00A95B9F">
      <w:pPr>
        <w:pStyle w:val="NumberedParaAR"/>
      </w:pPr>
      <w:r w:rsidRPr="005D619C">
        <w:rPr>
          <w:rtl/>
          <w:lang w:bidi="ar-EG"/>
        </w:rPr>
        <w:t>تضمن ميثاق الرقابة الداخلية حكما محددا يتعلق بالحاجة إلى المشاركة في شبكات رسمية مختلفة من شبكات الأمم المتحدة معنية بوظائف الرقابة.</w:t>
      </w:r>
      <w:r>
        <w:rPr>
          <w:rtl/>
        </w:rPr>
        <w:t xml:space="preserve"> </w:t>
      </w:r>
      <w:r w:rsidRPr="005D619C">
        <w:rPr>
          <w:rtl/>
          <w:lang w:bidi="ar-EG"/>
        </w:rPr>
        <w:t>وتقر شعبة التدقيق الداخلي والرقابة الإدارية بقيمة إقامة علاقات مع أقرانها وأهمية ذلك.</w:t>
      </w:r>
      <w:r>
        <w:rPr>
          <w:rtl/>
        </w:rPr>
        <w:t xml:space="preserve"> </w:t>
      </w:r>
      <w:r w:rsidRPr="005D619C">
        <w:rPr>
          <w:rtl/>
          <w:lang w:bidi="ar-EG"/>
        </w:rPr>
        <w:t>وواصلت شعبة التدقيق الداخلي والرقابة الإدارية، في الفترة موضوع الاستعراض، تعاونها النشط والمفيد والربط الشبكي بالمنظمات والهيئات الأخرى التابعة للأمم المتحدة.</w:t>
      </w:r>
      <w:r>
        <w:rPr>
          <w:rtl/>
        </w:rPr>
        <w:t xml:space="preserve"> </w:t>
      </w:r>
      <w:r w:rsidRPr="005D619C">
        <w:rPr>
          <w:rtl/>
          <w:lang w:bidi="ar-EG"/>
        </w:rPr>
        <w:t>وشاركت الشعبة تحديدا في:</w:t>
      </w:r>
    </w:p>
    <w:p w:rsidR="00167916" w:rsidRPr="005D619C" w:rsidRDefault="00236A5D" w:rsidP="00236A5D">
      <w:pPr>
        <w:pStyle w:val="ONUME"/>
        <w:tabs>
          <w:tab w:val="clear" w:pos="360"/>
        </w:tabs>
        <w:bidi/>
        <w:ind w:left="567" w:firstLine="0"/>
        <w:rPr>
          <w:rFonts w:ascii="Arabic Typesetting" w:hAnsi="Arabic Typesetting" w:cs="Arabic Typesetting"/>
          <w:sz w:val="36"/>
          <w:szCs w:val="36"/>
        </w:rPr>
      </w:pPr>
      <w:r>
        <w:rPr>
          <w:rFonts w:ascii="Arabic Typesetting" w:hAnsi="Arabic Typesetting" w:cs="Arabic Typesetting" w:hint="cs"/>
          <w:sz w:val="36"/>
          <w:szCs w:val="36"/>
          <w:rtl/>
          <w:lang w:bidi="ar-EG"/>
        </w:rPr>
        <w:lastRenderedPageBreak/>
        <w:t>(أ)</w:t>
      </w:r>
      <w:r>
        <w:rPr>
          <w:rFonts w:ascii="Arabic Typesetting" w:hAnsi="Arabic Typesetting" w:cs="Arabic Typesetting" w:hint="cs"/>
          <w:sz w:val="36"/>
          <w:szCs w:val="36"/>
          <w:rtl/>
          <w:lang w:bidi="ar-EG"/>
        </w:rPr>
        <w:tab/>
      </w:r>
      <w:r w:rsidR="00167916" w:rsidRPr="005D619C">
        <w:rPr>
          <w:rFonts w:ascii="Arabic Typesetting" w:hAnsi="Arabic Typesetting" w:cs="Arabic Typesetting"/>
          <w:sz w:val="36"/>
          <w:szCs w:val="36"/>
          <w:rtl/>
          <w:lang w:bidi="ar-EG"/>
        </w:rPr>
        <w:t>الاجتماع السنوي الثاني والأربعين لممثلي دوائر التدقيق الداخلي في الأمم المتحدة، في فيينا في سبتمبر 2012. وقد قادت الشعبة الأعمال المتعلقة بحراك الموظفين وإجراء المقارنات المرجعية؛</w:t>
      </w:r>
    </w:p>
    <w:p w:rsidR="00167916" w:rsidRPr="005D619C" w:rsidRDefault="00236A5D" w:rsidP="00236A5D">
      <w:pPr>
        <w:pStyle w:val="ONUME"/>
        <w:tabs>
          <w:tab w:val="clear" w:pos="360"/>
        </w:tabs>
        <w:bidi/>
        <w:ind w:left="567" w:firstLine="0"/>
        <w:rPr>
          <w:rFonts w:ascii="Arabic Typesetting" w:hAnsi="Arabic Typesetting" w:cs="Arabic Typesetting"/>
          <w:sz w:val="36"/>
          <w:szCs w:val="36"/>
        </w:rPr>
      </w:pPr>
      <w:r>
        <w:rPr>
          <w:rFonts w:ascii="Arabic Typesetting" w:hAnsi="Arabic Typesetting" w:cs="Arabic Typesetting" w:hint="cs"/>
          <w:sz w:val="36"/>
          <w:szCs w:val="36"/>
          <w:rtl/>
          <w:lang w:bidi="ar-EG"/>
        </w:rPr>
        <w:t>(ب)</w:t>
      </w:r>
      <w:r>
        <w:rPr>
          <w:rFonts w:ascii="Arabic Typesetting" w:hAnsi="Arabic Typesetting" w:cs="Arabic Typesetting" w:hint="cs"/>
          <w:sz w:val="36"/>
          <w:szCs w:val="36"/>
          <w:rtl/>
          <w:lang w:bidi="ar-EG"/>
        </w:rPr>
        <w:tab/>
      </w:r>
      <w:r w:rsidR="00167916" w:rsidRPr="005D619C">
        <w:rPr>
          <w:rFonts w:ascii="Arabic Typesetting" w:hAnsi="Arabic Typesetting" w:cs="Arabic Typesetting"/>
          <w:sz w:val="36"/>
          <w:szCs w:val="36"/>
          <w:rtl/>
          <w:lang w:bidi="ar-EG"/>
        </w:rPr>
        <w:t>ومؤتمر الم</w:t>
      </w:r>
      <w:r w:rsidR="00A95B9F">
        <w:rPr>
          <w:rFonts w:ascii="Arabic Typesetting" w:hAnsi="Arabic Typesetting" w:cs="Arabic Typesetting"/>
          <w:sz w:val="36"/>
          <w:szCs w:val="36"/>
          <w:rtl/>
          <w:lang w:bidi="ar-EG"/>
        </w:rPr>
        <w:t>حققين الداخليين الثالث عشر في لكسمب</w:t>
      </w:r>
      <w:r w:rsidR="00167916" w:rsidRPr="005D619C">
        <w:rPr>
          <w:rFonts w:ascii="Arabic Typesetting" w:hAnsi="Arabic Typesetting" w:cs="Arabic Typesetting"/>
          <w:sz w:val="36"/>
          <w:szCs w:val="36"/>
          <w:rtl/>
          <w:lang w:bidi="ar-EG"/>
        </w:rPr>
        <w:t>رغ المنعقد في سبتمبر 2012؛</w:t>
      </w:r>
    </w:p>
    <w:p w:rsidR="00167916" w:rsidRPr="005D619C" w:rsidRDefault="00236A5D" w:rsidP="00236A5D">
      <w:pPr>
        <w:pStyle w:val="ONUME"/>
        <w:tabs>
          <w:tab w:val="clear" w:pos="360"/>
        </w:tabs>
        <w:bidi/>
        <w:ind w:left="567" w:firstLine="0"/>
        <w:rPr>
          <w:rFonts w:ascii="Arabic Typesetting" w:hAnsi="Arabic Typesetting" w:cs="Arabic Typesetting"/>
          <w:sz w:val="36"/>
          <w:szCs w:val="36"/>
        </w:rPr>
      </w:pPr>
      <w:r>
        <w:rPr>
          <w:rFonts w:ascii="Arabic Typesetting" w:hAnsi="Arabic Typesetting" w:cs="Arabic Typesetting" w:hint="cs"/>
          <w:sz w:val="36"/>
          <w:szCs w:val="36"/>
          <w:rtl/>
          <w:lang w:bidi="ar-EG"/>
        </w:rPr>
        <w:t>(ج)</w:t>
      </w:r>
      <w:r>
        <w:rPr>
          <w:rFonts w:ascii="Arabic Typesetting" w:hAnsi="Arabic Typesetting" w:cs="Arabic Typesetting" w:hint="cs"/>
          <w:sz w:val="36"/>
          <w:szCs w:val="36"/>
          <w:rtl/>
          <w:lang w:bidi="ar-EG"/>
        </w:rPr>
        <w:tab/>
      </w:r>
      <w:r w:rsidR="00167916" w:rsidRPr="005D619C">
        <w:rPr>
          <w:rFonts w:ascii="Arabic Typesetting" w:hAnsi="Arabic Typesetting" w:cs="Arabic Typesetting"/>
          <w:sz w:val="36"/>
          <w:szCs w:val="36"/>
          <w:rtl/>
          <w:lang w:bidi="ar-EG"/>
        </w:rPr>
        <w:t xml:space="preserve">والاجتماع السنوي لرئيس دوائر التدقيق الداخلي للمنظمات الدولية التي تتخذ مقرا لها في أوروبا في أبريل 2013 في </w:t>
      </w:r>
      <w:proofErr w:type="spellStart"/>
      <w:r w:rsidR="00167916" w:rsidRPr="005D619C">
        <w:rPr>
          <w:rFonts w:ascii="Arabic Typesetting" w:hAnsi="Arabic Typesetting" w:cs="Arabic Typesetting"/>
          <w:sz w:val="36"/>
          <w:szCs w:val="36"/>
          <w:rtl/>
          <w:lang w:bidi="ar-EG"/>
        </w:rPr>
        <w:t>هيدلبرغ</w:t>
      </w:r>
      <w:proofErr w:type="spellEnd"/>
      <w:r w:rsidR="00167916" w:rsidRPr="005D619C">
        <w:rPr>
          <w:rFonts w:ascii="Arabic Typesetting" w:hAnsi="Arabic Typesetting" w:cs="Arabic Typesetting"/>
          <w:sz w:val="36"/>
          <w:szCs w:val="36"/>
          <w:rtl/>
          <w:lang w:bidi="ar-EG"/>
        </w:rPr>
        <w:t>؛</w:t>
      </w:r>
    </w:p>
    <w:p w:rsidR="00167916" w:rsidRPr="005D619C" w:rsidRDefault="00236A5D" w:rsidP="00236A5D">
      <w:pPr>
        <w:pStyle w:val="ONUME"/>
        <w:tabs>
          <w:tab w:val="clear" w:pos="360"/>
        </w:tabs>
        <w:bidi/>
        <w:ind w:left="567" w:firstLine="0"/>
        <w:rPr>
          <w:rFonts w:ascii="Arabic Typesetting" w:hAnsi="Arabic Typesetting" w:cs="Arabic Typesetting"/>
          <w:sz w:val="36"/>
          <w:szCs w:val="36"/>
        </w:rPr>
      </w:pPr>
      <w:r>
        <w:rPr>
          <w:rFonts w:ascii="Arabic Typesetting" w:hAnsi="Arabic Typesetting" w:cs="Arabic Typesetting" w:hint="cs"/>
          <w:sz w:val="36"/>
          <w:szCs w:val="36"/>
          <w:rtl/>
          <w:lang w:bidi="ar-EG"/>
        </w:rPr>
        <w:t>(د)</w:t>
      </w:r>
      <w:r>
        <w:rPr>
          <w:rFonts w:ascii="Arabic Typesetting" w:hAnsi="Arabic Typesetting" w:cs="Arabic Typesetting" w:hint="cs"/>
          <w:sz w:val="36"/>
          <w:szCs w:val="36"/>
          <w:rtl/>
          <w:lang w:bidi="ar-EG"/>
        </w:rPr>
        <w:tab/>
      </w:r>
      <w:r w:rsidR="00167916" w:rsidRPr="005D619C">
        <w:rPr>
          <w:rFonts w:ascii="Arabic Typesetting" w:hAnsi="Arabic Typesetting" w:cs="Arabic Typesetting"/>
          <w:sz w:val="36"/>
          <w:szCs w:val="36"/>
          <w:rtl/>
          <w:lang w:bidi="ar-EG"/>
        </w:rPr>
        <w:t>والاجتماع السنوي لفريق التقييم التابع للأمم المتحدة في أبريل 2013.</w:t>
      </w:r>
      <w:r w:rsidR="00167916">
        <w:rPr>
          <w:rFonts w:ascii="Arabic Typesetting" w:hAnsi="Arabic Typesetting" w:cs="Arabic Typesetting"/>
          <w:sz w:val="36"/>
          <w:szCs w:val="36"/>
          <w:rtl/>
        </w:rPr>
        <w:t xml:space="preserve"> </w:t>
      </w:r>
      <w:r w:rsidR="00167916" w:rsidRPr="005D619C">
        <w:rPr>
          <w:rFonts w:ascii="Arabic Typesetting" w:hAnsi="Arabic Typesetting" w:cs="Arabic Typesetting"/>
          <w:sz w:val="36"/>
          <w:szCs w:val="36"/>
          <w:rtl/>
          <w:lang w:bidi="ar-EG"/>
        </w:rPr>
        <w:t>وتعتبر شعبة التدقيق الداخلي والرقابة الإدارية عضوا في فريقي العمل التابعين لفريق الأمم المتحدة المعني بالتقييم والمعنيين بالقواعد والمعايير وبتقييم أعمال وضع القواعد والمعايير، وهي أيضا عضو في فريق العمل المعني بالتقييم والتدقيق؛</w:t>
      </w:r>
    </w:p>
    <w:p w:rsidR="00167916" w:rsidRPr="005D619C" w:rsidRDefault="00236A5D" w:rsidP="00236A5D">
      <w:pPr>
        <w:pStyle w:val="ONUME"/>
        <w:tabs>
          <w:tab w:val="clear" w:pos="360"/>
        </w:tabs>
        <w:bidi/>
        <w:ind w:left="567" w:firstLine="0"/>
        <w:rPr>
          <w:rFonts w:ascii="Arabic Typesetting" w:hAnsi="Arabic Typesetting" w:cs="Arabic Typesetting"/>
          <w:sz w:val="36"/>
          <w:szCs w:val="36"/>
        </w:rPr>
      </w:pPr>
      <w:r>
        <w:rPr>
          <w:rFonts w:ascii="Arabic Typesetting" w:hAnsi="Arabic Typesetting" w:cs="Arabic Typesetting" w:hint="cs"/>
          <w:sz w:val="36"/>
          <w:szCs w:val="36"/>
          <w:rtl/>
        </w:rPr>
        <w:t>(ه)</w:t>
      </w:r>
      <w:r>
        <w:rPr>
          <w:rFonts w:ascii="Arabic Typesetting" w:hAnsi="Arabic Typesetting" w:cs="Arabic Typesetting" w:hint="cs"/>
          <w:sz w:val="36"/>
          <w:szCs w:val="36"/>
          <w:rtl/>
        </w:rPr>
        <w:tab/>
      </w:r>
      <w:r w:rsidR="00167916" w:rsidRPr="005D619C">
        <w:rPr>
          <w:rFonts w:ascii="Arabic Typesetting" w:hAnsi="Arabic Typesetting" w:cs="Arabic Typesetting"/>
          <w:sz w:val="36"/>
          <w:szCs w:val="36"/>
          <w:rtl/>
          <w:lang w:bidi="ar-EG"/>
        </w:rPr>
        <w:t>الاجتماع الأول لفريق الأمم المتحدة المعني بالتحقيق المشكل حديثا، والذي انعقد في جنيف في مارس 2013 وحضره ممثلو 16 منظمة تابعة للأمم المتحدة.</w:t>
      </w:r>
      <w:r w:rsidR="00167916">
        <w:rPr>
          <w:rFonts w:ascii="Arabic Typesetting" w:hAnsi="Arabic Typesetting" w:cs="Arabic Typesetting"/>
          <w:sz w:val="36"/>
          <w:szCs w:val="36"/>
          <w:rtl/>
        </w:rPr>
        <w:t xml:space="preserve"> </w:t>
      </w:r>
      <w:r w:rsidR="00167916" w:rsidRPr="005D619C">
        <w:rPr>
          <w:rFonts w:ascii="Arabic Typesetting" w:hAnsi="Arabic Typesetting" w:cs="Arabic Typesetting"/>
          <w:sz w:val="36"/>
          <w:szCs w:val="36"/>
          <w:rtl/>
          <w:lang w:bidi="ar-EG"/>
        </w:rPr>
        <w:t xml:space="preserve">والفريق مكلف بتعزيز ممارسات التحقيق </w:t>
      </w:r>
      <w:proofErr w:type="spellStart"/>
      <w:r w:rsidR="00167916" w:rsidRPr="005D619C">
        <w:rPr>
          <w:rFonts w:ascii="Arabic Typesetting" w:hAnsi="Arabic Typesetting" w:cs="Arabic Typesetting"/>
          <w:sz w:val="36"/>
          <w:szCs w:val="36"/>
          <w:rtl/>
          <w:lang w:bidi="ar-EG"/>
        </w:rPr>
        <w:t>ومهنيته</w:t>
      </w:r>
      <w:proofErr w:type="spellEnd"/>
      <w:r w:rsidR="00167916" w:rsidRPr="005D619C">
        <w:rPr>
          <w:rFonts w:ascii="Arabic Typesetting" w:hAnsi="Arabic Typesetting" w:cs="Arabic Typesetting"/>
          <w:sz w:val="36"/>
          <w:szCs w:val="36"/>
          <w:rtl/>
          <w:lang w:bidi="ar-EG"/>
        </w:rPr>
        <w:t xml:space="preserve"> عن طريق توفير منتدى لتطوير السياسات والإجراءات؛ والنهوض بالاستقلال والتعاون والمواقف المهنية المشتركة لأعضاء الفريق لإضافة قيمة لمنظماتهم؛ وتبادل المعلومات وتوفير المشورة، حسبما يلزم، إلى أعضاء الفريق ومحافل الأمم المتحدة.</w:t>
      </w:r>
    </w:p>
    <w:p w:rsidR="00167916" w:rsidRPr="005D619C" w:rsidRDefault="00167916" w:rsidP="00236A5D">
      <w:pPr>
        <w:pStyle w:val="NumberedParaAR"/>
      </w:pPr>
      <w:r w:rsidRPr="005D619C">
        <w:rPr>
          <w:rtl/>
          <w:lang w:bidi="ar-EG"/>
        </w:rPr>
        <w:t>وفي أبريل 2014، ستستضيف الشعبة اجتماع رئيس دوائر التدقيق الداخلي للمنظمات الدولية في الويبو.</w:t>
      </w:r>
    </w:p>
    <w:p w:rsidR="00167916" w:rsidRPr="00236A5D" w:rsidRDefault="00236A5D" w:rsidP="001D78EA">
      <w:pPr>
        <w:pStyle w:val="Heading2"/>
        <w:keepLines/>
        <w:bidi/>
        <w:spacing w:after="240"/>
        <w:ind w:left="567"/>
        <w:rPr>
          <w:rFonts w:ascii="Arabic Typesetting" w:hAnsi="Arabic Typesetting" w:cs="Arabic Typesetting"/>
          <w:sz w:val="40"/>
          <w:szCs w:val="40"/>
          <w:lang w:bidi="ar-EG"/>
        </w:rPr>
      </w:pPr>
      <w:bookmarkStart w:id="24" w:name="_Toc361774225"/>
      <w:r>
        <w:rPr>
          <w:rFonts w:ascii="Arabic Typesetting" w:hAnsi="Arabic Typesetting" w:cs="Arabic Typesetting"/>
          <w:b/>
          <w:bCs w:val="0"/>
          <w:i/>
          <w:iCs w:val="0"/>
          <w:sz w:val="40"/>
          <w:szCs w:val="40"/>
          <w:rtl/>
          <w:lang w:bidi="ar-EG"/>
        </w:rPr>
        <w:t>زاي.</w:t>
      </w:r>
      <w:r>
        <w:rPr>
          <w:rFonts w:ascii="Arabic Typesetting" w:hAnsi="Arabic Typesetting" w:cs="Arabic Typesetting" w:hint="cs"/>
          <w:b/>
          <w:bCs w:val="0"/>
          <w:i/>
          <w:iCs w:val="0"/>
          <w:sz w:val="40"/>
          <w:szCs w:val="40"/>
          <w:rtl/>
          <w:lang w:bidi="ar-EG"/>
        </w:rPr>
        <w:tab/>
      </w:r>
      <w:r w:rsidR="00167916" w:rsidRPr="001D78EA">
        <w:rPr>
          <w:rFonts w:ascii="Arabic Typesetting" w:hAnsi="Arabic Typesetting" w:cs="Arabic Typesetting"/>
          <w:b/>
          <w:bCs w:val="0"/>
          <w:i/>
          <w:iCs w:val="0"/>
          <w:sz w:val="40"/>
          <w:szCs w:val="40"/>
          <w:rtl/>
          <w:lang w:bidi="ar-EG"/>
        </w:rPr>
        <w:t>ندوة التقييم</w:t>
      </w:r>
      <w:bookmarkEnd w:id="24"/>
    </w:p>
    <w:p w:rsidR="00167916" w:rsidRPr="005D619C" w:rsidRDefault="00167916" w:rsidP="00236A5D">
      <w:pPr>
        <w:pStyle w:val="NumberedParaAR"/>
      </w:pPr>
      <w:r w:rsidRPr="005D619C">
        <w:rPr>
          <w:rtl/>
          <w:lang w:bidi="ar-EG"/>
        </w:rPr>
        <w:t xml:space="preserve">نظمت شعبة التدقيق الداخلي والرقابة الإدارية ندوة التقييم الثانية في نوفمبر 2012. وكانت أهداف الندوة هي عرض وظيفة التقييم </w:t>
      </w:r>
      <w:proofErr w:type="spellStart"/>
      <w:r w:rsidRPr="005D619C">
        <w:rPr>
          <w:rtl/>
          <w:lang w:bidi="ar-EG"/>
        </w:rPr>
        <w:t>بالويبو</w:t>
      </w:r>
      <w:proofErr w:type="spellEnd"/>
      <w:r w:rsidRPr="005D619C">
        <w:rPr>
          <w:rtl/>
          <w:lang w:bidi="ar-EG"/>
        </w:rPr>
        <w:t xml:space="preserve"> ونتائجها والنهوض بالممارسات الجيدة للتقييم وفائدتها للإدارة واتخاذ القرارات.</w:t>
      </w:r>
      <w:r>
        <w:rPr>
          <w:rtl/>
        </w:rPr>
        <w:t xml:space="preserve"> </w:t>
      </w:r>
    </w:p>
    <w:p w:rsidR="00167916" w:rsidRPr="005D619C" w:rsidRDefault="00167916" w:rsidP="00507219">
      <w:pPr>
        <w:pStyle w:val="NumberedParaAR"/>
      </w:pPr>
      <w:r w:rsidRPr="005D619C">
        <w:rPr>
          <w:rtl/>
          <w:lang w:bidi="ar-EG"/>
        </w:rPr>
        <w:t>وتناولت الندوة التقييمات المكتملة (تقييم حافظة دولة كينيا، وتقييم الأكاديميات الوطنية الجديدة وتقييم استنباط أدوات جديدة للنفاذ إلى المعلومات المتعلقة بالبراءات) فضلا عن تثبيت تقرير أداء البرنامج.</w:t>
      </w:r>
      <w:r>
        <w:rPr>
          <w:rtl/>
        </w:rPr>
        <w:t xml:space="preserve"> </w:t>
      </w:r>
      <w:r w:rsidRPr="005D619C">
        <w:rPr>
          <w:rtl/>
          <w:lang w:bidi="ar-EG"/>
        </w:rPr>
        <w:t>وتحدثت إدارة الويبو عن توقعاتها وخبراتها بشأن التقييم وشعبة التدقيق الداخلي والرقابة الإدارية.</w:t>
      </w:r>
      <w:r>
        <w:rPr>
          <w:rtl/>
        </w:rPr>
        <w:t xml:space="preserve"> </w:t>
      </w:r>
      <w:r w:rsidRPr="005D619C">
        <w:rPr>
          <w:rtl/>
          <w:lang w:bidi="ar-EG"/>
        </w:rPr>
        <w:t>وأدلت الدول الأعضاء واللجنة الاستشارية المستقلة للرقابة بآرائها وأوضحت احتياجاتها بشأن التقييم.</w:t>
      </w:r>
      <w:r w:rsidRPr="005D619C">
        <w:t xml:space="preserve"> </w:t>
      </w:r>
    </w:p>
    <w:p w:rsidR="00167916" w:rsidRPr="005D619C" w:rsidRDefault="00167916" w:rsidP="00507219">
      <w:pPr>
        <w:pStyle w:val="NumberedParaAR"/>
      </w:pPr>
      <w:r w:rsidRPr="005D619C">
        <w:rPr>
          <w:rtl/>
          <w:lang w:bidi="ar-EG"/>
        </w:rPr>
        <w:t>وشارك في الندوة 62 مشاركا، وكانوا بالأساس من موظفي الويبو وإدارتها، والدول الأعضاء في الويبو، والخبراء الخارجيين في تقييم الملكية الفكرية.</w:t>
      </w:r>
    </w:p>
    <w:p w:rsidR="00167916" w:rsidRPr="005D619C" w:rsidRDefault="00167916" w:rsidP="00507219">
      <w:pPr>
        <w:pStyle w:val="NumberedParaAR"/>
      </w:pPr>
      <w:r w:rsidRPr="005D619C">
        <w:rPr>
          <w:rtl/>
          <w:lang w:bidi="ar-EG"/>
        </w:rPr>
        <w:t>وإجمالا، سمحت الندوة للمشاركين بتبادل الأمثلة بشأن المواضيع السالفة الذكر وتبادل الخبرة بشأن التقييمات التي أجريت في الويبو.</w:t>
      </w:r>
    </w:p>
    <w:p w:rsidR="00167916" w:rsidRPr="005D619C" w:rsidRDefault="00507219" w:rsidP="00507219">
      <w:pPr>
        <w:pStyle w:val="Heading2"/>
        <w:keepLines/>
        <w:bidi/>
        <w:spacing w:after="240"/>
        <w:ind w:left="567"/>
        <w:rPr>
          <w:rFonts w:ascii="Arabic Typesetting" w:hAnsi="Arabic Typesetting" w:cs="Arabic Typesetting"/>
          <w:sz w:val="36"/>
          <w:szCs w:val="36"/>
        </w:rPr>
      </w:pPr>
      <w:bookmarkStart w:id="25" w:name="_Toc361774226"/>
      <w:r>
        <w:rPr>
          <w:rFonts w:ascii="Arabic Typesetting" w:hAnsi="Arabic Typesetting" w:cs="Arabic Typesetting"/>
          <w:b/>
          <w:bCs w:val="0"/>
          <w:i/>
          <w:iCs w:val="0"/>
          <w:sz w:val="40"/>
          <w:szCs w:val="40"/>
          <w:rtl/>
          <w:lang w:bidi="ar-EG"/>
        </w:rPr>
        <w:t>حاء.</w:t>
      </w:r>
      <w:r>
        <w:rPr>
          <w:rFonts w:ascii="Arabic Typesetting" w:hAnsi="Arabic Typesetting" w:cs="Arabic Typesetting" w:hint="cs"/>
          <w:b/>
          <w:bCs w:val="0"/>
          <w:i/>
          <w:iCs w:val="0"/>
          <w:sz w:val="40"/>
          <w:szCs w:val="40"/>
          <w:rtl/>
          <w:lang w:bidi="ar-EG"/>
        </w:rPr>
        <w:tab/>
      </w:r>
      <w:r w:rsidR="00167916" w:rsidRPr="001D78EA">
        <w:rPr>
          <w:rFonts w:ascii="Arabic Typesetting" w:hAnsi="Arabic Typesetting" w:cs="Arabic Typesetting"/>
          <w:b/>
          <w:bCs w:val="0"/>
          <w:i/>
          <w:iCs w:val="0"/>
          <w:sz w:val="40"/>
          <w:szCs w:val="40"/>
          <w:rtl/>
          <w:lang w:bidi="ar-EG"/>
        </w:rPr>
        <w:t xml:space="preserve">أنشطة توعية الزملاء في </w:t>
      </w:r>
      <w:bookmarkEnd w:id="25"/>
      <w:r>
        <w:rPr>
          <w:rFonts w:ascii="Arabic Typesetting" w:hAnsi="Arabic Typesetting" w:cs="Arabic Typesetting" w:hint="cs"/>
          <w:b/>
          <w:bCs w:val="0"/>
          <w:i/>
          <w:iCs w:val="0"/>
          <w:sz w:val="40"/>
          <w:szCs w:val="40"/>
          <w:rtl/>
          <w:lang w:bidi="ar-EG"/>
        </w:rPr>
        <w:t>المنظمة</w:t>
      </w:r>
    </w:p>
    <w:p w:rsidR="00167916" w:rsidRPr="005D619C" w:rsidRDefault="00167916" w:rsidP="00507219">
      <w:pPr>
        <w:pStyle w:val="NumberedParaAR"/>
      </w:pPr>
      <w:r w:rsidRPr="005D619C">
        <w:rPr>
          <w:rtl/>
          <w:lang w:bidi="ar-EG"/>
        </w:rPr>
        <w:t>أطلقت شعبة التدقيق الداخلي والرقابة الإدارية عدة مبادرة لتوعية الزملاء بعملها على نحو أفضل والدعوة إلى دعمه:</w:t>
      </w:r>
    </w:p>
    <w:p w:rsidR="00507219" w:rsidRDefault="00507219" w:rsidP="00507219">
      <w:pPr>
        <w:pStyle w:val="ONUME"/>
        <w:keepLines/>
        <w:tabs>
          <w:tab w:val="clear" w:pos="360"/>
        </w:tabs>
        <w:bidi/>
        <w:ind w:left="567" w:firstLine="0"/>
        <w:rPr>
          <w:rFonts w:ascii="Arabic Typesetting" w:hAnsi="Arabic Typesetting" w:cs="Arabic Typesetting"/>
          <w:sz w:val="36"/>
          <w:szCs w:val="36"/>
          <w:rtl/>
        </w:rPr>
      </w:pPr>
      <w:r>
        <w:rPr>
          <w:rFonts w:ascii="Arabic Typesetting" w:hAnsi="Arabic Typesetting" w:cs="Arabic Typesetting" w:hint="cs"/>
          <w:sz w:val="36"/>
          <w:szCs w:val="36"/>
          <w:rtl/>
          <w:lang w:bidi="ar-EG"/>
        </w:rPr>
        <w:t>(أ)</w:t>
      </w:r>
      <w:r>
        <w:rPr>
          <w:rFonts w:ascii="Arabic Typesetting" w:hAnsi="Arabic Typesetting" w:cs="Arabic Typesetting" w:hint="cs"/>
          <w:sz w:val="36"/>
          <w:szCs w:val="36"/>
          <w:rtl/>
          <w:lang w:bidi="ar-EG"/>
        </w:rPr>
        <w:tab/>
      </w:r>
      <w:r w:rsidR="00167916" w:rsidRPr="005D619C">
        <w:rPr>
          <w:rFonts w:ascii="Arabic Typesetting" w:hAnsi="Arabic Typesetting" w:cs="Arabic Typesetting"/>
          <w:sz w:val="36"/>
          <w:szCs w:val="36"/>
          <w:rtl/>
          <w:lang w:bidi="ar-EG"/>
        </w:rPr>
        <w:t>أعيد تنظيم الصفحة الرئيسة لشبكة الشعبة الداخلية وأخطر موظفو الويبو عنها؛</w:t>
      </w:r>
    </w:p>
    <w:p w:rsidR="00507219" w:rsidRDefault="00507219" w:rsidP="00507219">
      <w:pPr>
        <w:pStyle w:val="ONUME"/>
        <w:keepLines/>
        <w:tabs>
          <w:tab w:val="clear" w:pos="360"/>
        </w:tabs>
        <w:bidi/>
        <w:ind w:left="567" w:firstLine="0"/>
        <w:rPr>
          <w:rFonts w:ascii="Arabic Typesetting" w:hAnsi="Arabic Typesetting" w:cs="Arabic Typesetting"/>
          <w:sz w:val="36"/>
          <w:szCs w:val="36"/>
          <w:rtl/>
          <w:lang w:bidi="ar-EG"/>
        </w:rPr>
      </w:pPr>
      <w:r>
        <w:rPr>
          <w:rFonts w:ascii="Arabic Typesetting" w:hAnsi="Arabic Typesetting" w:cs="Arabic Typesetting" w:hint="cs"/>
          <w:sz w:val="36"/>
          <w:szCs w:val="36"/>
          <w:rtl/>
        </w:rPr>
        <w:lastRenderedPageBreak/>
        <w:t>(ب)</w:t>
      </w:r>
      <w:r>
        <w:rPr>
          <w:rFonts w:ascii="Arabic Typesetting" w:hAnsi="Arabic Typesetting" w:cs="Arabic Typesetting" w:hint="cs"/>
          <w:sz w:val="36"/>
          <w:szCs w:val="36"/>
          <w:rtl/>
        </w:rPr>
        <w:tab/>
        <w:t>و</w:t>
      </w:r>
      <w:r w:rsidR="00167916" w:rsidRPr="005D619C">
        <w:rPr>
          <w:rFonts w:ascii="Arabic Typesetting" w:hAnsi="Arabic Typesetting" w:cs="Arabic Typesetting"/>
          <w:sz w:val="36"/>
          <w:szCs w:val="36"/>
          <w:rtl/>
          <w:lang w:bidi="ar-EG"/>
        </w:rPr>
        <w:t>نشر كتيب معلومات حول خدمات الشعبة؛</w:t>
      </w:r>
    </w:p>
    <w:p w:rsidR="00507219" w:rsidRDefault="00507219" w:rsidP="00507219">
      <w:pPr>
        <w:pStyle w:val="ONUME"/>
        <w:keepLines/>
        <w:tabs>
          <w:tab w:val="clear" w:pos="360"/>
        </w:tabs>
        <w:bidi/>
        <w:ind w:left="567" w:firstLine="0"/>
        <w:rPr>
          <w:rFonts w:ascii="Arabic Typesetting" w:hAnsi="Arabic Typesetting" w:cs="Arabic Typesetting"/>
          <w:sz w:val="36"/>
          <w:szCs w:val="36"/>
          <w:rtl/>
        </w:rPr>
      </w:pPr>
      <w:r>
        <w:rPr>
          <w:rFonts w:ascii="Arabic Typesetting" w:hAnsi="Arabic Typesetting" w:cs="Arabic Typesetting" w:hint="cs"/>
          <w:sz w:val="36"/>
          <w:szCs w:val="36"/>
          <w:rtl/>
          <w:lang w:bidi="ar-EG"/>
        </w:rPr>
        <w:t>(ج)</w:t>
      </w:r>
      <w:r>
        <w:rPr>
          <w:rFonts w:ascii="Arabic Typesetting" w:hAnsi="Arabic Typesetting" w:cs="Arabic Typesetting" w:hint="cs"/>
          <w:sz w:val="36"/>
          <w:szCs w:val="36"/>
          <w:rtl/>
          <w:lang w:bidi="ar-EG"/>
        </w:rPr>
        <w:tab/>
        <w:t>و</w:t>
      </w:r>
      <w:r w:rsidR="00167916" w:rsidRPr="005D619C">
        <w:rPr>
          <w:rFonts w:ascii="Arabic Typesetting" w:hAnsi="Arabic Typesetting" w:cs="Arabic Typesetting"/>
          <w:sz w:val="36"/>
          <w:szCs w:val="36"/>
          <w:rtl/>
          <w:lang w:bidi="ar-EG"/>
        </w:rPr>
        <w:t>في إطار كل من مبادرة "التعلم في الويبو"، وهي مبادرة أطلقتها إدارة الموارد البشرية لتوسيع نطاق برنامج التمهيد، ومبادرة "ما الجديد في الويبو؟"، وهي مبادرة للتواصل الداخلي، قدمت الشعبة عرضين إلى الموظفين تشرح فيهما عملها في التدقيق والتقييم والتحقيق الداخليين.</w:t>
      </w:r>
      <w:r w:rsidR="00167916">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w:t>
      </w:r>
      <w:r w:rsidR="00167916" w:rsidRPr="005D619C">
        <w:rPr>
          <w:rFonts w:ascii="Arabic Typesetting" w:hAnsi="Arabic Typesetting" w:cs="Arabic Typesetting"/>
          <w:sz w:val="36"/>
          <w:szCs w:val="36"/>
          <w:rtl/>
          <w:lang w:bidi="ar-EG"/>
        </w:rPr>
        <w:t>إجمالا، حضر 80 موظفا الجلستين المنفصلتين وكانت ردود الأفعال إيجابية؛</w:t>
      </w:r>
    </w:p>
    <w:p w:rsidR="00167916" w:rsidRPr="005D619C" w:rsidRDefault="00507219" w:rsidP="00507219">
      <w:pPr>
        <w:pStyle w:val="ONUME"/>
        <w:tabs>
          <w:tab w:val="clear" w:pos="360"/>
        </w:tabs>
        <w:bidi/>
        <w:ind w:left="567" w:firstLine="0"/>
        <w:rPr>
          <w:rFonts w:ascii="Arabic Typesetting" w:hAnsi="Arabic Typesetting" w:cs="Arabic Typesetting"/>
          <w:sz w:val="36"/>
          <w:szCs w:val="36"/>
        </w:rPr>
      </w:pPr>
      <w:r>
        <w:rPr>
          <w:rFonts w:ascii="Arabic Typesetting" w:hAnsi="Arabic Typesetting" w:cs="Arabic Typesetting" w:hint="cs"/>
          <w:sz w:val="36"/>
          <w:szCs w:val="36"/>
          <w:rtl/>
        </w:rPr>
        <w:t>(د)</w:t>
      </w:r>
      <w:r>
        <w:rPr>
          <w:rFonts w:ascii="Arabic Typesetting" w:hAnsi="Arabic Typesetting" w:cs="Arabic Typesetting" w:hint="cs"/>
          <w:sz w:val="36"/>
          <w:szCs w:val="36"/>
          <w:rtl/>
        </w:rPr>
        <w:tab/>
        <w:t>و</w:t>
      </w:r>
      <w:r w:rsidR="00167916" w:rsidRPr="005D619C">
        <w:rPr>
          <w:rFonts w:ascii="Arabic Typesetting" w:hAnsi="Arabic Typesetting" w:cs="Arabic Typesetting"/>
          <w:sz w:val="36"/>
          <w:szCs w:val="36"/>
          <w:rtl/>
          <w:lang w:bidi="ar-EG"/>
        </w:rPr>
        <w:t>الشعبة الآن بصدد تنظيم تدريبات تمهيدية للموظفين الجدد.</w:t>
      </w:r>
      <w:r w:rsidR="00167916" w:rsidRPr="005D619C">
        <w:rPr>
          <w:rFonts w:ascii="Arabic Typesetting" w:hAnsi="Arabic Typesetting" w:cs="Arabic Typesetting"/>
          <w:sz w:val="36"/>
          <w:szCs w:val="36"/>
        </w:rPr>
        <w:t xml:space="preserve"> </w:t>
      </w:r>
    </w:p>
    <w:p w:rsidR="00167916" w:rsidRPr="005D619C" w:rsidRDefault="00167916" w:rsidP="0018104B">
      <w:pPr>
        <w:pStyle w:val="Heading1"/>
        <w:keepLines/>
        <w:numPr>
          <w:ilvl w:val="0"/>
          <w:numId w:val="28"/>
        </w:numPr>
        <w:bidi/>
        <w:spacing w:after="360"/>
        <w:rPr>
          <w:rFonts w:ascii="Arabic Typesetting" w:hAnsi="Arabic Typesetting" w:cs="Arabic Typesetting"/>
          <w:sz w:val="40"/>
          <w:szCs w:val="40"/>
          <w:lang w:bidi="ar-EG"/>
        </w:rPr>
      </w:pPr>
      <w:bookmarkStart w:id="26" w:name="_Toc361774227"/>
      <w:r w:rsidRPr="005D619C">
        <w:rPr>
          <w:rFonts w:ascii="Arabic Typesetting" w:hAnsi="Arabic Typesetting" w:cs="Arabic Typesetting"/>
          <w:sz w:val="40"/>
          <w:szCs w:val="40"/>
          <w:rtl/>
          <w:lang w:bidi="ar-EG"/>
        </w:rPr>
        <w:t>موارد الرقابة الداخلية</w:t>
      </w:r>
      <w:bookmarkEnd w:id="26"/>
      <w:r w:rsidRPr="005D619C">
        <w:rPr>
          <w:rFonts w:ascii="Arabic Typesetting" w:hAnsi="Arabic Typesetting" w:cs="Arabic Typesetting"/>
          <w:sz w:val="40"/>
          <w:szCs w:val="40"/>
          <w:lang w:bidi="ar-EG"/>
        </w:rPr>
        <w:t xml:space="preserve"> </w:t>
      </w:r>
    </w:p>
    <w:p w:rsidR="00167916" w:rsidRPr="005D619C" w:rsidRDefault="00167916" w:rsidP="00507219">
      <w:pPr>
        <w:pStyle w:val="NumberedParaAR"/>
      </w:pPr>
      <w:r w:rsidRPr="005D619C">
        <w:rPr>
          <w:rtl/>
          <w:lang w:bidi="ar-EG"/>
        </w:rPr>
        <w:t>يطلب ميثاق الرقابة الداخلية من مدير شعبة التدقيق الداخلي والرقابة الإدارية، على وجه التحديد، التعليق على كفاية الموارد المخصصة للرقابة الداخلية داخل المنظمة.</w:t>
      </w:r>
    </w:p>
    <w:p w:rsidR="00167916" w:rsidRPr="00507219" w:rsidRDefault="00507219" w:rsidP="00507219">
      <w:pPr>
        <w:pStyle w:val="Heading2"/>
        <w:bidi/>
        <w:spacing w:after="240"/>
        <w:ind w:left="567"/>
        <w:rPr>
          <w:rFonts w:ascii="Arabic Typesetting" w:hAnsi="Arabic Typesetting" w:cs="Arabic Typesetting"/>
          <w:sz w:val="40"/>
          <w:szCs w:val="40"/>
          <w:lang w:bidi="ar-EG"/>
        </w:rPr>
      </w:pPr>
      <w:bookmarkStart w:id="27" w:name="_Toc361774228"/>
      <w:r>
        <w:rPr>
          <w:rFonts w:ascii="Arabic Typesetting" w:hAnsi="Arabic Typesetting" w:cs="Arabic Typesetting"/>
          <w:b/>
          <w:bCs w:val="0"/>
          <w:i/>
          <w:iCs w:val="0"/>
          <w:sz w:val="40"/>
          <w:szCs w:val="40"/>
          <w:rtl/>
          <w:lang w:bidi="ar-EG"/>
        </w:rPr>
        <w:t>ألف.</w:t>
      </w:r>
      <w:r>
        <w:rPr>
          <w:rFonts w:ascii="Arabic Typesetting" w:hAnsi="Arabic Typesetting" w:cs="Arabic Typesetting" w:hint="cs"/>
          <w:b/>
          <w:bCs w:val="0"/>
          <w:i/>
          <w:iCs w:val="0"/>
          <w:sz w:val="40"/>
          <w:szCs w:val="40"/>
          <w:rtl/>
          <w:lang w:bidi="ar-EG"/>
        </w:rPr>
        <w:tab/>
      </w:r>
      <w:r w:rsidR="00167916" w:rsidRPr="001D78EA">
        <w:rPr>
          <w:rFonts w:ascii="Arabic Typesetting" w:hAnsi="Arabic Typesetting" w:cs="Arabic Typesetting"/>
          <w:b/>
          <w:bCs w:val="0"/>
          <w:i/>
          <w:iCs w:val="0"/>
          <w:sz w:val="40"/>
          <w:szCs w:val="40"/>
          <w:rtl/>
          <w:lang w:bidi="ar-EG"/>
        </w:rPr>
        <w:t>الميزانية والموظفون</w:t>
      </w:r>
      <w:bookmarkEnd w:id="27"/>
    </w:p>
    <w:p w:rsidR="00167916" w:rsidRPr="005D619C" w:rsidRDefault="00167916" w:rsidP="00507219">
      <w:pPr>
        <w:pStyle w:val="NumberedParaAR"/>
      </w:pPr>
      <w:r w:rsidRPr="005D619C">
        <w:rPr>
          <w:rtl/>
          <w:lang w:bidi="ar-EG"/>
        </w:rPr>
        <w:t xml:space="preserve">مقارنة بفترة السنتين الماضية، اتسمت أعداد موظفي شعبة التدقيق الداخلي والرقابة الإدارية بالثبات وزادت الموارد من غير الموظفين بنسبة 11 </w:t>
      </w:r>
      <w:r w:rsidR="00507219">
        <w:rPr>
          <w:rFonts w:hint="cs"/>
          <w:rtl/>
          <w:lang w:bidi="ar-EG"/>
        </w:rPr>
        <w:t>ب</w:t>
      </w:r>
      <w:r w:rsidRPr="005D619C">
        <w:rPr>
          <w:rtl/>
          <w:lang w:bidi="ar-EG"/>
        </w:rPr>
        <w:t>المائة.</w:t>
      </w:r>
      <w:r>
        <w:rPr>
          <w:rtl/>
        </w:rPr>
        <w:t xml:space="preserve"> </w:t>
      </w:r>
      <w:r w:rsidRPr="005D619C">
        <w:rPr>
          <w:rtl/>
          <w:lang w:bidi="ar-EG"/>
        </w:rPr>
        <w:t>وكانت المسائل المتعلقة بالتوظيف تمثل تحديا لإدخال الرقابة الداخلية في الويبو على نحو يتسم بالملاءمة والفعالية لفترة زمنية طويلة؛ ولم يكن الأمر كذلك أثناء فترة التقرير.</w:t>
      </w:r>
      <w:r>
        <w:rPr>
          <w:rtl/>
        </w:rPr>
        <w:t xml:space="preserve"> </w:t>
      </w:r>
      <w:r w:rsidRPr="005D619C">
        <w:rPr>
          <w:rtl/>
          <w:lang w:bidi="ar-EG"/>
        </w:rPr>
        <w:t>ولدى الشعبة الآن 11 موظفا</w:t>
      </w:r>
      <w:r>
        <w:rPr>
          <w:rtl/>
          <w:lang w:bidi="ar-EG"/>
        </w:rPr>
        <w:t xml:space="preserve"> </w:t>
      </w:r>
      <w:r w:rsidRPr="005D619C">
        <w:rPr>
          <w:rtl/>
          <w:lang w:bidi="ar-EG"/>
        </w:rPr>
        <w:t>لسنتي 2012 و2013</w:t>
      </w:r>
      <w:r w:rsidRPr="00507219">
        <w:rPr>
          <w:rStyle w:val="FootnoteReference"/>
          <w:rFonts w:cs="Arabic Typesetting"/>
          <w:rtl/>
          <w:lang w:bidi="ar-EG"/>
        </w:rPr>
        <w:footnoteReference w:id="13"/>
      </w:r>
      <w:r>
        <w:rPr>
          <w:rtl/>
          <w:lang w:bidi="ar-EG"/>
        </w:rPr>
        <w:t>.</w:t>
      </w:r>
      <w:r>
        <w:rPr>
          <w:rtl/>
        </w:rPr>
        <w:t xml:space="preserve"> </w:t>
      </w:r>
      <w:r w:rsidRPr="005D619C">
        <w:rPr>
          <w:rtl/>
          <w:lang w:bidi="ar-EG"/>
        </w:rPr>
        <w:t>وفي حين تمثل ميزانية وموظفو شعبة التدقيق الداخلي والرقابة الإدارية 0</w:t>
      </w:r>
      <w:r w:rsidR="00507219">
        <w:rPr>
          <w:rFonts w:hint="cs"/>
          <w:rtl/>
          <w:lang w:bidi="ar-EG"/>
        </w:rPr>
        <w:t>,</w:t>
      </w:r>
      <w:r w:rsidRPr="005D619C">
        <w:rPr>
          <w:rtl/>
          <w:lang w:bidi="ar-EG"/>
        </w:rPr>
        <w:t>75</w:t>
      </w:r>
      <w:r w:rsidR="00507219">
        <w:rPr>
          <w:rFonts w:hint="cs"/>
          <w:rtl/>
          <w:lang w:bidi="ar-EG"/>
        </w:rPr>
        <w:t xml:space="preserve"> بالمائة</w:t>
      </w:r>
      <w:r w:rsidRPr="005D619C">
        <w:rPr>
          <w:rtl/>
          <w:lang w:bidi="ar-EG"/>
        </w:rPr>
        <w:t xml:space="preserve"> و0</w:t>
      </w:r>
      <w:r w:rsidR="00507219">
        <w:rPr>
          <w:rFonts w:hint="cs"/>
          <w:rtl/>
          <w:lang w:bidi="ar-EG"/>
        </w:rPr>
        <w:t>,</w:t>
      </w:r>
      <w:r w:rsidRPr="005D619C">
        <w:rPr>
          <w:rtl/>
          <w:lang w:bidi="ar-EG"/>
        </w:rPr>
        <w:t>9</w:t>
      </w:r>
      <w:r w:rsidR="00507219">
        <w:rPr>
          <w:rFonts w:hint="cs"/>
          <w:rtl/>
          <w:lang w:bidi="ar-EG"/>
        </w:rPr>
        <w:t xml:space="preserve"> بالمائة</w:t>
      </w:r>
      <w:r w:rsidRPr="005D619C">
        <w:rPr>
          <w:rtl/>
          <w:lang w:bidi="ar-EG"/>
        </w:rPr>
        <w:t xml:space="preserve"> فقط من ميزانية وموظفي الويبو، فإن ذلك يضع الويبو في المركز المتوسط لمنظمات الأمم المتحدة الأخرى</w:t>
      </w:r>
      <w:r w:rsidRPr="00507219">
        <w:rPr>
          <w:rStyle w:val="FootnoteReference"/>
          <w:rFonts w:cs="Arabic Typesetting"/>
          <w:rtl/>
          <w:lang w:bidi="ar-EG"/>
        </w:rPr>
        <w:footnoteReference w:id="14"/>
      </w:r>
      <w:r w:rsidRPr="005D619C">
        <w:rPr>
          <w:rtl/>
          <w:lang w:bidi="ar-EG"/>
        </w:rPr>
        <w:t>.</w:t>
      </w:r>
      <w:r>
        <w:rPr>
          <w:rtl/>
        </w:rPr>
        <w:t xml:space="preserve"> </w:t>
      </w:r>
    </w:p>
    <w:p w:rsidR="00167916" w:rsidRPr="005D619C" w:rsidRDefault="00167916" w:rsidP="00E85843">
      <w:pPr>
        <w:pStyle w:val="NumberedParaAR"/>
      </w:pPr>
      <w:r w:rsidRPr="005D619C">
        <w:rPr>
          <w:rtl/>
          <w:lang w:bidi="ar-EG"/>
        </w:rPr>
        <w:t>وقد انضم اثنان من الموظفين أثناء فترة التقرير، رئيس قسم التحقيقات، ومراجع حسابات معيّن مؤقتا.</w:t>
      </w:r>
      <w:r>
        <w:rPr>
          <w:rtl/>
        </w:rPr>
        <w:t xml:space="preserve"> </w:t>
      </w:r>
      <w:r w:rsidRPr="005D619C">
        <w:rPr>
          <w:rtl/>
          <w:lang w:bidi="ar-EG"/>
        </w:rPr>
        <w:t>وفي وقت كتابة هذا التقرير، ثمة وظيفة شاغرة لمحقق مؤقت.</w:t>
      </w:r>
      <w:r>
        <w:rPr>
          <w:rtl/>
        </w:rPr>
        <w:t xml:space="preserve"> </w:t>
      </w:r>
      <w:r w:rsidRPr="005D619C">
        <w:rPr>
          <w:rtl/>
          <w:lang w:bidi="ar-EG"/>
        </w:rPr>
        <w:t>وبمساعدة إدارة الموارد البشرية، وبعد إعلانين غير ناجحين عن الوظيفة الشاغرة، تتوقع الشعبة أن يتم التوظيف قبل نهاية السنة.</w:t>
      </w:r>
    </w:p>
    <w:p w:rsidR="00167916" w:rsidRPr="005D619C" w:rsidRDefault="00167916" w:rsidP="00E85843">
      <w:pPr>
        <w:pStyle w:val="NumberedParaAR"/>
      </w:pPr>
      <w:r w:rsidRPr="005D619C">
        <w:rPr>
          <w:rtl/>
          <w:lang w:bidi="ar-EG"/>
        </w:rPr>
        <w:t>ولا يزال الشاغل الأكبر يتمثل في الانتقال من بنية يخدم فيها الموظفون ضمن الشعبة خدمة مؤقتة إلى بنية تعمل فيها الأغلبية في مناصب ثابتة.</w:t>
      </w:r>
      <w:r>
        <w:rPr>
          <w:rtl/>
        </w:rPr>
        <w:t xml:space="preserve"> </w:t>
      </w:r>
      <w:r w:rsidRPr="005D619C">
        <w:rPr>
          <w:rtl/>
          <w:lang w:bidi="ar-EG"/>
        </w:rPr>
        <w:t>فسوف يساعد هذا شعبة التدقيق الداخلي والرقابة الإدارية في الاقتراب أكثر من قواعد ومعايير أنشطة الرقابة الداخلية المعمول بها في الأمم المتحدة، وضمان استمرار الشعبة في أداء وظائف الرقابة بفعالية واستقلال وفقا للمهمة الموكلة إليها.</w:t>
      </w:r>
    </w:p>
    <w:p w:rsidR="00167916" w:rsidRPr="005D619C" w:rsidRDefault="00167916" w:rsidP="0018104B">
      <w:pPr>
        <w:pStyle w:val="Caption"/>
        <w:keepNext/>
        <w:bidi/>
        <w:spacing w:after="120"/>
        <w:jc w:val="center"/>
        <w:rPr>
          <w:rFonts w:ascii="Arabic Typesetting" w:hAnsi="Arabic Typesetting" w:cs="Arabic Typesetting"/>
          <w:bCs w:val="0"/>
          <w:sz w:val="36"/>
          <w:szCs w:val="36"/>
          <w:rtl/>
          <w:lang w:bidi="ar-EG"/>
        </w:rPr>
      </w:pPr>
      <w:r w:rsidRPr="005D619C">
        <w:rPr>
          <w:rFonts w:ascii="Arabic Typesetting" w:hAnsi="Arabic Typesetting" w:cs="Arabic Typesetting"/>
          <w:sz w:val="36"/>
          <w:szCs w:val="36"/>
          <w:rtl/>
          <w:lang w:bidi="ar-EG"/>
        </w:rPr>
        <w:lastRenderedPageBreak/>
        <w:t>الجدول 4 – ميزانية شعبة التدقيق الداخلي والرقابة الإدارية ونفقاتها</w:t>
      </w:r>
      <w:r w:rsidRPr="00E85843">
        <w:rPr>
          <w:rStyle w:val="FootnoteReference"/>
          <w:rFonts w:cs="Arabic Typesetting"/>
          <w:szCs w:val="36"/>
          <w:rtl/>
          <w:lang w:bidi="ar-EG"/>
        </w:rPr>
        <w:footnoteReference w:id="15"/>
      </w:r>
      <w:r w:rsidRPr="005D619C">
        <w:rPr>
          <w:rFonts w:ascii="Arabic Typesetting" w:hAnsi="Arabic Typesetting" w:cs="Arabic Typesetting"/>
          <w:sz w:val="36"/>
          <w:szCs w:val="36"/>
          <w:rtl/>
          <w:lang w:bidi="ar-EG"/>
        </w:rPr>
        <w:t xml:space="preserve"> في سنة 2012 بعد التحويلات</w:t>
      </w:r>
    </w:p>
    <w:tbl>
      <w:tblPr>
        <w:bidiVisual/>
        <w:tblW w:w="7882" w:type="dxa"/>
        <w:jc w:val="center"/>
        <w:tblLayout w:type="fixed"/>
        <w:tblLook w:val="00A0" w:firstRow="1" w:lastRow="0" w:firstColumn="1" w:lastColumn="0" w:noHBand="0" w:noVBand="0"/>
      </w:tblPr>
      <w:tblGrid>
        <w:gridCol w:w="1351"/>
        <w:gridCol w:w="3383"/>
        <w:gridCol w:w="1837"/>
        <w:gridCol w:w="1311"/>
      </w:tblGrid>
      <w:tr w:rsidR="00167916" w:rsidRPr="005D619C" w:rsidTr="001D78EA">
        <w:trPr>
          <w:jc w:val="center"/>
        </w:trPr>
        <w:tc>
          <w:tcPr>
            <w:tcW w:w="1351" w:type="dxa"/>
            <w:tcBorders>
              <w:top w:val="single" w:sz="8" w:space="0" w:color="auto"/>
              <w:left w:val="nil"/>
              <w:bottom w:val="single" w:sz="4" w:space="0" w:color="auto"/>
              <w:right w:val="nil"/>
            </w:tcBorders>
            <w:noWrap/>
            <w:vAlign w:val="bottom"/>
          </w:tcPr>
          <w:p w:rsidR="00167916" w:rsidRPr="005D619C" w:rsidRDefault="00167916" w:rsidP="00ED43B9">
            <w:pPr>
              <w:keepNext/>
              <w:jc w:val="center"/>
              <w:rPr>
                <w:rFonts w:ascii="Arabic Typesetting" w:hAnsi="Arabic Typesetting" w:cs="Arabic Typesetting"/>
                <w:sz w:val="36"/>
                <w:szCs w:val="36"/>
                <w:rtl/>
                <w:lang w:bidi="ar-EG"/>
              </w:rPr>
            </w:pPr>
            <w:r w:rsidRPr="005D619C">
              <w:rPr>
                <w:rFonts w:ascii="Arabic Typesetting" w:hAnsi="Arabic Typesetting" w:cs="Arabic Typesetting"/>
                <w:b/>
                <w:sz w:val="36"/>
                <w:szCs w:val="36"/>
              </w:rPr>
              <w:t> </w:t>
            </w:r>
          </w:p>
        </w:tc>
        <w:tc>
          <w:tcPr>
            <w:tcW w:w="3383" w:type="dxa"/>
            <w:tcBorders>
              <w:top w:val="single" w:sz="8" w:space="0" w:color="auto"/>
              <w:left w:val="nil"/>
              <w:bottom w:val="single" w:sz="4" w:space="0" w:color="auto"/>
              <w:right w:val="nil"/>
            </w:tcBorders>
            <w:shd w:val="clear" w:color="auto" w:fill="BFBFBF"/>
            <w:vAlign w:val="center"/>
          </w:tcPr>
          <w:p w:rsidR="00167916" w:rsidRPr="005D619C" w:rsidRDefault="00167916" w:rsidP="00ED43B9">
            <w:pPr>
              <w:keepNext/>
              <w:bidi/>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الميزانية بعد التحويلات للفترة 2012-2013</w:t>
            </w:r>
          </w:p>
        </w:tc>
        <w:tc>
          <w:tcPr>
            <w:tcW w:w="1837" w:type="dxa"/>
            <w:tcBorders>
              <w:top w:val="single" w:sz="8" w:space="0" w:color="auto"/>
              <w:left w:val="nil"/>
              <w:bottom w:val="single" w:sz="4" w:space="0" w:color="auto"/>
              <w:right w:val="nil"/>
            </w:tcBorders>
            <w:shd w:val="clear" w:color="auto" w:fill="BFBFBF"/>
            <w:vAlign w:val="center"/>
          </w:tcPr>
          <w:p w:rsidR="00167916" w:rsidRPr="005D619C" w:rsidRDefault="00167916" w:rsidP="00ED43B9">
            <w:pPr>
              <w:keepNext/>
              <w:bidi/>
              <w:jc w:val="center"/>
              <w:rPr>
                <w:rFonts w:ascii="Arabic Typesetting" w:hAnsi="Arabic Typesetting" w:cs="Arabic Typesetting"/>
                <w:sz w:val="36"/>
                <w:szCs w:val="36"/>
                <w:rtl/>
                <w:lang w:bidi="ar-EG"/>
              </w:rPr>
            </w:pPr>
            <w:r w:rsidRPr="005D619C">
              <w:rPr>
                <w:rFonts w:ascii="Arabic Typesetting" w:hAnsi="Arabic Typesetting" w:cs="Arabic Typesetting"/>
                <w:bCs/>
                <w:sz w:val="36"/>
                <w:szCs w:val="36"/>
                <w:rtl/>
                <w:lang w:bidi="ar-EG"/>
              </w:rPr>
              <w:t>النفقات في سنة 2012</w:t>
            </w:r>
          </w:p>
        </w:tc>
        <w:tc>
          <w:tcPr>
            <w:tcW w:w="1311" w:type="dxa"/>
            <w:tcBorders>
              <w:top w:val="single" w:sz="8" w:space="0" w:color="auto"/>
              <w:left w:val="nil"/>
              <w:bottom w:val="single" w:sz="4" w:space="0" w:color="auto"/>
              <w:right w:val="nil"/>
            </w:tcBorders>
            <w:shd w:val="clear" w:color="auto" w:fill="BFBFBF"/>
            <w:vAlign w:val="center"/>
          </w:tcPr>
          <w:p w:rsidR="00167916" w:rsidRPr="005D619C" w:rsidRDefault="00167916" w:rsidP="00ED43B9">
            <w:pPr>
              <w:keepNext/>
              <w:bidi/>
              <w:jc w:val="center"/>
              <w:rPr>
                <w:rFonts w:ascii="Arabic Typesetting" w:hAnsi="Arabic Typesetting" w:cs="Arabic Typesetting"/>
                <w:sz w:val="36"/>
                <w:szCs w:val="36"/>
                <w:rtl/>
              </w:rPr>
            </w:pPr>
            <w:r w:rsidRPr="005D619C">
              <w:rPr>
                <w:rFonts w:ascii="Arabic Typesetting" w:hAnsi="Arabic Typesetting" w:cs="Arabic Typesetting"/>
                <w:bCs/>
                <w:sz w:val="36"/>
                <w:szCs w:val="36"/>
                <w:rtl/>
                <w:lang w:bidi="ar-EG"/>
              </w:rPr>
              <w:t>نسبة الاستخدام</w:t>
            </w:r>
          </w:p>
        </w:tc>
      </w:tr>
      <w:tr w:rsidR="00167916" w:rsidRPr="005D619C" w:rsidTr="001D78EA">
        <w:trPr>
          <w:jc w:val="center"/>
        </w:trPr>
        <w:tc>
          <w:tcPr>
            <w:tcW w:w="1351" w:type="dxa"/>
            <w:tcBorders>
              <w:top w:val="nil"/>
              <w:left w:val="nil"/>
              <w:bottom w:val="nil"/>
              <w:right w:val="nil"/>
            </w:tcBorders>
            <w:vAlign w:val="center"/>
          </w:tcPr>
          <w:p w:rsidR="00167916" w:rsidRPr="005D619C" w:rsidRDefault="00167916" w:rsidP="00ED43B9">
            <w:pPr>
              <w:keepNext/>
              <w:bidi/>
              <w:rPr>
                <w:rFonts w:ascii="Arabic Typesetting" w:hAnsi="Arabic Typesetting" w:cs="Arabic Typesetting"/>
                <w:sz w:val="36"/>
                <w:szCs w:val="36"/>
                <w:rtl/>
                <w:lang w:bidi="ar-EG"/>
              </w:rPr>
            </w:pPr>
            <w:r w:rsidRPr="005D619C">
              <w:rPr>
                <w:rFonts w:ascii="Arabic Typesetting" w:hAnsi="Arabic Typesetting" w:cs="Arabic Typesetting"/>
                <w:sz w:val="36"/>
                <w:szCs w:val="36"/>
                <w:rtl/>
                <w:lang w:bidi="ar-EG"/>
              </w:rPr>
              <w:t>الموارد البشرية</w:t>
            </w:r>
          </w:p>
        </w:tc>
        <w:tc>
          <w:tcPr>
            <w:tcW w:w="3383" w:type="dxa"/>
            <w:tcBorders>
              <w:top w:val="nil"/>
              <w:left w:val="nil"/>
              <w:bottom w:val="nil"/>
              <w:right w:val="nil"/>
            </w:tcBorders>
            <w:vAlign w:val="center"/>
          </w:tcPr>
          <w:p w:rsidR="00167916" w:rsidRPr="005D619C" w:rsidRDefault="00E85843" w:rsidP="00BD1BF5">
            <w:pPr>
              <w:keepNext/>
              <w:bidi/>
              <w:jc w:val="center"/>
              <w:rPr>
                <w:rFonts w:ascii="Arabic Typesetting" w:hAnsi="Arabic Typesetting" w:cs="Arabic Typesetting"/>
                <w:sz w:val="36"/>
                <w:szCs w:val="36"/>
              </w:rPr>
            </w:pPr>
            <w:r>
              <w:rPr>
                <w:rFonts w:ascii="Arabic Typesetting" w:hAnsi="Arabic Typesetting" w:cs="Arabic Typesetting" w:hint="cs"/>
                <w:sz w:val="36"/>
                <w:szCs w:val="36"/>
                <w:rtl/>
              </w:rPr>
              <w:t>032 4</w:t>
            </w:r>
          </w:p>
        </w:tc>
        <w:tc>
          <w:tcPr>
            <w:tcW w:w="1837" w:type="dxa"/>
            <w:tcBorders>
              <w:top w:val="nil"/>
              <w:left w:val="nil"/>
              <w:bottom w:val="nil"/>
              <w:right w:val="nil"/>
            </w:tcBorders>
            <w:vAlign w:val="center"/>
          </w:tcPr>
          <w:p w:rsidR="00167916" w:rsidRPr="005D619C" w:rsidRDefault="00E85843" w:rsidP="00BD1BF5">
            <w:pPr>
              <w:keepNext/>
              <w:bidi/>
              <w:jc w:val="center"/>
              <w:rPr>
                <w:rFonts w:ascii="Arabic Typesetting" w:hAnsi="Arabic Typesetting" w:cs="Arabic Typesetting"/>
                <w:sz w:val="36"/>
                <w:szCs w:val="36"/>
              </w:rPr>
            </w:pPr>
            <w:r>
              <w:rPr>
                <w:rFonts w:ascii="Arabic Typesetting" w:hAnsi="Arabic Typesetting" w:cs="Arabic Typesetting" w:hint="cs"/>
                <w:sz w:val="36"/>
                <w:szCs w:val="36"/>
                <w:rtl/>
              </w:rPr>
              <w:t>939 1</w:t>
            </w:r>
          </w:p>
        </w:tc>
        <w:tc>
          <w:tcPr>
            <w:tcW w:w="1311" w:type="dxa"/>
            <w:tcBorders>
              <w:top w:val="nil"/>
              <w:left w:val="nil"/>
              <w:bottom w:val="nil"/>
              <w:right w:val="nil"/>
            </w:tcBorders>
            <w:vAlign w:val="center"/>
          </w:tcPr>
          <w:p w:rsidR="00167916" w:rsidRPr="005D619C" w:rsidRDefault="00E85843" w:rsidP="00BD1BF5">
            <w:pPr>
              <w:keepNext/>
              <w:bidi/>
              <w:jc w:val="center"/>
              <w:rPr>
                <w:rFonts w:ascii="Arabic Typesetting" w:hAnsi="Arabic Typesetting" w:cs="Arabic Typesetting"/>
                <w:sz w:val="36"/>
                <w:szCs w:val="36"/>
              </w:rPr>
            </w:pPr>
            <w:r>
              <w:rPr>
                <w:rFonts w:ascii="Arabic Typesetting" w:hAnsi="Arabic Typesetting" w:cs="Arabic Typesetting" w:hint="cs"/>
                <w:sz w:val="36"/>
                <w:szCs w:val="36"/>
                <w:rtl/>
              </w:rPr>
              <w:t>%</w:t>
            </w:r>
            <w:r w:rsidR="00167916" w:rsidRPr="005D619C">
              <w:rPr>
                <w:rFonts w:ascii="Arabic Typesetting" w:hAnsi="Arabic Typesetting" w:cs="Arabic Typesetting"/>
                <w:sz w:val="36"/>
                <w:szCs w:val="36"/>
              </w:rPr>
              <w:t>48</w:t>
            </w:r>
          </w:p>
        </w:tc>
      </w:tr>
      <w:tr w:rsidR="00167916" w:rsidRPr="005D619C" w:rsidTr="001D78EA">
        <w:trPr>
          <w:jc w:val="center"/>
        </w:trPr>
        <w:tc>
          <w:tcPr>
            <w:tcW w:w="1351" w:type="dxa"/>
            <w:tcBorders>
              <w:top w:val="nil"/>
              <w:left w:val="nil"/>
              <w:bottom w:val="nil"/>
              <w:right w:val="nil"/>
            </w:tcBorders>
            <w:vAlign w:val="center"/>
          </w:tcPr>
          <w:p w:rsidR="00167916" w:rsidRPr="005D619C" w:rsidRDefault="00167916" w:rsidP="00ED43B9">
            <w:pPr>
              <w:keepNext/>
              <w:bidi/>
              <w:rPr>
                <w:rFonts w:ascii="Arabic Typesetting" w:hAnsi="Arabic Typesetting" w:cs="Arabic Typesetting"/>
                <w:sz w:val="36"/>
                <w:szCs w:val="36"/>
                <w:rtl/>
                <w:lang w:bidi="ar-EG"/>
              </w:rPr>
            </w:pPr>
            <w:r w:rsidRPr="005D619C">
              <w:rPr>
                <w:rFonts w:ascii="Arabic Typesetting" w:hAnsi="Arabic Typesetting" w:cs="Arabic Typesetting"/>
                <w:sz w:val="36"/>
                <w:szCs w:val="36"/>
                <w:rtl/>
                <w:lang w:bidi="ar-EG"/>
              </w:rPr>
              <w:t>خلاف الموظفين</w:t>
            </w:r>
          </w:p>
        </w:tc>
        <w:tc>
          <w:tcPr>
            <w:tcW w:w="3383" w:type="dxa"/>
            <w:tcBorders>
              <w:top w:val="nil"/>
              <w:left w:val="nil"/>
              <w:bottom w:val="nil"/>
              <w:right w:val="nil"/>
            </w:tcBorders>
            <w:vAlign w:val="center"/>
          </w:tcPr>
          <w:p w:rsidR="00167916" w:rsidRPr="005D619C" w:rsidRDefault="00167916" w:rsidP="00BD1BF5">
            <w:pPr>
              <w:keepNext/>
              <w:bidi/>
              <w:jc w:val="center"/>
              <w:rPr>
                <w:rFonts w:ascii="Arabic Typesetting" w:hAnsi="Arabic Typesetting" w:cs="Arabic Typesetting"/>
                <w:sz w:val="36"/>
                <w:szCs w:val="36"/>
              </w:rPr>
            </w:pPr>
            <w:r w:rsidRPr="005D619C">
              <w:rPr>
                <w:rFonts w:ascii="Arabic Typesetting" w:hAnsi="Arabic Typesetting" w:cs="Arabic Typesetting"/>
                <w:sz w:val="36"/>
                <w:szCs w:val="36"/>
              </w:rPr>
              <w:t>805</w:t>
            </w:r>
          </w:p>
        </w:tc>
        <w:tc>
          <w:tcPr>
            <w:tcW w:w="1837" w:type="dxa"/>
            <w:tcBorders>
              <w:top w:val="nil"/>
              <w:left w:val="nil"/>
              <w:bottom w:val="nil"/>
              <w:right w:val="nil"/>
            </w:tcBorders>
            <w:vAlign w:val="center"/>
          </w:tcPr>
          <w:p w:rsidR="00167916" w:rsidRPr="005D619C" w:rsidRDefault="00167916" w:rsidP="00BD1BF5">
            <w:pPr>
              <w:keepNext/>
              <w:bidi/>
              <w:jc w:val="center"/>
              <w:rPr>
                <w:rFonts w:ascii="Arabic Typesetting" w:hAnsi="Arabic Typesetting" w:cs="Arabic Typesetting"/>
                <w:sz w:val="36"/>
                <w:szCs w:val="36"/>
              </w:rPr>
            </w:pPr>
            <w:r w:rsidRPr="005D619C">
              <w:rPr>
                <w:rFonts w:ascii="Arabic Typesetting" w:hAnsi="Arabic Typesetting" w:cs="Arabic Typesetting"/>
                <w:sz w:val="36"/>
                <w:szCs w:val="36"/>
              </w:rPr>
              <w:t>367</w:t>
            </w:r>
          </w:p>
        </w:tc>
        <w:tc>
          <w:tcPr>
            <w:tcW w:w="1311" w:type="dxa"/>
            <w:tcBorders>
              <w:top w:val="nil"/>
              <w:left w:val="nil"/>
              <w:bottom w:val="nil"/>
              <w:right w:val="nil"/>
            </w:tcBorders>
            <w:vAlign w:val="center"/>
          </w:tcPr>
          <w:p w:rsidR="00167916" w:rsidRPr="005D619C" w:rsidRDefault="00E85843" w:rsidP="00BD1BF5">
            <w:pPr>
              <w:keepNext/>
              <w:bidi/>
              <w:jc w:val="center"/>
              <w:rPr>
                <w:rFonts w:ascii="Arabic Typesetting" w:hAnsi="Arabic Typesetting" w:cs="Arabic Typesetting"/>
                <w:sz w:val="36"/>
                <w:szCs w:val="36"/>
              </w:rPr>
            </w:pPr>
            <w:r>
              <w:rPr>
                <w:rFonts w:ascii="Arabic Typesetting" w:hAnsi="Arabic Typesetting" w:cs="Arabic Typesetting" w:hint="cs"/>
                <w:sz w:val="36"/>
                <w:szCs w:val="36"/>
                <w:rtl/>
              </w:rPr>
              <w:t>%</w:t>
            </w:r>
            <w:r w:rsidR="00167916" w:rsidRPr="005D619C">
              <w:rPr>
                <w:rFonts w:ascii="Arabic Typesetting" w:hAnsi="Arabic Typesetting" w:cs="Arabic Typesetting"/>
                <w:sz w:val="36"/>
                <w:szCs w:val="36"/>
              </w:rPr>
              <w:t>46</w:t>
            </w:r>
          </w:p>
        </w:tc>
      </w:tr>
      <w:tr w:rsidR="00167916" w:rsidRPr="005D619C" w:rsidTr="001D78EA">
        <w:trPr>
          <w:jc w:val="center"/>
        </w:trPr>
        <w:tc>
          <w:tcPr>
            <w:tcW w:w="1351" w:type="dxa"/>
            <w:tcBorders>
              <w:top w:val="nil"/>
              <w:left w:val="nil"/>
              <w:bottom w:val="single" w:sz="8" w:space="0" w:color="auto"/>
              <w:right w:val="nil"/>
            </w:tcBorders>
            <w:vAlign w:val="center"/>
          </w:tcPr>
          <w:p w:rsidR="00167916" w:rsidRPr="005D619C" w:rsidRDefault="00167916" w:rsidP="00ED43B9">
            <w:pPr>
              <w:keepNext/>
              <w:bidi/>
              <w:rPr>
                <w:rFonts w:ascii="Arabic Typesetting" w:hAnsi="Arabic Typesetting" w:cs="Arabic Typesetting"/>
                <w:sz w:val="36"/>
                <w:szCs w:val="36"/>
                <w:rtl/>
                <w:lang w:bidi="ar-EG"/>
              </w:rPr>
            </w:pPr>
            <w:r w:rsidRPr="005D619C">
              <w:rPr>
                <w:rFonts w:ascii="Arabic Typesetting" w:hAnsi="Arabic Typesetting" w:cs="Arabic Typesetting"/>
                <w:sz w:val="36"/>
                <w:szCs w:val="36"/>
                <w:rtl/>
                <w:lang w:bidi="ar-EG"/>
              </w:rPr>
              <w:t>المجموع</w:t>
            </w:r>
          </w:p>
        </w:tc>
        <w:tc>
          <w:tcPr>
            <w:tcW w:w="3383" w:type="dxa"/>
            <w:tcBorders>
              <w:top w:val="nil"/>
              <w:left w:val="nil"/>
              <w:bottom w:val="single" w:sz="8" w:space="0" w:color="auto"/>
              <w:right w:val="nil"/>
            </w:tcBorders>
            <w:vAlign w:val="center"/>
          </w:tcPr>
          <w:p w:rsidR="00167916" w:rsidRPr="005D619C" w:rsidRDefault="00E85843" w:rsidP="00BD1BF5">
            <w:pPr>
              <w:keepNext/>
              <w:bidi/>
              <w:jc w:val="center"/>
              <w:rPr>
                <w:rFonts w:ascii="Arabic Typesetting" w:hAnsi="Arabic Typesetting" w:cs="Arabic Typesetting"/>
                <w:sz w:val="36"/>
                <w:szCs w:val="36"/>
              </w:rPr>
            </w:pPr>
            <w:r>
              <w:rPr>
                <w:rFonts w:ascii="Arabic Typesetting" w:hAnsi="Arabic Typesetting" w:cs="Arabic Typesetting" w:hint="cs"/>
                <w:sz w:val="36"/>
                <w:szCs w:val="36"/>
                <w:rtl/>
              </w:rPr>
              <w:t>837 4</w:t>
            </w:r>
          </w:p>
        </w:tc>
        <w:tc>
          <w:tcPr>
            <w:tcW w:w="1837" w:type="dxa"/>
            <w:tcBorders>
              <w:top w:val="nil"/>
              <w:left w:val="nil"/>
              <w:bottom w:val="single" w:sz="8" w:space="0" w:color="auto"/>
              <w:right w:val="nil"/>
            </w:tcBorders>
            <w:vAlign w:val="center"/>
          </w:tcPr>
          <w:p w:rsidR="00167916" w:rsidRPr="005D619C" w:rsidRDefault="00E85843" w:rsidP="00BD1BF5">
            <w:pPr>
              <w:keepNext/>
              <w:bidi/>
              <w:jc w:val="center"/>
              <w:rPr>
                <w:rFonts w:ascii="Arabic Typesetting" w:hAnsi="Arabic Typesetting" w:cs="Arabic Typesetting"/>
                <w:sz w:val="36"/>
                <w:szCs w:val="36"/>
              </w:rPr>
            </w:pPr>
            <w:r>
              <w:rPr>
                <w:rFonts w:ascii="Arabic Typesetting" w:hAnsi="Arabic Typesetting" w:cs="Arabic Typesetting" w:hint="cs"/>
                <w:sz w:val="36"/>
                <w:szCs w:val="36"/>
                <w:rtl/>
              </w:rPr>
              <w:t>306 2</w:t>
            </w:r>
          </w:p>
        </w:tc>
        <w:tc>
          <w:tcPr>
            <w:tcW w:w="1311" w:type="dxa"/>
            <w:tcBorders>
              <w:top w:val="nil"/>
              <w:left w:val="nil"/>
              <w:bottom w:val="single" w:sz="8" w:space="0" w:color="auto"/>
              <w:right w:val="nil"/>
            </w:tcBorders>
            <w:vAlign w:val="center"/>
          </w:tcPr>
          <w:p w:rsidR="00167916" w:rsidRPr="005D619C" w:rsidRDefault="00E85843" w:rsidP="00BD1BF5">
            <w:pPr>
              <w:keepNext/>
              <w:bidi/>
              <w:jc w:val="center"/>
              <w:rPr>
                <w:rFonts w:ascii="Arabic Typesetting" w:hAnsi="Arabic Typesetting" w:cs="Arabic Typesetting"/>
                <w:sz w:val="36"/>
                <w:szCs w:val="36"/>
              </w:rPr>
            </w:pPr>
            <w:r>
              <w:rPr>
                <w:rFonts w:ascii="Arabic Typesetting" w:hAnsi="Arabic Typesetting" w:cs="Arabic Typesetting" w:hint="cs"/>
                <w:sz w:val="36"/>
                <w:szCs w:val="36"/>
                <w:rtl/>
              </w:rPr>
              <w:t>%</w:t>
            </w:r>
            <w:r w:rsidR="00167916" w:rsidRPr="005D619C">
              <w:rPr>
                <w:rFonts w:ascii="Arabic Typesetting" w:hAnsi="Arabic Typesetting" w:cs="Arabic Typesetting"/>
                <w:sz w:val="36"/>
                <w:szCs w:val="36"/>
              </w:rPr>
              <w:t>48</w:t>
            </w:r>
          </w:p>
        </w:tc>
      </w:tr>
    </w:tbl>
    <w:p w:rsidR="00167916" w:rsidRPr="005D619C" w:rsidRDefault="00167916" w:rsidP="00E85843">
      <w:pPr>
        <w:pStyle w:val="NumberedParaAR"/>
        <w:spacing w:before="240"/>
      </w:pPr>
      <w:r w:rsidRPr="005D619C">
        <w:rPr>
          <w:rtl/>
          <w:lang w:bidi="ar-EG"/>
        </w:rPr>
        <w:t>وأثناء فترة التقرير، تم التعاقد مع خبراء للاستعانة بهم في أنشطة رقابية مختلفة.</w:t>
      </w:r>
      <w:r>
        <w:rPr>
          <w:rtl/>
          <w:lang w:val="en-GB"/>
        </w:rPr>
        <w:t xml:space="preserve"> </w:t>
      </w:r>
      <w:r w:rsidRPr="005D619C">
        <w:rPr>
          <w:rtl/>
          <w:lang w:bidi="ar-EG"/>
        </w:rPr>
        <w:t>وكان لهذا قيمة كبيرة خصوصا في العمل المتعلق بالتقييمات.</w:t>
      </w:r>
      <w:r>
        <w:rPr>
          <w:rtl/>
          <w:lang w:val="en-GB"/>
        </w:rPr>
        <w:t xml:space="preserve"> </w:t>
      </w:r>
      <w:r w:rsidRPr="005D619C">
        <w:rPr>
          <w:rtl/>
          <w:lang w:bidi="ar-EG"/>
        </w:rPr>
        <w:t>ومن المخطط أن تستمر الاستعانة بالخبراء والمتعاقدين في السنوات المقبلة لكي تتمكن شعبة التدقيق الداخلي والرقابة الإدارية من أن توسع خبرتها في أنشطة الرقابة المختلفة.</w:t>
      </w:r>
    </w:p>
    <w:p w:rsidR="00167916" w:rsidRPr="001D78EA" w:rsidRDefault="00E85843" w:rsidP="001D78EA">
      <w:pPr>
        <w:pStyle w:val="Heading2"/>
        <w:keepLines/>
        <w:bidi/>
        <w:spacing w:after="240"/>
        <w:ind w:left="567"/>
        <w:rPr>
          <w:rFonts w:ascii="Arabic Typesetting" w:hAnsi="Arabic Typesetting" w:cs="Arabic Typesetting"/>
          <w:b/>
          <w:bCs w:val="0"/>
          <w:i/>
          <w:iCs w:val="0"/>
          <w:sz w:val="40"/>
          <w:szCs w:val="40"/>
          <w:rtl/>
          <w:lang w:bidi="ar-EG"/>
        </w:rPr>
      </w:pPr>
      <w:bookmarkStart w:id="28" w:name="_Toc361774229"/>
      <w:r>
        <w:rPr>
          <w:rFonts w:ascii="Arabic Typesetting" w:hAnsi="Arabic Typesetting" w:cs="Arabic Typesetting"/>
          <w:b/>
          <w:bCs w:val="0"/>
          <w:i/>
          <w:iCs w:val="0"/>
          <w:sz w:val="40"/>
          <w:szCs w:val="40"/>
          <w:rtl/>
          <w:lang w:bidi="ar-EG"/>
        </w:rPr>
        <w:t>باء.</w:t>
      </w:r>
      <w:r>
        <w:rPr>
          <w:rFonts w:ascii="Arabic Typesetting" w:hAnsi="Arabic Typesetting" w:cs="Arabic Typesetting" w:hint="cs"/>
          <w:b/>
          <w:bCs w:val="0"/>
          <w:i/>
          <w:iCs w:val="0"/>
          <w:sz w:val="40"/>
          <w:szCs w:val="40"/>
          <w:rtl/>
          <w:lang w:bidi="ar-EG"/>
        </w:rPr>
        <w:tab/>
      </w:r>
      <w:r w:rsidR="00167916" w:rsidRPr="001D78EA">
        <w:rPr>
          <w:rFonts w:ascii="Arabic Typesetting" w:hAnsi="Arabic Typesetting" w:cs="Arabic Typesetting"/>
          <w:b/>
          <w:bCs w:val="0"/>
          <w:i/>
          <w:iCs w:val="0"/>
          <w:sz w:val="40"/>
          <w:szCs w:val="40"/>
          <w:rtl/>
          <w:lang w:bidi="ar-EG"/>
        </w:rPr>
        <w:t>التدريب</w:t>
      </w:r>
      <w:bookmarkEnd w:id="28"/>
    </w:p>
    <w:p w:rsidR="00167916" w:rsidRDefault="00167916" w:rsidP="005C77C5">
      <w:pPr>
        <w:pStyle w:val="NumberedParaAR"/>
        <w:rPr>
          <w:lang w:bidi="ar-EG"/>
        </w:rPr>
      </w:pPr>
      <w:r w:rsidRPr="005D619C">
        <w:rPr>
          <w:rtl/>
          <w:lang w:bidi="ar-EG"/>
        </w:rPr>
        <w:t>التدريب شيء أساسي من أجل استمرار التطوير المهني، ووفقا للسياسات التدريبية لشعبة التدقيق الداخلي والرقابة الإدارية، تتأكد الشعبة من أن كلا من موظفيها يملك، ويحسِّن، المعارف والمهارات والقدرات اللازمة لأداء مسؤولياته الفردية، بهدف مواصلة تحسين جودة العمل الرقابي المنجز.</w:t>
      </w:r>
      <w:r>
        <w:rPr>
          <w:rtl/>
          <w:lang w:bidi="ar-EG"/>
        </w:rPr>
        <w:t xml:space="preserve"> </w:t>
      </w:r>
      <w:r w:rsidRPr="005D619C">
        <w:rPr>
          <w:rtl/>
          <w:lang w:bidi="ar-EG"/>
        </w:rPr>
        <w:t>وقد تلقى موظفو الشعبة تدريب</w:t>
      </w:r>
      <w:r>
        <w:rPr>
          <w:rtl/>
          <w:lang w:bidi="ar-EG"/>
        </w:rPr>
        <w:t>ا أثناء فترة التقرير على برنامج ©</w:t>
      </w:r>
      <w:proofErr w:type="spellStart"/>
      <w:r w:rsidR="005C77C5">
        <w:rPr>
          <w:lang w:bidi="ar-EG"/>
        </w:rPr>
        <w:t>TeamMate</w:t>
      </w:r>
      <w:proofErr w:type="spellEnd"/>
      <w:r>
        <w:rPr>
          <w:rtl/>
          <w:lang w:bidi="ar-EG"/>
        </w:rPr>
        <w:t xml:space="preserve"> </w:t>
      </w:r>
      <w:r w:rsidRPr="005D619C">
        <w:rPr>
          <w:rtl/>
          <w:lang w:bidi="ar-EG"/>
        </w:rPr>
        <w:t xml:space="preserve">ونظام </w:t>
      </w:r>
      <w:r>
        <w:rPr>
          <w:rtl/>
          <w:lang w:bidi="ar-EG"/>
        </w:rPr>
        <w:t>©</w:t>
      </w:r>
      <w:proofErr w:type="spellStart"/>
      <w:r w:rsidR="005C77C5">
        <w:rPr>
          <w:lang w:bidi="ar-EG"/>
        </w:rPr>
        <w:t>TeamCentral</w:t>
      </w:r>
      <w:proofErr w:type="spellEnd"/>
      <w:r>
        <w:rPr>
          <w:rtl/>
          <w:lang w:bidi="ar-EG"/>
        </w:rPr>
        <w:t xml:space="preserve"> </w:t>
      </w:r>
      <w:r w:rsidRPr="005D619C">
        <w:rPr>
          <w:rtl/>
          <w:lang w:bidi="ar-EG"/>
        </w:rPr>
        <w:t>ومكافحة الغش واكتشافه وإدارة المخاطر والمعايير المحاسبية الدولية للقطاع العام (</w:t>
      </w:r>
      <w:r w:rsidRPr="005D619C">
        <w:rPr>
          <w:lang w:bidi="ar-EG"/>
        </w:rPr>
        <w:t>IPSAS</w:t>
      </w:r>
      <w:r w:rsidRPr="005D619C">
        <w:rPr>
          <w:rtl/>
          <w:lang w:bidi="ar-EG"/>
        </w:rPr>
        <w:t xml:space="preserve">) وكتابة التقارير وبرنامج </w:t>
      </w:r>
      <w:r>
        <w:rPr>
          <w:rtl/>
          <w:lang w:bidi="ar-EG"/>
        </w:rPr>
        <w:t>©</w:t>
      </w:r>
      <w:r w:rsidR="005C77C5">
        <w:rPr>
          <w:lang w:bidi="ar-EG"/>
        </w:rPr>
        <w:t>PeopleSoft</w:t>
      </w:r>
      <w:r>
        <w:rPr>
          <w:rtl/>
          <w:lang w:bidi="ar-EG"/>
        </w:rPr>
        <w:t>.</w:t>
      </w:r>
    </w:p>
    <w:p w:rsidR="005C77C5" w:rsidRDefault="005C77C5" w:rsidP="00727D92">
      <w:pPr>
        <w:pStyle w:val="EndofDocumentAR"/>
        <w:rPr>
          <w:noProof/>
        </w:rPr>
      </w:pPr>
      <w:r>
        <w:rPr>
          <w:rFonts w:hint="cs"/>
          <w:rtl/>
          <w:lang w:bidi="ar-EG"/>
        </w:rPr>
        <w:t>[تلي ذلك المرفقات]</w:t>
      </w:r>
    </w:p>
    <w:p w:rsidR="00727D92" w:rsidRPr="00727D92" w:rsidRDefault="00727D92" w:rsidP="00727D92">
      <w:pPr>
        <w:pStyle w:val="NormalParaAR"/>
      </w:pPr>
    </w:p>
    <w:p w:rsidR="00727D92" w:rsidRPr="00727D92" w:rsidRDefault="00727D92" w:rsidP="00727D92">
      <w:pPr>
        <w:pStyle w:val="NormalParaAR"/>
        <w:rPr>
          <w:rtl/>
        </w:rPr>
        <w:sectPr w:rsidR="00727D92" w:rsidRPr="00727D92" w:rsidSect="00727D92">
          <w:headerReference w:type="defaul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1F13C5" w:rsidRDefault="00167916" w:rsidP="001F13C5">
      <w:pPr>
        <w:bidi/>
        <w:spacing w:line="360" w:lineRule="exact"/>
        <w:jc w:val="center"/>
        <w:rPr>
          <w:rFonts w:ascii="Arabic Typesetting" w:hAnsi="Arabic Typesetting" w:cs="Arabic Typesetting"/>
          <w:bCs/>
          <w:sz w:val="36"/>
          <w:szCs w:val="36"/>
          <w:lang w:bidi="ar-EG"/>
        </w:rPr>
      </w:pPr>
      <w:r w:rsidRPr="005D619C">
        <w:rPr>
          <w:rFonts w:ascii="Arabic Typesetting" w:hAnsi="Arabic Typesetting" w:cs="Arabic Typesetting"/>
          <w:bCs/>
          <w:sz w:val="36"/>
          <w:szCs w:val="36"/>
          <w:rtl/>
          <w:lang w:bidi="ar-EG"/>
        </w:rPr>
        <w:lastRenderedPageBreak/>
        <w:t>قائمة تقارير شعبة التدقيق الداخلي والرقابة الإدارية</w:t>
      </w:r>
    </w:p>
    <w:p w:rsidR="00167916" w:rsidRPr="005D619C" w:rsidRDefault="00167916" w:rsidP="001F13C5">
      <w:pPr>
        <w:bidi/>
        <w:spacing w:after="600" w:line="360" w:lineRule="exact"/>
        <w:jc w:val="center"/>
        <w:rPr>
          <w:rFonts w:ascii="Arabic Typesetting" w:hAnsi="Arabic Typesetting" w:cs="Arabic Typesetting"/>
          <w:bCs/>
          <w:sz w:val="36"/>
          <w:szCs w:val="36"/>
          <w:rtl/>
          <w:lang w:bidi="ar-EG"/>
        </w:rPr>
      </w:pPr>
      <w:r w:rsidRPr="005D619C">
        <w:rPr>
          <w:rFonts w:ascii="Arabic Typesetting" w:hAnsi="Arabic Typesetting" w:cs="Arabic Typesetting"/>
          <w:bCs/>
          <w:sz w:val="36"/>
          <w:szCs w:val="36"/>
          <w:rtl/>
          <w:lang w:bidi="ar-EG"/>
        </w:rPr>
        <w:t>من 1 يوليو 2012 إلى 30 يونيو 2013</w:t>
      </w:r>
    </w:p>
    <w:p w:rsidR="00167916" w:rsidRPr="005D619C" w:rsidRDefault="00167916" w:rsidP="001F13C5">
      <w:pPr>
        <w:numPr>
          <w:ilvl w:val="0"/>
          <w:numId w:val="27"/>
        </w:numPr>
        <w:tabs>
          <w:tab w:val="left" w:pos="6820"/>
        </w:tabs>
        <w:bidi/>
        <w:spacing w:after="240" w:line="360" w:lineRule="exact"/>
        <w:ind w:left="714" w:hanging="357"/>
        <w:rPr>
          <w:rFonts w:ascii="Arabic Typesetting" w:hAnsi="Arabic Typesetting" w:cs="Arabic Typesetting"/>
          <w:sz w:val="36"/>
          <w:szCs w:val="36"/>
        </w:rPr>
      </w:pPr>
      <w:r w:rsidRPr="005D619C">
        <w:rPr>
          <w:rFonts w:ascii="Arabic Typesetting" w:hAnsi="Arabic Typesetting" w:cs="Arabic Typesetting"/>
          <w:sz w:val="36"/>
          <w:szCs w:val="36"/>
          <w:rtl/>
          <w:lang w:bidi="ar-EG"/>
        </w:rPr>
        <w:t>التدقيق في عملية توليد الإيرادات بناء على معاهدة التعاون بشأن البراءات</w:t>
      </w:r>
      <w:r w:rsidRPr="005D619C">
        <w:rPr>
          <w:rFonts w:ascii="Arabic Typesetting" w:hAnsi="Arabic Typesetting" w:cs="Arabic Typesetting"/>
          <w:sz w:val="36"/>
          <w:szCs w:val="36"/>
        </w:rPr>
        <w:t xml:space="preserve"> </w:t>
      </w:r>
      <w:r w:rsidRPr="005D619C">
        <w:rPr>
          <w:rFonts w:ascii="Arabic Typesetting" w:hAnsi="Arabic Typesetting" w:cs="Arabic Typesetting"/>
          <w:sz w:val="36"/>
          <w:szCs w:val="36"/>
        </w:rPr>
        <w:tab/>
        <w:t>IA 2012-01</w:t>
      </w:r>
    </w:p>
    <w:p w:rsidR="00167916" w:rsidRPr="005D619C" w:rsidRDefault="00167916" w:rsidP="001F13C5">
      <w:pPr>
        <w:numPr>
          <w:ilvl w:val="0"/>
          <w:numId w:val="27"/>
        </w:numPr>
        <w:tabs>
          <w:tab w:val="left" w:pos="6820"/>
        </w:tabs>
        <w:bidi/>
        <w:spacing w:after="240" w:line="360" w:lineRule="exact"/>
        <w:ind w:left="714" w:hanging="357"/>
        <w:rPr>
          <w:rFonts w:ascii="Arabic Typesetting" w:hAnsi="Arabic Typesetting" w:cs="Arabic Typesetting"/>
          <w:sz w:val="36"/>
          <w:szCs w:val="36"/>
        </w:rPr>
      </w:pPr>
      <w:r w:rsidRPr="005D619C">
        <w:rPr>
          <w:rFonts w:ascii="Arabic Typesetting" w:hAnsi="Arabic Typesetting" w:cs="Arabic Typesetting"/>
          <w:sz w:val="36"/>
          <w:szCs w:val="36"/>
          <w:rtl/>
          <w:lang w:bidi="ar-EG"/>
        </w:rPr>
        <w:t>التدقيق في خدمات المؤتمرات واللغات</w:t>
      </w:r>
      <w:r w:rsidRPr="005D619C">
        <w:rPr>
          <w:rFonts w:ascii="Arabic Typesetting" w:hAnsi="Arabic Typesetting" w:cs="Arabic Typesetting"/>
          <w:sz w:val="36"/>
          <w:szCs w:val="36"/>
        </w:rPr>
        <w:tab/>
        <w:t>IA 2012-02</w:t>
      </w:r>
    </w:p>
    <w:p w:rsidR="00167916" w:rsidRPr="005D619C" w:rsidRDefault="00167916" w:rsidP="001F13C5">
      <w:pPr>
        <w:numPr>
          <w:ilvl w:val="0"/>
          <w:numId w:val="27"/>
        </w:numPr>
        <w:tabs>
          <w:tab w:val="left" w:pos="6820"/>
        </w:tabs>
        <w:bidi/>
        <w:spacing w:after="240" w:line="360" w:lineRule="exact"/>
        <w:ind w:left="714" w:hanging="357"/>
        <w:rPr>
          <w:rFonts w:ascii="Arabic Typesetting" w:hAnsi="Arabic Typesetting" w:cs="Arabic Typesetting"/>
          <w:sz w:val="36"/>
          <w:szCs w:val="36"/>
        </w:rPr>
      </w:pPr>
      <w:r w:rsidRPr="005D619C">
        <w:rPr>
          <w:rFonts w:ascii="Arabic Typesetting" w:hAnsi="Arabic Typesetting" w:cs="Arabic Typesetting"/>
          <w:sz w:val="36"/>
          <w:szCs w:val="36"/>
          <w:rtl/>
          <w:lang w:bidi="ar-EG"/>
        </w:rPr>
        <w:t>التدقيق في دعم الأسفار والمهمات</w:t>
      </w:r>
      <w:r w:rsidRPr="005D619C">
        <w:rPr>
          <w:rFonts w:ascii="Arabic Typesetting" w:hAnsi="Arabic Typesetting" w:cs="Arabic Typesetting"/>
          <w:sz w:val="36"/>
          <w:szCs w:val="36"/>
        </w:rPr>
        <w:t xml:space="preserve"> </w:t>
      </w:r>
      <w:r w:rsidRPr="005D619C">
        <w:rPr>
          <w:rFonts w:ascii="Arabic Typesetting" w:hAnsi="Arabic Typesetting" w:cs="Arabic Typesetting"/>
          <w:sz w:val="36"/>
          <w:szCs w:val="36"/>
        </w:rPr>
        <w:tab/>
        <w:t>IA 2012-03</w:t>
      </w:r>
    </w:p>
    <w:p w:rsidR="00167916" w:rsidRPr="005D619C" w:rsidRDefault="00167916" w:rsidP="001F13C5">
      <w:pPr>
        <w:numPr>
          <w:ilvl w:val="0"/>
          <w:numId w:val="27"/>
        </w:numPr>
        <w:tabs>
          <w:tab w:val="left" w:pos="6820"/>
        </w:tabs>
        <w:bidi/>
        <w:spacing w:after="240" w:line="360" w:lineRule="exact"/>
        <w:ind w:left="714" w:hanging="357"/>
        <w:rPr>
          <w:rFonts w:ascii="Arabic Typesetting" w:hAnsi="Arabic Typesetting" w:cs="Arabic Typesetting"/>
          <w:sz w:val="36"/>
          <w:szCs w:val="36"/>
        </w:rPr>
      </w:pPr>
      <w:r w:rsidRPr="005D619C">
        <w:rPr>
          <w:rFonts w:ascii="Arabic Typesetting" w:hAnsi="Arabic Typesetting" w:cs="Arabic Typesetting"/>
          <w:sz w:val="36"/>
          <w:szCs w:val="36"/>
          <w:rtl/>
          <w:lang w:bidi="ar-EG"/>
        </w:rPr>
        <w:t>التدقيق في عملية الدفع</w:t>
      </w:r>
      <w:r w:rsidRPr="005D619C">
        <w:rPr>
          <w:rFonts w:ascii="Arabic Typesetting" w:hAnsi="Arabic Typesetting" w:cs="Arabic Typesetting"/>
          <w:sz w:val="36"/>
          <w:szCs w:val="36"/>
        </w:rPr>
        <w:tab/>
        <w:t>IA 2012-04</w:t>
      </w:r>
    </w:p>
    <w:p w:rsidR="00167916" w:rsidRPr="005D619C" w:rsidRDefault="00167916" w:rsidP="001F13C5">
      <w:pPr>
        <w:numPr>
          <w:ilvl w:val="0"/>
          <w:numId w:val="27"/>
        </w:numPr>
        <w:tabs>
          <w:tab w:val="left" w:pos="6820"/>
        </w:tabs>
        <w:bidi/>
        <w:spacing w:after="240" w:line="360" w:lineRule="exact"/>
        <w:ind w:left="714" w:hanging="357"/>
        <w:rPr>
          <w:rFonts w:ascii="Arabic Typesetting" w:hAnsi="Arabic Typesetting" w:cs="Arabic Typesetting"/>
          <w:sz w:val="36"/>
          <w:szCs w:val="36"/>
        </w:rPr>
      </w:pPr>
      <w:r w:rsidRPr="005D619C">
        <w:rPr>
          <w:rFonts w:ascii="Arabic Typesetting" w:hAnsi="Arabic Typesetting" w:cs="Arabic Typesetting"/>
          <w:sz w:val="36"/>
          <w:szCs w:val="36"/>
          <w:rtl/>
          <w:lang w:bidi="ar-EG"/>
        </w:rPr>
        <w:t>التدقيق في مشروعات البناء للويبو</w:t>
      </w:r>
      <w:r w:rsidRPr="005D619C">
        <w:rPr>
          <w:rFonts w:ascii="Arabic Typesetting" w:hAnsi="Arabic Typesetting" w:cs="Arabic Typesetting"/>
          <w:sz w:val="36"/>
          <w:szCs w:val="36"/>
        </w:rPr>
        <w:tab/>
        <w:t>IA 2012-06</w:t>
      </w:r>
    </w:p>
    <w:p w:rsidR="001F13C5" w:rsidRDefault="00167916" w:rsidP="001F13C5">
      <w:pPr>
        <w:numPr>
          <w:ilvl w:val="0"/>
          <w:numId w:val="27"/>
        </w:numPr>
        <w:tabs>
          <w:tab w:val="left" w:pos="6820"/>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تقييم مشروع تعزيز</w:t>
      </w:r>
      <w:r>
        <w:rPr>
          <w:rFonts w:ascii="Arabic Typesetting" w:hAnsi="Arabic Typesetting" w:cs="Arabic Typesetting"/>
          <w:sz w:val="36"/>
          <w:szCs w:val="36"/>
          <w:rtl/>
        </w:rPr>
        <w:t xml:space="preserve"> </w:t>
      </w:r>
      <w:r w:rsidRPr="005D619C">
        <w:rPr>
          <w:rFonts w:ascii="Arabic Typesetting" w:hAnsi="Arabic Typesetting" w:cs="Arabic Typesetting"/>
          <w:sz w:val="36"/>
          <w:szCs w:val="36"/>
          <w:rtl/>
          <w:lang w:bidi="ar-EG"/>
        </w:rPr>
        <w:t>قدرات المؤسسات والمستخدمين في مجال الملكية الفكرية</w:t>
      </w:r>
    </w:p>
    <w:p w:rsidR="001F13C5" w:rsidRDefault="001F13C5" w:rsidP="001F13C5">
      <w:pPr>
        <w:tabs>
          <w:tab w:val="left" w:pos="6820"/>
        </w:tabs>
        <w:bidi/>
        <w:spacing w:after="240" w:line="360" w:lineRule="exact"/>
        <w:ind w:left="715"/>
        <w:rPr>
          <w:rFonts w:ascii="Arabic Typesetting" w:hAnsi="Arabic Typesetting" w:cs="Arabic Typesetting"/>
          <w:sz w:val="36"/>
          <w:szCs w:val="36"/>
        </w:rPr>
      </w:pPr>
      <w:r>
        <w:rPr>
          <w:rFonts w:ascii="Arabic Typesetting" w:hAnsi="Arabic Typesetting" w:cs="Arabic Typesetting" w:hint="cs"/>
          <w:sz w:val="36"/>
          <w:szCs w:val="36"/>
          <w:rtl/>
        </w:rPr>
        <w:t xml:space="preserve">على كل </w:t>
      </w:r>
      <w:r w:rsidRPr="005D619C">
        <w:rPr>
          <w:rFonts w:ascii="Arabic Typesetting" w:hAnsi="Arabic Typesetting" w:cs="Arabic Typesetting"/>
          <w:sz w:val="36"/>
          <w:szCs w:val="36"/>
          <w:rtl/>
          <w:lang w:bidi="ar-EG"/>
        </w:rPr>
        <w:t>من الصعيد الوطني ودون الإقليمي والإقليمي</w:t>
      </w:r>
      <w:r>
        <w:rPr>
          <w:rFonts w:ascii="Arabic Typesetting" w:hAnsi="Arabic Typesetting" w:cs="Arabic Typesetting" w:hint="cs"/>
          <w:sz w:val="36"/>
          <w:szCs w:val="36"/>
          <w:rtl/>
          <w:lang w:bidi="ar-EG"/>
        </w:rPr>
        <w:tab/>
      </w:r>
      <w:r w:rsidRPr="005D619C">
        <w:rPr>
          <w:rFonts w:ascii="Arabic Typesetting" w:hAnsi="Arabic Typesetting" w:cs="Arabic Typesetting"/>
          <w:sz w:val="36"/>
          <w:szCs w:val="36"/>
          <w:lang w:bidi="ar-EG"/>
        </w:rPr>
        <w:t>EVAL 2012-08</w:t>
      </w:r>
    </w:p>
    <w:p w:rsidR="00167916" w:rsidRPr="005D619C" w:rsidRDefault="00167916" w:rsidP="001F13C5">
      <w:pPr>
        <w:numPr>
          <w:ilvl w:val="0"/>
          <w:numId w:val="27"/>
        </w:numPr>
        <w:tabs>
          <w:tab w:val="left" w:pos="6820"/>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تقييم مشروع استنباط</w:t>
      </w:r>
      <w:r>
        <w:rPr>
          <w:rFonts w:ascii="Arabic Typesetting" w:hAnsi="Arabic Typesetting" w:cs="Arabic Typesetting"/>
          <w:sz w:val="36"/>
          <w:szCs w:val="36"/>
          <w:rtl/>
          <w:lang w:bidi="ar-EG"/>
        </w:rPr>
        <w:t xml:space="preserve"> </w:t>
      </w:r>
      <w:r w:rsidRPr="005D619C">
        <w:rPr>
          <w:rFonts w:ascii="Arabic Typesetting" w:hAnsi="Arabic Typesetting" w:cs="Arabic Typesetting"/>
          <w:sz w:val="36"/>
          <w:szCs w:val="36"/>
          <w:rtl/>
          <w:lang w:bidi="ar-EG"/>
        </w:rPr>
        <w:t>أدوات جديدة للنفاذ إلى المعلومات</w:t>
      </w:r>
      <w:r>
        <w:rPr>
          <w:rFonts w:ascii="Arabic Typesetting" w:hAnsi="Arabic Typesetting" w:cs="Arabic Typesetting"/>
          <w:sz w:val="36"/>
          <w:szCs w:val="36"/>
          <w:rtl/>
          <w:lang w:bidi="ar-EG"/>
        </w:rPr>
        <w:t xml:space="preserve"> </w:t>
      </w:r>
      <w:r w:rsidRPr="005D619C">
        <w:rPr>
          <w:rFonts w:ascii="Arabic Typesetting" w:hAnsi="Arabic Typesetting" w:cs="Arabic Typesetting"/>
          <w:sz w:val="36"/>
          <w:szCs w:val="36"/>
          <w:rtl/>
          <w:lang w:bidi="ar-EG"/>
        </w:rPr>
        <w:t>المتعلقة بالبراءات</w:t>
      </w:r>
      <w:r>
        <w:rPr>
          <w:rFonts w:ascii="Arabic Typesetting" w:hAnsi="Arabic Typesetting" w:cs="Arabic Typesetting"/>
          <w:sz w:val="36"/>
          <w:szCs w:val="36"/>
          <w:lang w:bidi="ar-EG"/>
        </w:rPr>
        <w:tab/>
      </w:r>
      <w:r w:rsidRPr="005D619C">
        <w:rPr>
          <w:rFonts w:ascii="Arabic Typesetting" w:hAnsi="Arabic Typesetting" w:cs="Arabic Typesetting"/>
          <w:sz w:val="36"/>
          <w:szCs w:val="36"/>
          <w:lang w:bidi="ar-EG"/>
        </w:rPr>
        <w:t>EVAL 2012-09</w:t>
      </w:r>
      <w:r w:rsidRPr="005D619C">
        <w:rPr>
          <w:rFonts w:ascii="Arabic Typesetting" w:hAnsi="Arabic Typesetting" w:cs="Arabic Typesetting"/>
          <w:sz w:val="36"/>
          <w:szCs w:val="36"/>
          <w:rtl/>
          <w:lang w:bidi="ar-EG"/>
        </w:rPr>
        <w:t xml:space="preserve"> </w:t>
      </w:r>
    </w:p>
    <w:p w:rsidR="00167916" w:rsidRPr="005D619C" w:rsidRDefault="00167916" w:rsidP="001F13C5">
      <w:pPr>
        <w:numPr>
          <w:ilvl w:val="0"/>
          <w:numId w:val="27"/>
        </w:numPr>
        <w:tabs>
          <w:tab w:val="left" w:pos="6820"/>
        </w:tabs>
        <w:bidi/>
        <w:spacing w:after="240" w:line="360" w:lineRule="exact"/>
        <w:ind w:left="714" w:hanging="357"/>
        <w:rPr>
          <w:rFonts w:ascii="Arabic Typesetting" w:hAnsi="Arabic Typesetting" w:cs="Arabic Typesetting"/>
          <w:sz w:val="36"/>
          <w:szCs w:val="36"/>
        </w:rPr>
      </w:pPr>
      <w:r w:rsidRPr="005D619C">
        <w:rPr>
          <w:rFonts w:ascii="Arabic Typesetting" w:hAnsi="Arabic Typesetting" w:cs="Arabic Typesetting"/>
          <w:sz w:val="36"/>
          <w:szCs w:val="36"/>
          <w:rtl/>
          <w:lang w:bidi="ar-EG"/>
        </w:rPr>
        <w:t>سجلت 16 دعوى تحقيق.</w:t>
      </w:r>
    </w:p>
    <w:p w:rsidR="00167916" w:rsidRPr="005D619C" w:rsidRDefault="00167916" w:rsidP="001F13C5">
      <w:pPr>
        <w:numPr>
          <w:ilvl w:val="0"/>
          <w:numId w:val="27"/>
        </w:numPr>
        <w:tabs>
          <w:tab w:val="left" w:pos="6820"/>
        </w:tabs>
        <w:bidi/>
        <w:spacing w:after="360" w:line="360" w:lineRule="exact"/>
        <w:ind w:right="3082"/>
        <w:rPr>
          <w:rFonts w:ascii="Arabic Typesetting" w:hAnsi="Arabic Typesetting" w:cs="Arabic Typesetting"/>
          <w:sz w:val="36"/>
          <w:szCs w:val="36"/>
        </w:rPr>
      </w:pPr>
      <w:r w:rsidRPr="005D619C">
        <w:rPr>
          <w:rFonts w:ascii="Arabic Typesetting" w:hAnsi="Arabic Typesetting" w:cs="Arabic Typesetting"/>
          <w:sz w:val="36"/>
          <w:szCs w:val="36"/>
          <w:rtl/>
          <w:lang w:bidi="ar-EG"/>
        </w:rPr>
        <w:t>أقفلت 28 دعوى ت</w:t>
      </w:r>
      <w:r>
        <w:rPr>
          <w:rFonts w:ascii="Arabic Typesetting" w:hAnsi="Arabic Typesetting" w:cs="Arabic Typesetting"/>
          <w:sz w:val="36"/>
          <w:szCs w:val="36"/>
          <w:rtl/>
          <w:lang w:bidi="ar-EG"/>
        </w:rPr>
        <w:t xml:space="preserve">حقيق، تمثل خلال فترة التقرير 21 </w:t>
      </w:r>
      <w:r w:rsidRPr="005D619C">
        <w:rPr>
          <w:rFonts w:ascii="Arabic Typesetting" w:hAnsi="Arabic Typesetting" w:cs="Arabic Typesetting"/>
          <w:sz w:val="36"/>
          <w:szCs w:val="36"/>
          <w:rtl/>
          <w:lang w:bidi="ar-EG"/>
        </w:rPr>
        <w:t>تقرير تقييم أولي، و11 تقرير تحقيق، و4 تقارير تدخل إداري وتقرير خاص واحد.</w:t>
      </w:r>
    </w:p>
    <w:p w:rsidR="00167916" w:rsidRDefault="001F13C5" w:rsidP="0018104B">
      <w:pPr>
        <w:keepLines/>
        <w:bidi/>
        <w:ind w:left="5533"/>
        <w:rPr>
          <w:rFonts w:ascii="Arabic Typesetting" w:hAnsi="Arabic Typesetting" w:cs="Arabic Typesetting"/>
          <w:sz w:val="36"/>
          <w:szCs w:val="36"/>
        </w:rPr>
      </w:pPr>
      <w:r>
        <w:rPr>
          <w:rFonts w:ascii="Arabic Typesetting" w:hAnsi="Arabic Typesetting" w:cs="Arabic Typesetting" w:hint="cs"/>
          <w:sz w:val="36"/>
          <w:szCs w:val="36"/>
          <w:rtl/>
        </w:rPr>
        <w:t xml:space="preserve"> </w:t>
      </w:r>
      <w:r w:rsidR="003F7CCA">
        <w:rPr>
          <w:rFonts w:ascii="Arabic Typesetting" w:hAnsi="Arabic Typesetting" w:cs="Arabic Typesetting" w:hint="cs"/>
          <w:sz w:val="36"/>
          <w:szCs w:val="36"/>
          <w:rtl/>
        </w:rPr>
        <w:t>[يلي ذلك المرفق الثاني]</w:t>
      </w:r>
    </w:p>
    <w:p w:rsidR="00727D92" w:rsidRPr="005D619C" w:rsidRDefault="00727D92" w:rsidP="00727D92">
      <w:pPr>
        <w:keepLines/>
        <w:bidi/>
        <w:ind w:left="5533"/>
        <w:rPr>
          <w:rFonts w:ascii="Arabic Typesetting" w:hAnsi="Arabic Typesetting" w:cs="Arabic Typesetting"/>
          <w:sz w:val="36"/>
          <w:szCs w:val="36"/>
        </w:rPr>
      </w:pPr>
    </w:p>
    <w:p w:rsidR="00167916" w:rsidRPr="005D619C" w:rsidRDefault="00167916" w:rsidP="0018104B">
      <w:pPr>
        <w:keepLines/>
        <w:ind w:left="5533"/>
        <w:rPr>
          <w:rFonts w:ascii="Arabic Typesetting" w:hAnsi="Arabic Typesetting" w:cs="Arabic Typesetting"/>
          <w:sz w:val="36"/>
          <w:szCs w:val="36"/>
        </w:rPr>
        <w:sectPr w:rsidR="00167916" w:rsidRPr="005D619C">
          <w:headerReference w:type="even" r:id="rId13"/>
          <w:headerReference w:type="default" r:id="rId14"/>
          <w:headerReference w:type="first" r:id="rId15"/>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167916" w:rsidRPr="003F7CCA" w:rsidRDefault="00167916" w:rsidP="001F13C5">
      <w:pPr>
        <w:keepLines/>
        <w:bidi/>
        <w:spacing w:after="240" w:line="360" w:lineRule="exact"/>
        <w:jc w:val="center"/>
        <w:rPr>
          <w:rFonts w:ascii="Arabic Typesetting" w:hAnsi="Arabic Typesetting" w:cs="Arabic Typesetting"/>
          <w:bCs/>
          <w:sz w:val="40"/>
          <w:szCs w:val="40"/>
          <w:rtl/>
          <w:lang w:bidi="ar-EG"/>
        </w:rPr>
      </w:pPr>
      <w:r w:rsidRPr="003F7CCA">
        <w:rPr>
          <w:rFonts w:ascii="Arabic Typesetting" w:hAnsi="Arabic Typesetting" w:cs="Arabic Typesetting"/>
          <w:bCs/>
          <w:sz w:val="40"/>
          <w:szCs w:val="40"/>
          <w:rtl/>
          <w:lang w:bidi="ar-EG"/>
        </w:rPr>
        <w:lastRenderedPageBreak/>
        <w:t>إحصاءات التحقيق</w:t>
      </w:r>
    </w:p>
    <w:p w:rsidR="00167916" w:rsidRPr="005D619C" w:rsidRDefault="00167916" w:rsidP="001F13C5">
      <w:pPr>
        <w:pStyle w:val="ONUME"/>
        <w:numPr>
          <w:ilvl w:val="0"/>
          <w:numId w:val="29"/>
        </w:numPr>
        <w:bidi/>
        <w:spacing w:after="240" w:line="360" w:lineRule="exact"/>
        <w:ind w:left="0" w:firstLine="0"/>
        <w:rPr>
          <w:rFonts w:ascii="Arabic Typesetting" w:hAnsi="Arabic Typesetting" w:cs="Arabic Typesetting"/>
          <w:sz w:val="36"/>
          <w:szCs w:val="36"/>
        </w:rPr>
      </w:pPr>
      <w:r w:rsidRPr="005D619C">
        <w:rPr>
          <w:rFonts w:ascii="Arabic Typesetting" w:hAnsi="Arabic Typesetting" w:cs="Arabic Typesetting"/>
          <w:sz w:val="36"/>
          <w:szCs w:val="36"/>
          <w:rtl/>
          <w:lang w:bidi="ar-EG"/>
        </w:rPr>
        <w:t>في الفترة من مارس 2008 (عندما أنشئ قسم التحقيقات) إلى 30 يونيو 2013 (نهاية فترة التقرير)، سجلت شعبة التدقيق الداخلي والرقابة الإدارية ما مجموعه 101 دعوى تحقيق، وأقفلت 70 منها.</w:t>
      </w:r>
      <w:r w:rsidRPr="005D619C">
        <w:rPr>
          <w:rFonts w:ascii="Arabic Typesetting" w:hAnsi="Arabic Typesetting" w:cs="Arabic Typesetting"/>
          <w:sz w:val="36"/>
          <w:szCs w:val="36"/>
        </w:rPr>
        <w:t xml:space="preserve"> </w:t>
      </w:r>
      <w:r w:rsidR="003F7CCA">
        <w:rPr>
          <w:rFonts w:ascii="Arabic Typesetting" w:hAnsi="Arabic Typesetting" w:cs="Arabic Typesetting" w:hint="cs"/>
          <w:sz w:val="36"/>
          <w:szCs w:val="36"/>
          <w:rtl/>
        </w:rPr>
        <w:t>و</w:t>
      </w:r>
      <w:r w:rsidRPr="005D619C">
        <w:rPr>
          <w:rFonts w:ascii="Arabic Typesetting" w:hAnsi="Arabic Typesetting" w:cs="Arabic Typesetting"/>
          <w:sz w:val="36"/>
          <w:szCs w:val="36"/>
          <w:rtl/>
          <w:lang w:bidi="ar-EG"/>
        </w:rPr>
        <w:t>يبين الجدول أدناه نتيجة الدعاوى المقفلة (سواء المدعومة بأدلة أو لا) وحالة الدعوتين المفتوحتين (المعلقة والخاضعة للتقييم الأولي)</w:t>
      </w:r>
    </w:p>
    <w:p w:rsidR="00167916" w:rsidRPr="005D619C" w:rsidRDefault="00167916" w:rsidP="001F13C5">
      <w:pPr>
        <w:pStyle w:val="Caption"/>
        <w:bidi/>
        <w:spacing w:after="240" w:line="360" w:lineRule="exact"/>
        <w:jc w:val="center"/>
        <w:rPr>
          <w:rFonts w:ascii="Arabic Typesetting" w:hAnsi="Arabic Typesetting" w:cs="Arabic Typesetting"/>
          <w:b w:val="0"/>
          <w:bCs w:val="0"/>
          <w:sz w:val="36"/>
          <w:szCs w:val="36"/>
          <w:u w:val="single"/>
          <w:rtl/>
          <w:lang w:bidi="ar-EG"/>
        </w:rPr>
      </w:pPr>
      <w:r w:rsidRPr="005D619C">
        <w:rPr>
          <w:rFonts w:ascii="Arabic Typesetting" w:hAnsi="Arabic Typesetting" w:cs="Arabic Typesetting"/>
          <w:b w:val="0"/>
          <w:bCs w:val="0"/>
          <w:sz w:val="36"/>
          <w:szCs w:val="36"/>
          <w:u w:val="single"/>
          <w:rtl/>
          <w:lang w:bidi="ar-EG"/>
        </w:rPr>
        <w:t>الشكل 3 ـ حالة الدعاوى لكل سنة حتى 30 يونيو 2013</w:t>
      </w:r>
    </w:p>
    <w:p w:rsidR="00167916" w:rsidRPr="005D619C" w:rsidRDefault="00695ED8" w:rsidP="00587C46">
      <w:pPr>
        <w:pStyle w:val="ONUME"/>
        <w:keepLines/>
        <w:tabs>
          <w:tab w:val="clear" w:pos="360"/>
        </w:tabs>
        <w:bidi/>
        <w:spacing w:after="120" w:line="360" w:lineRule="auto"/>
        <w:ind w:left="0" w:firstLine="0"/>
        <w:jc w:val="center"/>
        <w:rPr>
          <w:rFonts w:ascii="Arabic Typesetting" w:eastAsia="Times New Roman" w:hAnsi="Arabic Typesetting" w:cs="Arabic Typesetting"/>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4641215</wp:posOffset>
                </wp:positionH>
                <wp:positionV relativeFrom="paragraph">
                  <wp:posOffset>2513965</wp:posOffset>
                </wp:positionV>
                <wp:extent cx="709295" cy="2990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299085"/>
                        </a:xfrm>
                        <a:prstGeom prst="rect">
                          <a:avLst/>
                        </a:prstGeom>
                      </wps:spPr>
                      <wps:txbx>
                        <w:txbxContent>
                          <w:p w:rsidR="00727D92" w:rsidRPr="00587C46" w:rsidRDefault="00727D92" w:rsidP="00587C46">
                            <w:pPr>
                              <w:pStyle w:val="NormalWeb"/>
                              <w:spacing w:before="0" w:beforeAutospacing="0" w:after="0" w:afterAutospacing="0"/>
                              <w:rPr>
                                <w:rFonts w:asciiTheme="minorBidi" w:hAnsiTheme="minorBidi" w:cstheme="minorBidi"/>
                              </w:rPr>
                            </w:pPr>
                            <w:r w:rsidRPr="00587C46">
                              <w:rPr>
                                <w:rFonts w:asciiTheme="minorBidi" w:hAnsiTheme="minorBidi" w:cstheme="minorBidi"/>
                              </w:rPr>
                              <w:t>(</w:t>
                            </w:r>
                            <w:r w:rsidRPr="00587C46">
                              <w:rPr>
                                <w:rFonts w:asciiTheme="minorBidi" w:hAnsiTheme="minorBidi" w:cstheme="minorBidi"/>
                                <w:rtl/>
                                <w:lang w:bidi="ar-EG"/>
                              </w:rPr>
                              <w:t>يناير - يونيو</w:t>
                            </w:r>
                            <w:r w:rsidRPr="00587C46">
                              <w:rPr>
                                <w:rFonts w:asciiTheme="minorBidi" w:hAnsiTheme="minorBidi" w:cstheme="minorBidi"/>
                              </w:rPr>
                              <w:t>)</w:t>
                            </w:r>
                          </w:p>
                        </w:txbxContent>
                      </wps:txbx>
                      <wps:bodyPr vertOverflow="clip" wrap="none"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365.45pt;margin-top:197.95pt;width:55.85pt;height:23.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" filled="f" stroked="f">
                <v:path arrowok="t"/>
                <v:textbox>
                  <w:txbxContent>
                    <w:p w:rsidR="00727D92" w:rsidRPr="00587C46" w:rsidRDefault="00727D92" w:rsidP="00587C46">
                      <w:pPr>
                        <w:pStyle w:val="NormalWeb"/>
                        <w:spacing w:before="0" w:beforeAutospacing="0" w:after="0" w:afterAutospacing="0"/>
                        <w:rPr>
                          <w:rFonts w:asciiTheme="minorBidi" w:hAnsiTheme="minorBidi" w:cstheme="minorBidi"/>
                        </w:rPr>
                      </w:pPr>
                      <w:r w:rsidRPr="00587C46">
                        <w:rPr>
                          <w:rFonts w:asciiTheme="minorBidi" w:hAnsiTheme="minorBidi" w:cstheme="minorBidi"/>
                        </w:rPr>
                        <w:t>(</w:t>
                      </w:r>
                      <w:r w:rsidRPr="00587C46">
                        <w:rPr>
                          <w:rFonts w:asciiTheme="minorBidi" w:hAnsiTheme="minorBidi" w:cstheme="minorBidi"/>
                          <w:rtl/>
                          <w:lang w:bidi="ar-EG"/>
                        </w:rPr>
                        <w:t>يناير - يونيو</w:t>
                      </w:r>
                      <w:r w:rsidRPr="00587C46">
                        <w:rPr>
                          <w:rFonts w:asciiTheme="minorBidi" w:hAnsiTheme="minorBidi" w:cstheme="minorBidi"/>
                        </w:rPr>
                        <w:t>)</w:t>
                      </w:r>
                    </w:p>
                  </w:txbxContent>
                </v:textbox>
              </v:shape>
            </w:pict>
          </mc:Fallback>
        </mc:AlternateContent>
      </w:r>
      <w:r>
        <w:rPr>
          <w:noProof/>
        </w:rPr>
        <w:drawing>
          <wp:inline distT="0" distB="0" distL="0" distR="0">
            <wp:extent cx="4846320" cy="2890520"/>
            <wp:effectExtent l="0" t="0" r="11430" b="24130"/>
            <wp:docPr id="5"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67916" w:rsidRPr="005D619C" w:rsidRDefault="00167916" w:rsidP="001F13C5">
      <w:pPr>
        <w:pStyle w:val="ONUME"/>
        <w:keepLines/>
        <w:numPr>
          <w:ilvl w:val="0"/>
          <w:numId w:val="25"/>
        </w:numPr>
        <w:bidi/>
        <w:spacing w:after="240" w:line="360" w:lineRule="exact"/>
        <w:ind w:left="0" w:firstLine="0"/>
        <w:rPr>
          <w:rFonts w:ascii="Arabic Typesetting" w:hAnsi="Arabic Typesetting" w:cs="Arabic Typesetting"/>
          <w:sz w:val="36"/>
          <w:szCs w:val="36"/>
        </w:rPr>
      </w:pPr>
      <w:r w:rsidRPr="005D619C">
        <w:rPr>
          <w:rFonts w:ascii="Arabic Typesetting" w:hAnsi="Arabic Typesetting" w:cs="Arabic Typesetting"/>
          <w:sz w:val="36"/>
          <w:szCs w:val="36"/>
          <w:rtl/>
          <w:lang w:bidi="ar-EG"/>
        </w:rPr>
        <w:t xml:space="preserve">يعطي الجدول أدناه مؤشرا عن نوع الادعاءات </w:t>
      </w:r>
      <w:proofErr w:type="spellStart"/>
      <w:r w:rsidRPr="005D619C">
        <w:rPr>
          <w:rFonts w:ascii="Arabic Typesetting" w:hAnsi="Arabic Typesetting" w:cs="Arabic Typesetting"/>
          <w:sz w:val="36"/>
          <w:szCs w:val="36"/>
          <w:rtl/>
          <w:lang w:bidi="ar-EG"/>
        </w:rPr>
        <w:t>المتلقاة</w:t>
      </w:r>
      <w:proofErr w:type="spellEnd"/>
      <w:r w:rsidRPr="005D619C">
        <w:rPr>
          <w:rFonts w:ascii="Arabic Typesetting" w:hAnsi="Arabic Typesetting" w:cs="Arabic Typesetting"/>
          <w:sz w:val="36"/>
          <w:szCs w:val="36"/>
          <w:rtl/>
          <w:lang w:bidi="ar-EG"/>
        </w:rPr>
        <w:t xml:space="preserve"> منذ 2008.</w:t>
      </w:r>
    </w:p>
    <w:p w:rsidR="00167916" w:rsidRPr="005D619C" w:rsidRDefault="00167916" w:rsidP="001F13C5">
      <w:pPr>
        <w:pStyle w:val="Caption"/>
        <w:keepLines/>
        <w:bidi/>
        <w:spacing w:after="240" w:line="360" w:lineRule="exact"/>
        <w:jc w:val="center"/>
        <w:rPr>
          <w:rFonts w:ascii="Arabic Typesetting" w:hAnsi="Arabic Typesetting" w:cs="Arabic Typesetting"/>
          <w:b w:val="0"/>
          <w:bCs w:val="0"/>
          <w:sz w:val="36"/>
          <w:szCs w:val="36"/>
          <w:u w:val="single"/>
          <w:rtl/>
          <w:lang w:bidi="ar-EG"/>
        </w:rPr>
      </w:pPr>
      <w:r w:rsidRPr="005D619C">
        <w:rPr>
          <w:rFonts w:ascii="Arabic Typesetting" w:hAnsi="Arabic Typesetting" w:cs="Arabic Typesetting"/>
          <w:b w:val="0"/>
          <w:bCs w:val="0"/>
          <w:sz w:val="36"/>
          <w:szCs w:val="36"/>
          <w:u w:val="single"/>
          <w:rtl/>
          <w:lang w:bidi="ar-EG"/>
        </w:rPr>
        <w:t>الجدول 5 – الدعاوى حسب فئة الادعاءات في كل سنة</w:t>
      </w:r>
    </w:p>
    <w:tbl>
      <w:tblPr>
        <w:bidiVisual/>
        <w:tblW w:w="9094" w:type="dxa"/>
        <w:jc w:val="center"/>
        <w:tblInd w:w="-791" w:type="dxa"/>
        <w:tblLayout w:type="fixed"/>
        <w:tblLook w:val="00A0" w:firstRow="1" w:lastRow="0" w:firstColumn="1" w:lastColumn="0" w:noHBand="0" w:noVBand="0"/>
      </w:tblPr>
      <w:tblGrid>
        <w:gridCol w:w="3666"/>
        <w:gridCol w:w="837"/>
        <w:gridCol w:w="741"/>
        <w:gridCol w:w="741"/>
        <w:gridCol w:w="741"/>
        <w:gridCol w:w="741"/>
        <w:gridCol w:w="743"/>
        <w:gridCol w:w="884"/>
      </w:tblGrid>
      <w:tr w:rsidR="00167916" w:rsidRPr="00587C46" w:rsidTr="00587C46">
        <w:trPr>
          <w:trHeight w:val="180"/>
          <w:jc w:val="center"/>
        </w:trPr>
        <w:tc>
          <w:tcPr>
            <w:tcW w:w="3666" w:type="dxa"/>
            <w:tcBorders>
              <w:top w:val="single" w:sz="4" w:space="0" w:color="000000"/>
              <w:left w:val="single" w:sz="4" w:space="0" w:color="000000"/>
              <w:bottom w:val="nil"/>
              <w:right w:val="nil"/>
            </w:tcBorders>
            <w:noWrap/>
            <w:vAlign w:val="center"/>
          </w:tcPr>
          <w:p w:rsidR="00167916" w:rsidRPr="00587C46" w:rsidRDefault="00167916" w:rsidP="00ED43B9">
            <w:pPr>
              <w:keepLines/>
              <w:bidi/>
              <w:jc w:val="center"/>
              <w:rPr>
                <w:rFonts w:ascii="Arabic Typesetting" w:hAnsi="Arabic Typesetting" w:cs="Arabic Typesetting"/>
                <w:b/>
                <w:sz w:val="30"/>
                <w:szCs w:val="30"/>
              </w:rPr>
            </w:pPr>
          </w:p>
        </w:tc>
        <w:tc>
          <w:tcPr>
            <w:tcW w:w="4544" w:type="dxa"/>
            <w:gridSpan w:val="6"/>
            <w:tcBorders>
              <w:top w:val="single" w:sz="4" w:space="0" w:color="000000"/>
              <w:left w:val="single" w:sz="4" w:space="0" w:color="000000"/>
              <w:bottom w:val="nil"/>
              <w:right w:val="nil"/>
            </w:tcBorders>
            <w:noWrap/>
            <w:vAlign w:val="center"/>
          </w:tcPr>
          <w:p w:rsidR="00167916" w:rsidRPr="00587C46" w:rsidRDefault="00167916" w:rsidP="00ED43B9">
            <w:pPr>
              <w:keepLines/>
              <w:bidi/>
              <w:jc w:val="center"/>
              <w:rPr>
                <w:rFonts w:ascii="Arabic Typesetting" w:hAnsi="Arabic Typesetting" w:cs="Arabic Typesetting"/>
                <w:sz w:val="30"/>
                <w:szCs w:val="30"/>
                <w:rtl/>
                <w:lang w:bidi="ar-EG"/>
              </w:rPr>
            </w:pPr>
            <w:r w:rsidRPr="00587C46">
              <w:rPr>
                <w:rFonts w:ascii="Arabic Typesetting" w:hAnsi="Arabic Typesetting" w:cs="Arabic Typesetting"/>
                <w:bCs/>
                <w:sz w:val="30"/>
                <w:szCs w:val="30"/>
                <w:rtl/>
                <w:lang w:bidi="ar-EG"/>
              </w:rPr>
              <w:t>السنة</w:t>
            </w:r>
          </w:p>
        </w:tc>
        <w:tc>
          <w:tcPr>
            <w:tcW w:w="884" w:type="dxa"/>
            <w:tcBorders>
              <w:top w:val="single" w:sz="4" w:space="0" w:color="000000"/>
              <w:left w:val="nil"/>
              <w:bottom w:val="nil"/>
              <w:right w:val="single" w:sz="4" w:space="0" w:color="000000"/>
            </w:tcBorders>
            <w:noWrap/>
            <w:vAlign w:val="center"/>
          </w:tcPr>
          <w:p w:rsidR="00167916" w:rsidRPr="00587C46" w:rsidRDefault="00167916" w:rsidP="00ED43B9">
            <w:pPr>
              <w:keepLines/>
              <w:bidi/>
              <w:jc w:val="center"/>
              <w:rPr>
                <w:rFonts w:ascii="Arabic Typesetting" w:hAnsi="Arabic Typesetting" w:cs="Arabic Typesetting"/>
                <w:sz w:val="30"/>
                <w:szCs w:val="30"/>
              </w:rPr>
            </w:pPr>
          </w:p>
        </w:tc>
      </w:tr>
      <w:tr w:rsidR="00167916" w:rsidRPr="00587C46" w:rsidTr="00587C46">
        <w:trPr>
          <w:trHeight w:val="180"/>
          <w:jc w:val="center"/>
        </w:trPr>
        <w:tc>
          <w:tcPr>
            <w:tcW w:w="3666" w:type="dxa"/>
            <w:tcBorders>
              <w:top w:val="single" w:sz="4" w:space="0" w:color="000000"/>
              <w:left w:val="single" w:sz="4" w:space="0" w:color="000000"/>
              <w:bottom w:val="single" w:sz="4" w:space="0" w:color="auto"/>
              <w:right w:val="nil"/>
            </w:tcBorders>
            <w:noWrap/>
            <w:vAlign w:val="center"/>
          </w:tcPr>
          <w:p w:rsidR="00167916" w:rsidRPr="00587C46" w:rsidRDefault="00167916" w:rsidP="00ED43B9">
            <w:pPr>
              <w:keepLines/>
              <w:bidi/>
              <w:jc w:val="center"/>
              <w:rPr>
                <w:rFonts w:ascii="Arabic Typesetting" w:hAnsi="Arabic Typesetting" w:cs="Arabic Typesetting"/>
                <w:sz w:val="30"/>
                <w:szCs w:val="30"/>
                <w:rtl/>
              </w:rPr>
            </w:pPr>
            <w:r w:rsidRPr="00587C46">
              <w:rPr>
                <w:rFonts w:ascii="Arabic Typesetting" w:hAnsi="Arabic Typesetting" w:cs="Arabic Typesetting"/>
                <w:bCs/>
                <w:sz w:val="30"/>
                <w:szCs w:val="30"/>
                <w:rtl/>
                <w:lang w:bidi="ar-EG"/>
              </w:rPr>
              <w:t>فئة الدعوى</w:t>
            </w:r>
          </w:p>
        </w:tc>
        <w:tc>
          <w:tcPr>
            <w:tcW w:w="837" w:type="dxa"/>
            <w:tcBorders>
              <w:top w:val="single" w:sz="4" w:space="0" w:color="000000"/>
              <w:left w:val="single" w:sz="4" w:space="0" w:color="000000"/>
              <w:bottom w:val="single" w:sz="4" w:space="0" w:color="auto"/>
              <w:right w:val="nil"/>
            </w:tcBorders>
            <w:noWrap/>
            <w:vAlign w:val="center"/>
          </w:tcPr>
          <w:p w:rsidR="00167916" w:rsidRPr="00587C46" w:rsidRDefault="00167916" w:rsidP="00ED43B9">
            <w:pPr>
              <w:keepLines/>
              <w:jc w:val="center"/>
              <w:rPr>
                <w:rFonts w:ascii="Arabic Typesetting" w:hAnsi="Arabic Typesetting" w:cs="Arabic Typesetting"/>
                <w:b/>
                <w:sz w:val="30"/>
                <w:szCs w:val="30"/>
              </w:rPr>
            </w:pPr>
            <w:r w:rsidRPr="00587C46">
              <w:rPr>
                <w:rFonts w:ascii="Arabic Typesetting" w:hAnsi="Arabic Typesetting" w:cs="Arabic Typesetting"/>
                <w:b/>
                <w:sz w:val="30"/>
                <w:szCs w:val="30"/>
              </w:rPr>
              <w:t>2008</w:t>
            </w:r>
          </w:p>
        </w:tc>
        <w:tc>
          <w:tcPr>
            <w:tcW w:w="741" w:type="dxa"/>
            <w:tcBorders>
              <w:top w:val="single" w:sz="4" w:space="0" w:color="000000"/>
              <w:left w:val="nil"/>
              <w:bottom w:val="single" w:sz="4" w:space="0" w:color="auto"/>
              <w:right w:val="nil"/>
            </w:tcBorders>
            <w:noWrap/>
            <w:vAlign w:val="center"/>
          </w:tcPr>
          <w:p w:rsidR="00167916" w:rsidRPr="00587C46" w:rsidRDefault="00167916" w:rsidP="00ED43B9">
            <w:pPr>
              <w:keepLines/>
              <w:rPr>
                <w:rFonts w:ascii="Arabic Typesetting" w:hAnsi="Arabic Typesetting" w:cs="Arabic Typesetting"/>
                <w:b/>
                <w:sz w:val="30"/>
                <w:szCs w:val="30"/>
              </w:rPr>
            </w:pPr>
            <w:r w:rsidRPr="00587C46">
              <w:rPr>
                <w:rFonts w:ascii="Arabic Typesetting" w:hAnsi="Arabic Typesetting" w:cs="Arabic Typesetting"/>
                <w:b/>
                <w:sz w:val="30"/>
                <w:szCs w:val="30"/>
              </w:rPr>
              <w:t>2009</w:t>
            </w:r>
          </w:p>
        </w:tc>
        <w:tc>
          <w:tcPr>
            <w:tcW w:w="741" w:type="dxa"/>
            <w:tcBorders>
              <w:top w:val="single" w:sz="4" w:space="0" w:color="000000"/>
              <w:left w:val="nil"/>
              <w:bottom w:val="single" w:sz="4" w:space="0" w:color="auto"/>
              <w:right w:val="nil"/>
            </w:tcBorders>
            <w:noWrap/>
            <w:vAlign w:val="center"/>
          </w:tcPr>
          <w:p w:rsidR="00167916" w:rsidRPr="00587C46" w:rsidRDefault="00167916" w:rsidP="00ED43B9">
            <w:pPr>
              <w:keepLines/>
              <w:rPr>
                <w:rFonts w:ascii="Arabic Typesetting" w:hAnsi="Arabic Typesetting" w:cs="Arabic Typesetting"/>
                <w:b/>
                <w:sz w:val="30"/>
                <w:szCs w:val="30"/>
              </w:rPr>
            </w:pPr>
            <w:r w:rsidRPr="00587C46">
              <w:rPr>
                <w:rFonts w:ascii="Arabic Typesetting" w:hAnsi="Arabic Typesetting" w:cs="Arabic Typesetting"/>
                <w:b/>
                <w:sz w:val="30"/>
                <w:szCs w:val="30"/>
              </w:rPr>
              <w:t>2010</w:t>
            </w:r>
          </w:p>
        </w:tc>
        <w:tc>
          <w:tcPr>
            <w:tcW w:w="741" w:type="dxa"/>
            <w:tcBorders>
              <w:top w:val="single" w:sz="4" w:space="0" w:color="000000"/>
              <w:left w:val="nil"/>
              <w:bottom w:val="single" w:sz="4" w:space="0" w:color="auto"/>
              <w:right w:val="nil"/>
            </w:tcBorders>
            <w:noWrap/>
            <w:vAlign w:val="center"/>
          </w:tcPr>
          <w:p w:rsidR="00167916" w:rsidRPr="00587C46" w:rsidRDefault="00167916" w:rsidP="00ED43B9">
            <w:pPr>
              <w:keepLines/>
              <w:rPr>
                <w:rFonts w:ascii="Arabic Typesetting" w:hAnsi="Arabic Typesetting" w:cs="Arabic Typesetting"/>
                <w:b/>
                <w:sz w:val="30"/>
                <w:szCs w:val="30"/>
              </w:rPr>
            </w:pPr>
            <w:r w:rsidRPr="00587C46">
              <w:rPr>
                <w:rFonts w:ascii="Arabic Typesetting" w:hAnsi="Arabic Typesetting" w:cs="Arabic Typesetting"/>
                <w:b/>
                <w:sz w:val="30"/>
                <w:szCs w:val="30"/>
              </w:rPr>
              <w:t>2011</w:t>
            </w:r>
          </w:p>
        </w:tc>
        <w:tc>
          <w:tcPr>
            <w:tcW w:w="741" w:type="dxa"/>
            <w:tcBorders>
              <w:top w:val="single" w:sz="4" w:space="0" w:color="000000"/>
              <w:left w:val="nil"/>
              <w:bottom w:val="single" w:sz="4" w:space="0" w:color="auto"/>
              <w:right w:val="nil"/>
            </w:tcBorders>
            <w:noWrap/>
            <w:vAlign w:val="center"/>
          </w:tcPr>
          <w:p w:rsidR="00167916" w:rsidRPr="00587C46" w:rsidRDefault="00167916" w:rsidP="00ED43B9">
            <w:pPr>
              <w:keepLines/>
              <w:rPr>
                <w:rFonts w:ascii="Arabic Typesetting" w:hAnsi="Arabic Typesetting" w:cs="Arabic Typesetting"/>
                <w:b/>
                <w:sz w:val="30"/>
                <w:szCs w:val="30"/>
              </w:rPr>
            </w:pPr>
            <w:r w:rsidRPr="00587C46">
              <w:rPr>
                <w:rFonts w:ascii="Arabic Typesetting" w:hAnsi="Arabic Typesetting" w:cs="Arabic Typesetting"/>
                <w:b/>
                <w:sz w:val="30"/>
                <w:szCs w:val="30"/>
              </w:rPr>
              <w:t>2012</w:t>
            </w:r>
          </w:p>
        </w:tc>
        <w:tc>
          <w:tcPr>
            <w:tcW w:w="743" w:type="dxa"/>
            <w:tcBorders>
              <w:top w:val="single" w:sz="4" w:space="0" w:color="000000"/>
              <w:left w:val="nil"/>
              <w:bottom w:val="single" w:sz="4" w:space="0" w:color="auto"/>
              <w:right w:val="nil"/>
            </w:tcBorders>
            <w:noWrap/>
            <w:vAlign w:val="center"/>
          </w:tcPr>
          <w:p w:rsidR="00167916" w:rsidRPr="00587C46" w:rsidRDefault="00167916" w:rsidP="00ED43B9">
            <w:pPr>
              <w:keepLines/>
              <w:bidi/>
              <w:rPr>
                <w:rFonts w:ascii="Arabic Typesetting" w:hAnsi="Arabic Typesetting" w:cs="Arabic Typesetting"/>
                <w:b/>
                <w:sz w:val="30"/>
                <w:szCs w:val="30"/>
              </w:rPr>
            </w:pPr>
          </w:p>
          <w:p w:rsidR="00167916" w:rsidRPr="00587C46" w:rsidRDefault="00167916" w:rsidP="00ED43B9">
            <w:pPr>
              <w:keepLines/>
              <w:rPr>
                <w:rFonts w:ascii="Arabic Typesetting" w:hAnsi="Arabic Typesetting" w:cs="Arabic Typesetting"/>
                <w:b/>
                <w:sz w:val="30"/>
                <w:szCs w:val="30"/>
              </w:rPr>
            </w:pPr>
            <w:r w:rsidRPr="00587C46">
              <w:rPr>
                <w:rFonts w:ascii="Arabic Typesetting" w:hAnsi="Arabic Typesetting" w:cs="Arabic Typesetting"/>
                <w:b/>
                <w:sz w:val="30"/>
                <w:szCs w:val="30"/>
              </w:rPr>
              <w:t>2013</w:t>
            </w:r>
          </w:p>
          <w:p w:rsidR="00167916" w:rsidRPr="00573A69" w:rsidRDefault="00167916" w:rsidP="00573A69">
            <w:pPr>
              <w:keepLines/>
              <w:bidi/>
              <w:jc w:val="center"/>
              <w:rPr>
                <w:rFonts w:ascii="Arabic Typesetting" w:hAnsi="Arabic Typesetting" w:cs="Arabic Typesetting"/>
                <w:sz w:val="24"/>
                <w:szCs w:val="24"/>
                <w:rtl/>
              </w:rPr>
            </w:pPr>
            <w:r w:rsidRPr="00573A69">
              <w:rPr>
                <w:rFonts w:ascii="Arabic Typesetting" w:hAnsi="Arabic Typesetting" w:cs="Arabic Typesetting"/>
                <w:bCs/>
                <w:sz w:val="24"/>
                <w:szCs w:val="24"/>
                <w:rtl/>
                <w:lang w:bidi="ar-EG"/>
              </w:rPr>
              <w:t>يناير-يونيو</w:t>
            </w:r>
          </w:p>
        </w:tc>
        <w:tc>
          <w:tcPr>
            <w:tcW w:w="884" w:type="dxa"/>
            <w:tcBorders>
              <w:top w:val="single" w:sz="4" w:space="0" w:color="000000"/>
              <w:left w:val="single" w:sz="4" w:space="0" w:color="000000"/>
              <w:bottom w:val="single" w:sz="4" w:space="0" w:color="auto"/>
              <w:right w:val="single" w:sz="4" w:space="0" w:color="000000"/>
            </w:tcBorders>
            <w:noWrap/>
            <w:vAlign w:val="center"/>
          </w:tcPr>
          <w:p w:rsidR="00167916" w:rsidRPr="00587C46" w:rsidRDefault="00167916" w:rsidP="00ED43B9">
            <w:pPr>
              <w:keepLines/>
              <w:bidi/>
              <w:jc w:val="center"/>
              <w:rPr>
                <w:rFonts w:ascii="Arabic Typesetting" w:hAnsi="Arabic Typesetting" w:cs="Arabic Typesetting"/>
                <w:sz w:val="30"/>
                <w:szCs w:val="30"/>
                <w:rtl/>
              </w:rPr>
            </w:pPr>
            <w:r w:rsidRPr="00587C46">
              <w:rPr>
                <w:rFonts w:ascii="Arabic Typesetting" w:hAnsi="Arabic Typesetting" w:cs="Arabic Typesetting"/>
                <w:sz w:val="30"/>
                <w:szCs w:val="30"/>
                <w:rtl/>
                <w:lang w:bidi="ar-EG"/>
              </w:rPr>
              <w:t>المجموع الكلي</w:t>
            </w:r>
          </w:p>
        </w:tc>
      </w:tr>
      <w:tr w:rsidR="00167916" w:rsidRPr="00587C46" w:rsidTr="00587C46">
        <w:trPr>
          <w:trHeight w:val="180"/>
          <w:jc w:val="center"/>
        </w:trPr>
        <w:tc>
          <w:tcPr>
            <w:tcW w:w="3666" w:type="dxa"/>
            <w:tcBorders>
              <w:top w:val="single" w:sz="4" w:space="0" w:color="auto"/>
              <w:left w:val="single" w:sz="4" w:space="0" w:color="auto"/>
              <w:bottom w:val="single" w:sz="4" w:space="0" w:color="auto"/>
              <w:right w:val="single" w:sz="4" w:space="0" w:color="auto"/>
            </w:tcBorders>
            <w:noWrap/>
            <w:vAlign w:val="center"/>
          </w:tcPr>
          <w:p w:rsidR="00167916" w:rsidRPr="00573A69" w:rsidRDefault="00167916" w:rsidP="00ED43B9">
            <w:pPr>
              <w:keepLines/>
              <w:bidi/>
              <w:rPr>
                <w:rFonts w:ascii="Arabic Typesetting" w:hAnsi="Arabic Typesetting" w:cs="Arabic Typesetting"/>
                <w:spacing w:val="-18"/>
                <w:sz w:val="30"/>
                <w:szCs w:val="30"/>
                <w:rtl/>
              </w:rPr>
            </w:pPr>
            <w:r w:rsidRPr="00573A69">
              <w:rPr>
                <w:rFonts w:ascii="Arabic Typesetting" w:hAnsi="Arabic Typesetting" w:cs="Arabic Typesetting"/>
                <w:bCs/>
                <w:spacing w:val="-18"/>
                <w:sz w:val="30"/>
                <w:szCs w:val="30"/>
                <w:rtl/>
                <w:lang w:bidi="ar-EG"/>
              </w:rPr>
              <w:t>الغش للحصول على مزايا ومستحقات/تقديم معلومات خاطئة للمنظمة</w:t>
            </w:r>
          </w:p>
        </w:tc>
        <w:tc>
          <w:tcPr>
            <w:tcW w:w="837"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jc w:val="center"/>
              <w:rPr>
                <w:rFonts w:ascii="Arabic Typesetting" w:hAnsi="Arabic Typesetting" w:cs="Arabic Typesetting"/>
                <w:sz w:val="30"/>
                <w:szCs w:val="30"/>
              </w:rPr>
            </w:pPr>
            <w:r w:rsidRPr="00587C46">
              <w:rPr>
                <w:rFonts w:ascii="Arabic Typesetting" w:hAnsi="Arabic Typesetting" w:cs="Arabic Typesetting"/>
                <w:sz w:val="30"/>
                <w:szCs w:val="30"/>
              </w:rPr>
              <w:t>3%</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25%</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23%</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23%</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19%</w:t>
            </w:r>
          </w:p>
        </w:tc>
        <w:tc>
          <w:tcPr>
            <w:tcW w:w="743"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29%</w:t>
            </w:r>
          </w:p>
        </w:tc>
        <w:tc>
          <w:tcPr>
            <w:tcW w:w="884"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17%</w:t>
            </w:r>
          </w:p>
        </w:tc>
      </w:tr>
      <w:tr w:rsidR="00167916" w:rsidRPr="00587C46" w:rsidTr="00587C46">
        <w:trPr>
          <w:trHeight w:val="180"/>
          <w:jc w:val="center"/>
        </w:trPr>
        <w:tc>
          <w:tcPr>
            <w:tcW w:w="3666"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ED43B9">
            <w:pPr>
              <w:keepLines/>
              <w:bidi/>
              <w:rPr>
                <w:rFonts w:ascii="Arabic Typesetting" w:hAnsi="Arabic Typesetting" w:cs="Arabic Typesetting"/>
                <w:sz w:val="30"/>
                <w:szCs w:val="30"/>
                <w:rtl/>
                <w:lang w:bidi="ar-EG"/>
              </w:rPr>
            </w:pPr>
            <w:r w:rsidRPr="00587C46">
              <w:rPr>
                <w:rFonts w:ascii="Arabic Typesetting" w:hAnsi="Arabic Typesetting" w:cs="Arabic Typesetting"/>
                <w:bCs/>
                <w:sz w:val="30"/>
                <w:szCs w:val="30"/>
                <w:rtl/>
                <w:lang w:bidi="ar-EG"/>
              </w:rPr>
              <w:t>المضايقة/التمييز/إساءة استخدام السلطة</w:t>
            </w:r>
          </w:p>
        </w:tc>
        <w:tc>
          <w:tcPr>
            <w:tcW w:w="837"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jc w:val="center"/>
              <w:rPr>
                <w:rFonts w:ascii="Arabic Typesetting" w:hAnsi="Arabic Typesetting" w:cs="Arabic Typesetting"/>
                <w:sz w:val="30"/>
                <w:szCs w:val="30"/>
              </w:rPr>
            </w:pPr>
            <w:r w:rsidRPr="00587C46">
              <w:rPr>
                <w:rFonts w:ascii="Arabic Typesetting" w:hAnsi="Arabic Typesetting" w:cs="Arabic Typesetting"/>
                <w:sz w:val="30"/>
                <w:szCs w:val="30"/>
              </w:rPr>
              <w:t>32%</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15%</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tl/>
                <w:lang w:bidi="ar-EG"/>
              </w:rPr>
            </w:pPr>
            <w:r w:rsidRPr="00587C46">
              <w:rPr>
                <w:rFonts w:ascii="Arabic Typesetting" w:hAnsi="Arabic Typesetting" w:cs="Arabic Typesetting"/>
                <w:sz w:val="30"/>
                <w:szCs w:val="30"/>
              </w:rPr>
              <w:t>-</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14%</w:t>
            </w:r>
          </w:p>
        </w:tc>
        <w:tc>
          <w:tcPr>
            <w:tcW w:w="743"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29%</w:t>
            </w:r>
          </w:p>
        </w:tc>
        <w:tc>
          <w:tcPr>
            <w:tcW w:w="884"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17%</w:t>
            </w:r>
          </w:p>
        </w:tc>
      </w:tr>
      <w:tr w:rsidR="00167916" w:rsidRPr="00587C46" w:rsidTr="00587C46">
        <w:trPr>
          <w:trHeight w:val="180"/>
          <w:jc w:val="center"/>
        </w:trPr>
        <w:tc>
          <w:tcPr>
            <w:tcW w:w="3666"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ED43B9">
            <w:pPr>
              <w:keepLines/>
              <w:bidi/>
              <w:rPr>
                <w:rFonts w:ascii="Arabic Typesetting" w:hAnsi="Arabic Typesetting" w:cs="Arabic Typesetting"/>
                <w:b/>
                <w:bCs/>
                <w:sz w:val="30"/>
                <w:szCs w:val="30"/>
                <w:rtl/>
                <w:lang w:bidi="ar-EG"/>
              </w:rPr>
            </w:pPr>
            <w:r w:rsidRPr="00587C46">
              <w:rPr>
                <w:rFonts w:ascii="Arabic Typesetting" w:hAnsi="Arabic Typesetting" w:cs="Arabic Typesetting"/>
                <w:b/>
                <w:bCs/>
                <w:sz w:val="30"/>
                <w:szCs w:val="30"/>
                <w:rtl/>
                <w:lang w:bidi="ar-EG"/>
              </w:rPr>
              <w:t>ممارسات غير متسقة بشأن الموارد البشرية</w:t>
            </w:r>
          </w:p>
        </w:tc>
        <w:tc>
          <w:tcPr>
            <w:tcW w:w="837"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jc w:val="center"/>
              <w:rPr>
                <w:rFonts w:ascii="Arabic Typesetting" w:hAnsi="Arabic Typesetting" w:cs="Arabic Typesetting"/>
                <w:sz w:val="30"/>
                <w:szCs w:val="30"/>
              </w:rPr>
            </w:pPr>
            <w:r w:rsidRPr="00587C46">
              <w:rPr>
                <w:rFonts w:ascii="Arabic Typesetting" w:hAnsi="Arabic Typesetting" w:cs="Arabic Typesetting"/>
                <w:sz w:val="30"/>
                <w:szCs w:val="30"/>
              </w:rPr>
              <w:t>10%</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13%</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15%</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15%</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24%</w:t>
            </w:r>
          </w:p>
        </w:tc>
        <w:tc>
          <w:tcPr>
            <w:tcW w:w="743"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w:t>
            </w:r>
          </w:p>
        </w:tc>
        <w:tc>
          <w:tcPr>
            <w:tcW w:w="884"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14%</w:t>
            </w:r>
          </w:p>
        </w:tc>
      </w:tr>
      <w:tr w:rsidR="00167916" w:rsidRPr="00587C46" w:rsidTr="00587C46">
        <w:trPr>
          <w:trHeight w:val="180"/>
          <w:jc w:val="center"/>
        </w:trPr>
        <w:tc>
          <w:tcPr>
            <w:tcW w:w="3666"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ED43B9">
            <w:pPr>
              <w:keepLines/>
              <w:bidi/>
              <w:rPr>
                <w:rFonts w:ascii="Arabic Typesetting" w:hAnsi="Arabic Typesetting" w:cs="Arabic Typesetting"/>
                <w:sz w:val="30"/>
                <w:szCs w:val="30"/>
                <w:rtl/>
                <w:lang w:bidi="ar-EG"/>
              </w:rPr>
            </w:pPr>
            <w:r w:rsidRPr="00587C46">
              <w:rPr>
                <w:rFonts w:ascii="Arabic Typesetting" w:hAnsi="Arabic Typesetting" w:cs="Arabic Typesetting"/>
                <w:bCs/>
                <w:sz w:val="30"/>
                <w:szCs w:val="30"/>
                <w:rtl/>
                <w:lang w:bidi="ar-EG"/>
              </w:rPr>
              <w:t>متفرقات</w:t>
            </w:r>
          </w:p>
        </w:tc>
        <w:tc>
          <w:tcPr>
            <w:tcW w:w="837"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jc w:val="center"/>
              <w:rPr>
                <w:rFonts w:ascii="Arabic Typesetting" w:hAnsi="Arabic Typesetting" w:cs="Arabic Typesetting"/>
                <w:sz w:val="30"/>
                <w:szCs w:val="30"/>
              </w:rPr>
            </w:pPr>
            <w:r w:rsidRPr="00587C46">
              <w:rPr>
                <w:rFonts w:ascii="Arabic Typesetting" w:hAnsi="Arabic Typesetting" w:cs="Arabic Typesetting"/>
                <w:sz w:val="30"/>
                <w:szCs w:val="30"/>
              </w:rPr>
              <w:t>-</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0%</w:t>
            </w:r>
          </w:p>
        </w:tc>
        <w:tc>
          <w:tcPr>
            <w:tcW w:w="743"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28%</w:t>
            </w:r>
          </w:p>
        </w:tc>
        <w:tc>
          <w:tcPr>
            <w:tcW w:w="884"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2%</w:t>
            </w:r>
          </w:p>
        </w:tc>
      </w:tr>
      <w:tr w:rsidR="00167916" w:rsidRPr="00587C46" w:rsidTr="00587C46">
        <w:trPr>
          <w:trHeight w:val="180"/>
          <w:jc w:val="center"/>
        </w:trPr>
        <w:tc>
          <w:tcPr>
            <w:tcW w:w="3666" w:type="dxa"/>
            <w:tcBorders>
              <w:top w:val="single" w:sz="4" w:space="0" w:color="auto"/>
              <w:left w:val="single" w:sz="4" w:space="0" w:color="auto"/>
              <w:bottom w:val="single" w:sz="4" w:space="0" w:color="auto"/>
              <w:right w:val="single" w:sz="4" w:space="0" w:color="auto"/>
            </w:tcBorders>
            <w:noWrap/>
            <w:vAlign w:val="center"/>
          </w:tcPr>
          <w:p w:rsidR="00167916" w:rsidRPr="00573A69" w:rsidRDefault="00167916" w:rsidP="00ED43B9">
            <w:pPr>
              <w:keepLines/>
              <w:bidi/>
              <w:rPr>
                <w:rFonts w:ascii="Arabic Typesetting" w:hAnsi="Arabic Typesetting" w:cs="Arabic Typesetting"/>
                <w:w w:val="95"/>
                <w:sz w:val="30"/>
                <w:szCs w:val="30"/>
                <w:rtl/>
                <w:lang w:bidi="ar-EG"/>
              </w:rPr>
            </w:pPr>
            <w:r w:rsidRPr="00573A69">
              <w:rPr>
                <w:rFonts w:ascii="Arabic Typesetting" w:hAnsi="Arabic Typesetting" w:cs="Arabic Typesetting"/>
                <w:bCs/>
                <w:w w:val="95"/>
                <w:sz w:val="30"/>
                <w:szCs w:val="30"/>
                <w:rtl/>
                <w:lang w:bidi="ar-EG"/>
              </w:rPr>
              <w:t>إساءة استخدام موارد تكنولوجيا المعلومات والاتصالات</w:t>
            </w:r>
          </w:p>
        </w:tc>
        <w:tc>
          <w:tcPr>
            <w:tcW w:w="837"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jc w:val="center"/>
              <w:rPr>
                <w:rFonts w:ascii="Arabic Typesetting" w:hAnsi="Arabic Typesetting" w:cs="Arabic Typesetting"/>
                <w:sz w:val="30"/>
                <w:szCs w:val="30"/>
              </w:rPr>
            </w:pPr>
            <w:r w:rsidRPr="00587C46">
              <w:rPr>
                <w:rFonts w:ascii="Arabic Typesetting" w:hAnsi="Arabic Typesetting" w:cs="Arabic Typesetting"/>
                <w:sz w:val="30"/>
                <w:szCs w:val="30"/>
              </w:rPr>
              <w:t>29%</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31%</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23%</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8%</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5%</w:t>
            </w:r>
          </w:p>
        </w:tc>
        <w:tc>
          <w:tcPr>
            <w:tcW w:w="743"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w:t>
            </w:r>
          </w:p>
        </w:tc>
        <w:tc>
          <w:tcPr>
            <w:tcW w:w="884"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18%</w:t>
            </w:r>
          </w:p>
        </w:tc>
      </w:tr>
      <w:tr w:rsidR="00167916" w:rsidRPr="00587C46" w:rsidTr="00587C46">
        <w:trPr>
          <w:trHeight w:val="180"/>
          <w:jc w:val="center"/>
        </w:trPr>
        <w:tc>
          <w:tcPr>
            <w:tcW w:w="3666" w:type="dxa"/>
            <w:tcBorders>
              <w:top w:val="single" w:sz="4" w:space="0" w:color="auto"/>
              <w:left w:val="single" w:sz="4" w:space="0" w:color="auto"/>
              <w:bottom w:val="single" w:sz="4" w:space="0" w:color="auto"/>
              <w:right w:val="single" w:sz="4" w:space="0" w:color="auto"/>
            </w:tcBorders>
            <w:noWrap/>
            <w:vAlign w:val="center"/>
          </w:tcPr>
          <w:p w:rsidR="00167916" w:rsidRPr="00573A69" w:rsidRDefault="00167916" w:rsidP="00ED43B9">
            <w:pPr>
              <w:keepLines/>
              <w:bidi/>
              <w:rPr>
                <w:rFonts w:ascii="Arabic Typesetting" w:hAnsi="Arabic Typesetting" w:cs="Arabic Typesetting"/>
                <w:w w:val="95"/>
                <w:sz w:val="30"/>
                <w:szCs w:val="30"/>
                <w:rtl/>
              </w:rPr>
            </w:pPr>
            <w:r w:rsidRPr="00573A69">
              <w:rPr>
                <w:rFonts w:ascii="Arabic Typesetting" w:hAnsi="Arabic Typesetting" w:cs="Arabic Typesetting"/>
                <w:bCs/>
                <w:w w:val="95"/>
                <w:sz w:val="30"/>
                <w:szCs w:val="30"/>
                <w:rtl/>
                <w:lang w:bidi="ar-EG"/>
              </w:rPr>
              <w:t>ممارسات غش وفساد أخرى (غير الغش للحصول على مزايا واستحقاقات/الاستيلاء غير المشروع على الأموال والأصول أو إساءة استخدامها (بخلاف إساءة استخدام موارد تكنولوجيا المعلومات والاتصالات)</w:t>
            </w:r>
          </w:p>
        </w:tc>
        <w:tc>
          <w:tcPr>
            <w:tcW w:w="837"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jc w:val="center"/>
              <w:rPr>
                <w:rFonts w:ascii="Arabic Typesetting" w:hAnsi="Arabic Typesetting" w:cs="Arabic Typesetting"/>
                <w:sz w:val="30"/>
                <w:szCs w:val="30"/>
              </w:rPr>
            </w:pPr>
            <w:r w:rsidRPr="00587C46">
              <w:rPr>
                <w:rFonts w:ascii="Arabic Typesetting" w:hAnsi="Arabic Typesetting" w:cs="Arabic Typesetting"/>
                <w:sz w:val="30"/>
                <w:szCs w:val="30"/>
              </w:rPr>
              <w:t>13%</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6%</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8%</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31%</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5%</w:t>
            </w:r>
          </w:p>
        </w:tc>
        <w:tc>
          <w:tcPr>
            <w:tcW w:w="743"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w:t>
            </w:r>
          </w:p>
        </w:tc>
        <w:tc>
          <w:tcPr>
            <w:tcW w:w="884"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11%</w:t>
            </w:r>
          </w:p>
        </w:tc>
      </w:tr>
      <w:tr w:rsidR="00167916" w:rsidRPr="00587C46" w:rsidTr="00587C46">
        <w:trPr>
          <w:trHeight w:val="180"/>
          <w:jc w:val="center"/>
        </w:trPr>
        <w:tc>
          <w:tcPr>
            <w:tcW w:w="3666" w:type="dxa"/>
            <w:tcBorders>
              <w:top w:val="single" w:sz="4" w:space="0" w:color="auto"/>
              <w:left w:val="single" w:sz="4" w:space="0" w:color="auto"/>
              <w:bottom w:val="single" w:sz="4" w:space="0" w:color="auto"/>
              <w:right w:val="single" w:sz="4" w:space="0" w:color="auto"/>
            </w:tcBorders>
            <w:noWrap/>
            <w:vAlign w:val="center"/>
          </w:tcPr>
          <w:p w:rsidR="00167916" w:rsidRPr="00573A69" w:rsidRDefault="00167916" w:rsidP="00ED43B9">
            <w:pPr>
              <w:keepLines/>
              <w:bidi/>
              <w:rPr>
                <w:rFonts w:ascii="Arabic Typesetting" w:hAnsi="Arabic Typesetting" w:cs="Arabic Typesetting"/>
                <w:w w:val="95"/>
                <w:sz w:val="30"/>
                <w:szCs w:val="30"/>
                <w:rtl/>
                <w:lang w:bidi="ar-EG"/>
              </w:rPr>
            </w:pPr>
            <w:r w:rsidRPr="00573A69">
              <w:rPr>
                <w:rFonts w:ascii="Arabic Typesetting" w:hAnsi="Arabic Typesetting" w:cs="Arabic Typesetting"/>
                <w:bCs/>
                <w:w w:val="95"/>
                <w:sz w:val="30"/>
                <w:szCs w:val="30"/>
                <w:rtl/>
                <w:lang w:bidi="ar-EG"/>
              </w:rPr>
              <w:t>بيانات وتصريحات وأنشطة تخالف التزامات موظف مدني دولي</w:t>
            </w:r>
          </w:p>
        </w:tc>
        <w:tc>
          <w:tcPr>
            <w:tcW w:w="837"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jc w:val="center"/>
              <w:rPr>
                <w:rFonts w:ascii="Arabic Typesetting" w:hAnsi="Arabic Typesetting" w:cs="Arabic Typesetting"/>
                <w:sz w:val="30"/>
                <w:szCs w:val="30"/>
              </w:rPr>
            </w:pPr>
            <w:r w:rsidRPr="00587C46">
              <w:rPr>
                <w:rFonts w:ascii="Arabic Typesetting" w:hAnsi="Arabic Typesetting" w:cs="Arabic Typesetting"/>
                <w:sz w:val="30"/>
                <w:szCs w:val="30"/>
              </w:rPr>
              <w:t>13%</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19%</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15%</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15%</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19%</w:t>
            </w:r>
          </w:p>
        </w:tc>
        <w:tc>
          <w:tcPr>
            <w:tcW w:w="743"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w:t>
            </w:r>
          </w:p>
        </w:tc>
        <w:tc>
          <w:tcPr>
            <w:tcW w:w="884"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15%</w:t>
            </w:r>
          </w:p>
        </w:tc>
      </w:tr>
      <w:tr w:rsidR="00167916" w:rsidRPr="00587C46" w:rsidTr="00587C46">
        <w:trPr>
          <w:trHeight w:val="180"/>
          <w:jc w:val="center"/>
        </w:trPr>
        <w:tc>
          <w:tcPr>
            <w:tcW w:w="3666"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ED43B9">
            <w:pPr>
              <w:keepLines/>
              <w:bidi/>
              <w:rPr>
                <w:rFonts w:ascii="Arabic Typesetting" w:hAnsi="Arabic Typesetting" w:cs="Arabic Typesetting"/>
                <w:sz w:val="30"/>
                <w:szCs w:val="30"/>
                <w:rtl/>
                <w:lang w:bidi="ar-EG"/>
              </w:rPr>
            </w:pPr>
            <w:r w:rsidRPr="00587C46">
              <w:rPr>
                <w:rFonts w:ascii="Arabic Typesetting" w:hAnsi="Arabic Typesetting" w:cs="Arabic Typesetting"/>
                <w:bCs/>
                <w:sz w:val="30"/>
                <w:szCs w:val="30"/>
                <w:rtl/>
                <w:lang w:bidi="ar-EG"/>
              </w:rPr>
              <w:t xml:space="preserve">إرسال معلومات على نحو غير مرخص به </w:t>
            </w:r>
          </w:p>
        </w:tc>
        <w:tc>
          <w:tcPr>
            <w:tcW w:w="837"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jc w:val="center"/>
              <w:rPr>
                <w:rFonts w:ascii="Arabic Typesetting" w:hAnsi="Arabic Typesetting" w:cs="Arabic Typesetting"/>
                <w:sz w:val="30"/>
                <w:szCs w:val="30"/>
              </w:rPr>
            </w:pPr>
            <w:r w:rsidRPr="00587C46">
              <w:rPr>
                <w:rFonts w:ascii="Arabic Typesetting" w:hAnsi="Arabic Typesetting" w:cs="Arabic Typesetting"/>
                <w:sz w:val="30"/>
                <w:szCs w:val="30"/>
              </w:rPr>
              <w:t>-</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6%</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8%</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14%</w:t>
            </w:r>
          </w:p>
        </w:tc>
        <w:tc>
          <w:tcPr>
            <w:tcW w:w="743"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14%</w:t>
            </w:r>
          </w:p>
        </w:tc>
        <w:tc>
          <w:tcPr>
            <w:tcW w:w="884"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6%</w:t>
            </w:r>
          </w:p>
        </w:tc>
      </w:tr>
      <w:tr w:rsidR="00167916" w:rsidRPr="00587C46" w:rsidTr="00587C46">
        <w:trPr>
          <w:trHeight w:val="180"/>
          <w:jc w:val="center"/>
        </w:trPr>
        <w:tc>
          <w:tcPr>
            <w:tcW w:w="3666"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ED43B9">
            <w:pPr>
              <w:keepLines/>
              <w:bidi/>
              <w:rPr>
                <w:rFonts w:ascii="Arabic Typesetting" w:hAnsi="Arabic Typesetting" w:cs="Arabic Typesetting"/>
                <w:sz w:val="30"/>
                <w:szCs w:val="30"/>
                <w:rtl/>
                <w:lang w:bidi="ar-EG"/>
              </w:rPr>
            </w:pPr>
            <w:r w:rsidRPr="00587C46">
              <w:rPr>
                <w:rFonts w:ascii="Arabic Typesetting" w:hAnsi="Arabic Typesetting" w:cs="Arabic Typesetting"/>
                <w:bCs/>
                <w:sz w:val="30"/>
                <w:szCs w:val="30"/>
                <w:rtl/>
                <w:lang w:bidi="ar-EG"/>
              </w:rPr>
              <w:t>المجموع الكلي</w:t>
            </w:r>
          </w:p>
        </w:tc>
        <w:tc>
          <w:tcPr>
            <w:tcW w:w="837"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jc w:val="center"/>
              <w:rPr>
                <w:rFonts w:ascii="Arabic Typesetting" w:hAnsi="Arabic Typesetting" w:cs="Arabic Typesetting"/>
                <w:sz w:val="30"/>
                <w:szCs w:val="30"/>
              </w:rPr>
            </w:pPr>
            <w:r w:rsidRPr="00587C46">
              <w:rPr>
                <w:rFonts w:ascii="Arabic Typesetting" w:hAnsi="Arabic Typesetting" w:cs="Arabic Typesetting"/>
                <w:sz w:val="30"/>
                <w:szCs w:val="30"/>
              </w:rPr>
              <w:t>100%</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100%</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100%</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100%</w:t>
            </w:r>
          </w:p>
        </w:tc>
        <w:tc>
          <w:tcPr>
            <w:tcW w:w="741"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100%</w:t>
            </w:r>
          </w:p>
        </w:tc>
        <w:tc>
          <w:tcPr>
            <w:tcW w:w="743"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100%</w:t>
            </w:r>
          </w:p>
        </w:tc>
        <w:tc>
          <w:tcPr>
            <w:tcW w:w="884" w:type="dxa"/>
            <w:tcBorders>
              <w:top w:val="single" w:sz="4" w:space="0" w:color="auto"/>
              <w:left w:val="single" w:sz="4" w:space="0" w:color="auto"/>
              <w:bottom w:val="single" w:sz="4" w:space="0" w:color="auto"/>
              <w:right w:val="single" w:sz="4" w:space="0" w:color="auto"/>
            </w:tcBorders>
            <w:noWrap/>
            <w:vAlign w:val="center"/>
          </w:tcPr>
          <w:p w:rsidR="00167916" w:rsidRPr="00587C46" w:rsidRDefault="00167916" w:rsidP="00C174B9">
            <w:pPr>
              <w:keepLines/>
              <w:bidi/>
              <w:rPr>
                <w:rFonts w:ascii="Arabic Typesetting" w:hAnsi="Arabic Typesetting" w:cs="Arabic Typesetting"/>
                <w:sz w:val="30"/>
                <w:szCs w:val="30"/>
              </w:rPr>
            </w:pPr>
            <w:r w:rsidRPr="00587C46">
              <w:rPr>
                <w:rFonts w:ascii="Arabic Typesetting" w:hAnsi="Arabic Typesetting" w:cs="Arabic Typesetting"/>
                <w:sz w:val="30"/>
                <w:szCs w:val="30"/>
              </w:rPr>
              <w:t>100%</w:t>
            </w:r>
          </w:p>
        </w:tc>
      </w:tr>
    </w:tbl>
    <w:p w:rsidR="00167916" w:rsidRPr="005D619C" w:rsidRDefault="00167916" w:rsidP="0018104B">
      <w:pPr>
        <w:keepLines/>
        <w:bidi/>
        <w:ind w:left="2832" w:firstLine="708"/>
        <w:jc w:val="center"/>
        <w:rPr>
          <w:rFonts w:ascii="Arabic Typesetting" w:hAnsi="Arabic Typesetting" w:cs="Arabic Typesetting"/>
          <w:sz w:val="36"/>
          <w:szCs w:val="36"/>
          <w:rtl/>
        </w:rPr>
      </w:pPr>
      <w:r w:rsidRPr="005D619C">
        <w:rPr>
          <w:rFonts w:ascii="Arabic Typesetting" w:hAnsi="Arabic Typesetting" w:cs="Arabic Typesetting"/>
          <w:sz w:val="36"/>
          <w:szCs w:val="36"/>
          <w:rtl/>
          <w:lang w:bidi="ar-EG"/>
        </w:rPr>
        <w:t>[يلي ذلك المرفق الثالث]</w:t>
      </w:r>
    </w:p>
    <w:p w:rsidR="00167916" w:rsidRPr="005D619C" w:rsidRDefault="00167916" w:rsidP="0018104B">
      <w:pPr>
        <w:pStyle w:val="StyleChapterBold1"/>
        <w:keepLines/>
        <w:bidi/>
        <w:rPr>
          <w:rFonts w:ascii="Arabic Typesetting" w:hAnsi="Arabic Typesetting" w:cs="Arabic Typesetting"/>
          <w:sz w:val="36"/>
          <w:szCs w:val="36"/>
        </w:rPr>
        <w:sectPr w:rsidR="00167916" w:rsidRPr="005D619C" w:rsidSect="00CF5082">
          <w:headerReference w:type="first" r:id="rId17"/>
          <w:pgSz w:w="11907" w:h="16840" w:code="9"/>
          <w:pgMar w:top="426" w:right="1418" w:bottom="180" w:left="851" w:header="284" w:footer="217" w:gutter="0"/>
          <w:pgNumType w:start="1"/>
          <w:cols w:space="720"/>
          <w:titlePg/>
          <w:docGrid w:linePitch="327"/>
        </w:sectPr>
      </w:pPr>
    </w:p>
    <w:p w:rsidR="00167916" w:rsidRPr="005D619C" w:rsidRDefault="00167916" w:rsidP="001F13C5">
      <w:pPr>
        <w:keepLines/>
        <w:bidi/>
        <w:spacing w:after="240" w:line="360" w:lineRule="exact"/>
        <w:jc w:val="center"/>
        <w:rPr>
          <w:rFonts w:ascii="Arabic Typesetting" w:hAnsi="Arabic Typesetting" w:cs="Arabic Typesetting"/>
          <w:bCs/>
          <w:sz w:val="36"/>
          <w:szCs w:val="36"/>
          <w:rtl/>
          <w:lang w:bidi="ar-EG"/>
        </w:rPr>
      </w:pPr>
      <w:r w:rsidRPr="005D619C">
        <w:rPr>
          <w:rFonts w:ascii="Arabic Typesetting" w:hAnsi="Arabic Typesetting" w:cs="Arabic Typesetting"/>
          <w:bCs/>
          <w:sz w:val="36"/>
          <w:szCs w:val="36"/>
          <w:rtl/>
          <w:lang w:bidi="ar-EG"/>
        </w:rPr>
        <w:lastRenderedPageBreak/>
        <w:t>قائمة بتوصيات شعبة التدقيق الداخلي والرقابة الإدارية المقفلة بدون تنفيذ</w:t>
      </w:r>
    </w:p>
    <w:tbl>
      <w:tblPr>
        <w:bidiVisual/>
        <w:tblW w:w="9445" w:type="dxa"/>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1251"/>
        <w:gridCol w:w="4252"/>
        <w:gridCol w:w="3473"/>
      </w:tblGrid>
      <w:tr w:rsidR="00167916" w:rsidRPr="00C174B9" w:rsidTr="00C174B9">
        <w:trPr>
          <w:trHeight w:val="796"/>
          <w:tblHeader/>
          <w:jc w:val="center"/>
        </w:trPr>
        <w:tc>
          <w:tcPr>
            <w:tcW w:w="469" w:type="dxa"/>
            <w:vAlign w:val="center"/>
          </w:tcPr>
          <w:p w:rsidR="00167916" w:rsidRPr="00C174B9" w:rsidRDefault="00167916" w:rsidP="00ED43B9">
            <w:pPr>
              <w:keepLines/>
              <w:tabs>
                <w:tab w:val="left" w:pos="2860"/>
                <w:tab w:val="left" w:pos="5610"/>
              </w:tabs>
              <w:bidi/>
              <w:spacing w:after="120"/>
              <w:jc w:val="center"/>
              <w:rPr>
                <w:rFonts w:ascii="Arabic Typesetting" w:hAnsi="Arabic Typesetting" w:cs="Arabic Typesetting"/>
                <w:sz w:val="30"/>
                <w:szCs w:val="30"/>
                <w:rtl/>
                <w:lang w:bidi="ar-EG"/>
              </w:rPr>
            </w:pPr>
            <w:r w:rsidRPr="00C174B9">
              <w:rPr>
                <w:rFonts w:ascii="Arabic Typesetting" w:hAnsi="Arabic Typesetting" w:cs="Arabic Typesetting"/>
                <w:bCs/>
                <w:sz w:val="30"/>
                <w:szCs w:val="30"/>
                <w:rtl/>
                <w:lang w:bidi="ar-EG"/>
              </w:rPr>
              <w:t>رقم</w:t>
            </w:r>
          </w:p>
        </w:tc>
        <w:tc>
          <w:tcPr>
            <w:tcW w:w="1251" w:type="dxa"/>
            <w:vAlign w:val="center"/>
          </w:tcPr>
          <w:p w:rsidR="00167916" w:rsidRPr="00C174B9" w:rsidRDefault="00167916" w:rsidP="00ED43B9">
            <w:pPr>
              <w:keepLines/>
              <w:tabs>
                <w:tab w:val="left" w:pos="2860"/>
                <w:tab w:val="left" w:pos="5610"/>
              </w:tabs>
              <w:bidi/>
              <w:spacing w:after="120"/>
              <w:jc w:val="center"/>
              <w:rPr>
                <w:rFonts w:ascii="Arabic Typesetting" w:hAnsi="Arabic Typesetting" w:cs="Arabic Typesetting"/>
                <w:sz w:val="30"/>
                <w:szCs w:val="30"/>
                <w:rtl/>
                <w:lang w:bidi="ar-EG"/>
              </w:rPr>
            </w:pPr>
            <w:r w:rsidRPr="00C174B9">
              <w:rPr>
                <w:rFonts w:ascii="Arabic Typesetting" w:hAnsi="Arabic Typesetting" w:cs="Arabic Typesetting"/>
                <w:bCs/>
                <w:sz w:val="30"/>
                <w:szCs w:val="30"/>
                <w:rtl/>
                <w:lang w:bidi="ar-EG"/>
              </w:rPr>
              <w:t>المرجع</w:t>
            </w:r>
          </w:p>
        </w:tc>
        <w:tc>
          <w:tcPr>
            <w:tcW w:w="4252" w:type="dxa"/>
            <w:vAlign w:val="center"/>
          </w:tcPr>
          <w:p w:rsidR="00167916" w:rsidRPr="00C174B9" w:rsidRDefault="00167916" w:rsidP="00ED43B9">
            <w:pPr>
              <w:keepLines/>
              <w:tabs>
                <w:tab w:val="left" w:pos="2860"/>
                <w:tab w:val="left" w:pos="5610"/>
              </w:tabs>
              <w:bidi/>
              <w:spacing w:after="120"/>
              <w:jc w:val="center"/>
              <w:rPr>
                <w:rFonts w:ascii="Arabic Typesetting" w:hAnsi="Arabic Typesetting" w:cs="Arabic Typesetting"/>
                <w:sz w:val="30"/>
                <w:szCs w:val="30"/>
                <w:rtl/>
                <w:lang w:bidi="ar-EG"/>
              </w:rPr>
            </w:pPr>
            <w:r w:rsidRPr="00C174B9">
              <w:rPr>
                <w:rFonts w:ascii="Arabic Typesetting" w:hAnsi="Arabic Typesetting" w:cs="Arabic Typesetting"/>
                <w:bCs/>
                <w:sz w:val="30"/>
                <w:szCs w:val="30"/>
                <w:rtl/>
                <w:lang w:bidi="ar-EG"/>
              </w:rPr>
              <w:t>وصف التوصية</w:t>
            </w:r>
          </w:p>
        </w:tc>
        <w:tc>
          <w:tcPr>
            <w:tcW w:w="3473" w:type="dxa"/>
            <w:vAlign w:val="center"/>
          </w:tcPr>
          <w:p w:rsidR="00167916" w:rsidRPr="00C174B9" w:rsidRDefault="00167916" w:rsidP="00ED43B9">
            <w:pPr>
              <w:keepLines/>
              <w:tabs>
                <w:tab w:val="left" w:pos="2860"/>
                <w:tab w:val="left" w:pos="5610"/>
              </w:tabs>
              <w:bidi/>
              <w:spacing w:after="120"/>
              <w:jc w:val="center"/>
              <w:rPr>
                <w:rFonts w:ascii="Arabic Typesetting" w:hAnsi="Arabic Typesetting" w:cs="Arabic Typesetting"/>
                <w:bCs/>
                <w:sz w:val="30"/>
                <w:szCs w:val="30"/>
                <w:rtl/>
                <w:lang w:bidi="ar-EG"/>
              </w:rPr>
            </w:pPr>
            <w:r w:rsidRPr="00C174B9">
              <w:rPr>
                <w:rFonts w:ascii="Arabic Typesetting" w:hAnsi="Arabic Typesetting" w:cs="Arabic Typesetting"/>
                <w:bCs/>
                <w:sz w:val="30"/>
                <w:szCs w:val="30"/>
                <w:rtl/>
                <w:lang w:bidi="ar-EG"/>
              </w:rPr>
              <w:t>تقدير المخاطر المتبقية</w:t>
            </w:r>
          </w:p>
          <w:p w:rsidR="00167916" w:rsidRPr="00C174B9" w:rsidRDefault="00167916" w:rsidP="00ED43B9">
            <w:pPr>
              <w:keepLines/>
              <w:tabs>
                <w:tab w:val="left" w:pos="2860"/>
                <w:tab w:val="left" w:pos="5610"/>
              </w:tabs>
              <w:bidi/>
              <w:spacing w:after="120"/>
              <w:jc w:val="center"/>
              <w:rPr>
                <w:rFonts w:ascii="Arabic Typesetting" w:hAnsi="Arabic Typesetting" w:cs="Arabic Typesetting"/>
                <w:sz w:val="30"/>
                <w:szCs w:val="30"/>
                <w:rtl/>
                <w:lang w:bidi="ar-EG"/>
              </w:rPr>
            </w:pPr>
            <w:r w:rsidRPr="00C174B9">
              <w:rPr>
                <w:rFonts w:ascii="Arabic Typesetting" w:hAnsi="Arabic Typesetting" w:cs="Arabic Typesetting"/>
                <w:bCs/>
                <w:sz w:val="30"/>
                <w:szCs w:val="30"/>
                <w:rtl/>
                <w:lang w:bidi="ar-EG"/>
              </w:rPr>
              <w:t>(الأمانة)</w:t>
            </w:r>
          </w:p>
        </w:tc>
      </w:tr>
      <w:tr w:rsidR="00167916" w:rsidRPr="00C174B9" w:rsidTr="00C174B9">
        <w:trPr>
          <w:jc w:val="center"/>
        </w:trPr>
        <w:tc>
          <w:tcPr>
            <w:tcW w:w="469" w:type="dxa"/>
          </w:tcPr>
          <w:p w:rsidR="00167916" w:rsidRPr="00C174B9" w:rsidRDefault="00C174B9" w:rsidP="00C174B9">
            <w:pPr>
              <w:keepLines/>
              <w:tabs>
                <w:tab w:val="left" w:pos="2860"/>
                <w:tab w:val="left" w:pos="5610"/>
              </w:tabs>
              <w:spacing w:before="240" w:after="120"/>
              <w:rPr>
                <w:rFonts w:ascii="Arabic Typesetting" w:hAnsi="Arabic Typesetting" w:cs="Arabic Typesetting"/>
                <w:sz w:val="30"/>
                <w:szCs w:val="30"/>
                <w:rtl/>
              </w:rPr>
            </w:pPr>
            <w:r w:rsidRPr="00C174B9">
              <w:rPr>
                <w:rFonts w:ascii="Arabic Typesetting" w:hAnsi="Arabic Typesetting" w:cs="Arabic Typesetting" w:hint="cs"/>
                <w:sz w:val="30"/>
                <w:szCs w:val="30"/>
                <w:rtl/>
              </w:rPr>
              <w:t>.</w:t>
            </w:r>
            <w:r w:rsidR="00167916" w:rsidRPr="00C174B9">
              <w:rPr>
                <w:rFonts w:ascii="Arabic Typesetting" w:hAnsi="Arabic Typesetting" w:cs="Arabic Typesetting"/>
                <w:sz w:val="30"/>
                <w:szCs w:val="30"/>
              </w:rPr>
              <w:t>1</w:t>
            </w:r>
          </w:p>
        </w:tc>
        <w:tc>
          <w:tcPr>
            <w:tcW w:w="1251" w:type="dxa"/>
          </w:tcPr>
          <w:p w:rsidR="00167916" w:rsidRPr="00C174B9" w:rsidRDefault="00167916" w:rsidP="00ED43B9">
            <w:pPr>
              <w:keepLines/>
              <w:tabs>
                <w:tab w:val="left" w:pos="2860"/>
                <w:tab w:val="left" w:pos="5610"/>
              </w:tabs>
              <w:bidi/>
              <w:spacing w:before="240" w:after="120"/>
              <w:rPr>
                <w:rFonts w:ascii="Arabic Typesetting" w:hAnsi="Arabic Typesetting" w:cs="Arabic Typesetting"/>
                <w:sz w:val="30"/>
                <w:szCs w:val="30"/>
                <w:rtl/>
                <w:lang w:bidi="ar-EG"/>
              </w:rPr>
            </w:pPr>
            <w:r w:rsidRPr="00C174B9">
              <w:rPr>
                <w:rFonts w:ascii="Arabic Typesetting" w:hAnsi="Arabic Typesetting" w:cs="Arabic Typesetting"/>
                <w:sz w:val="30"/>
                <w:szCs w:val="30"/>
                <w:rtl/>
                <w:lang w:bidi="ar-EG"/>
              </w:rPr>
              <w:t xml:space="preserve">التوصية 425 من استعراض إدارة الموارد البشرية </w:t>
            </w:r>
            <w:r w:rsidRPr="00C174B9">
              <w:rPr>
                <w:rFonts w:ascii="Arabic Typesetting" w:hAnsi="Arabic Typesetting" w:cs="Arabic Typesetting"/>
                <w:sz w:val="30"/>
                <w:szCs w:val="30"/>
                <w:lang w:bidi="ar-EG"/>
              </w:rPr>
              <w:t>IA 2011-06</w:t>
            </w:r>
            <w:r w:rsidRPr="00C174B9">
              <w:rPr>
                <w:rFonts w:ascii="Arabic Typesetting" w:hAnsi="Arabic Typesetting" w:cs="Arabic Typesetting"/>
                <w:sz w:val="30"/>
                <w:szCs w:val="30"/>
              </w:rPr>
              <w:t xml:space="preserve"> </w:t>
            </w:r>
          </w:p>
        </w:tc>
        <w:tc>
          <w:tcPr>
            <w:tcW w:w="4252" w:type="dxa"/>
          </w:tcPr>
          <w:p w:rsidR="00167916" w:rsidRPr="00C174B9" w:rsidRDefault="00167916" w:rsidP="00ED43B9">
            <w:pPr>
              <w:keepLines/>
              <w:tabs>
                <w:tab w:val="left" w:pos="2860"/>
                <w:tab w:val="left" w:pos="5610"/>
              </w:tabs>
              <w:bidi/>
              <w:spacing w:before="240" w:after="120"/>
              <w:rPr>
                <w:rFonts w:ascii="Arabic Typesetting" w:hAnsi="Arabic Typesetting" w:cs="Arabic Typesetting"/>
                <w:sz w:val="30"/>
                <w:szCs w:val="30"/>
                <w:rtl/>
                <w:lang w:bidi="ar-EG"/>
              </w:rPr>
            </w:pPr>
            <w:r w:rsidRPr="00C174B9">
              <w:rPr>
                <w:rFonts w:ascii="Arabic Typesetting" w:hAnsi="Arabic Typesetting" w:cs="Arabic Typesetting"/>
                <w:sz w:val="30"/>
                <w:szCs w:val="30"/>
                <w:rtl/>
                <w:lang w:bidi="ar-EG"/>
              </w:rPr>
              <w:t xml:space="preserve">ينبغي زيادة ميزانية الويبو المخصصة للتدريب لكي تدعم على نحو فعال تحقيق أهداف نظام إدارة الأداء وتطوير الموظفين، مع اتخاذ الممارسات الجيدة للأمم المتحدة ومعايير إطار التعلم المؤسسي لمنظومة الأمم المتحدة كمقياس. </w:t>
            </w:r>
          </w:p>
        </w:tc>
        <w:tc>
          <w:tcPr>
            <w:tcW w:w="3473" w:type="dxa"/>
          </w:tcPr>
          <w:p w:rsidR="00167916" w:rsidRPr="00C174B9" w:rsidRDefault="00167916" w:rsidP="00C174B9">
            <w:pPr>
              <w:keepLines/>
              <w:tabs>
                <w:tab w:val="left" w:pos="2860"/>
                <w:tab w:val="left" w:pos="5610"/>
              </w:tabs>
              <w:bidi/>
              <w:spacing w:before="240" w:after="120"/>
              <w:rPr>
                <w:rFonts w:ascii="Arabic Typesetting" w:hAnsi="Arabic Typesetting" w:cs="Arabic Typesetting"/>
                <w:sz w:val="30"/>
                <w:szCs w:val="30"/>
                <w:rtl/>
                <w:lang w:bidi="ar-EG"/>
              </w:rPr>
            </w:pPr>
            <w:r w:rsidRPr="00C174B9">
              <w:rPr>
                <w:rFonts w:ascii="Arabic Typesetting" w:hAnsi="Arabic Typesetting" w:cs="Arabic Typesetting"/>
                <w:sz w:val="30"/>
                <w:szCs w:val="30"/>
                <w:rtl/>
                <w:lang w:bidi="ar-EG"/>
              </w:rPr>
              <w:t>ترى إدارة الموارد البشرية أن الهدف 1</w:t>
            </w:r>
            <w:r w:rsidR="00C174B9">
              <w:rPr>
                <w:rFonts w:ascii="Arabic Typesetting" w:hAnsi="Arabic Typesetting" w:cs="Arabic Typesetting" w:hint="cs"/>
                <w:sz w:val="30"/>
                <w:szCs w:val="30"/>
                <w:rtl/>
                <w:lang w:bidi="ar-EG"/>
              </w:rPr>
              <w:t xml:space="preserve"> بالمائة</w:t>
            </w:r>
            <w:r w:rsidRPr="00C174B9">
              <w:rPr>
                <w:rFonts w:ascii="Arabic Typesetting" w:hAnsi="Arabic Typesetting" w:cs="Arabic Typesetting"/>
                <w:sz w:val="30"/>
                <w:szCs w:val="30"/>
                <w:rtl/>
                <w:lang w:bidi="ar-EG"/>
              </w:rPr>
              <w:t xml:space="preserve"> لا يعد قابلا للإنجاز في ظل الوضع الاقتصادي الحالي.</w:t>
            </w:r>
            <w:r w:rsidRPr="00C174B9">
              <w:rPr>
                <w:rFonts w:ascii="Arabic Typesetting" w:hAnsi="Arabic Typesetting" w:cs="Arabic Typesetting"/>
                <w:sz w:val="30"/>
                <w:szCs w:val="30"/>
              </w:rPr>
              <w:t xml:space="preserve"> </w:t>
            </w:r>
            <w:r w:rsidRPr="00C174B9">
              <w:rPr>
                <w:rFonts w:ascii="Arabic Typesetting" w:hAnsi="Arabic Typesetting" w:cs="Arabic Typesetting"/>
                <w:sz w:val="30"/>
                <w:szCs w:val="30"/>
                <w:rtl/>
                <w:lang w:bidi="ar-EG"/>
              </w:rPr>
              <w:t>ولكن طالما كانت الميزانية المخصصة للتدريب كافية لتغطية احتياجات التدريب الجماعي والهدف المحدد بالنسبة لاحتياجات التدريب الفردي حسبما يحدد نظام إدارة الأداء وتطوير الموظفين، وأيضا مع مراعاة أن الويبو تقدم مجموعة كبيرة من أنشطة التدريب التي يقوم عليها المدربون الداخليون والأكاديمية، فإن الانحراف عن الواحد بالمائة ينبغي أن تقبله الويبو كمخاطرة مقبولة.</w:t>
            </w:r>
          </w:p>
          <w:p w:rsidR="00167916" w:rsidRPr="00C174B9" w:rsidRDefault="00167916" w:rsidP="00ED43B9">
            <w:pPr>
              <w:keepLines/>
              <w:tabs>
                <w:tab w:val="left" w:pos="2860"/>
                <w:tab w:val="left" w:pos="5610"/>
              </w:tabs>
              <w:bidi/>
              <w:spacing w:after="120"/>
              <w:rPr>
                <w:rFonts w:ascii="Arabic Typesetting" w:hAnsi="Arabic Typesetting" w:cs="Arabic Typesetting"/>
                <w:sz w:val="30"/>
                <w:szCs w:val="30"/>
                <w:rtl/>
                <w:lang w:bidi="ar-EG"/>
              </w:rPr>
            </w:pPr>
            <w:r w:rsidRPr="00C174B9">
              <w:rPr>
                <w:rFonts w:ascii="Arabic Typesetting" w:hAnsi="Arabic Typesetting" w:cs="Arabic Typesetting"/>
                <w:sz w:val="30"/>
                <w:szCs w:val="30"/>
                <w:rtl/>
                <w:lang w:bidi="ar-EG"/>
              </w:rPr>
              <w:t>وافق المدير العام وأخبر شعبة التدقيق الداخلي والرقابة الإدارية بأن الويبو ستمتثل بقدر ما تسمح الميزانية وبقدر ما تراه مناسبا لتلبية الاحتياجات.</w:t>
            </w:r>
          </w:p>
        </w:tc>
      </w:tr>
    </w:tbl>
    <w:p w:rsidR="00167916" w:rsidRPr="005D619C" w:rsidRDefault="00167916" w:rsidP="0018104B">
      <w:pPr>
        <w:keepLines/>
        <w:tabs>
          <w:tab w:val="left" w:pos="540"/>
        </w:tabs>
        <w:bidi/>
        <w:rPr>
          <w:rFonts w:ascii="Arabic Typesetting" w:hAnsi="Arabic Typesetting" w:cs="Arabic Typesetting"/>
          <w:sz w:val="36"/>
          <w:szCs w:val="36"/>
        </w:rPr>
      </w:pPr>
    </w:p>
    <w:p w:rsidR="00C174B9" w:rsidRDefault="00167916" w:rsidP="00C174B9">
      <w:pPr>
        <w:pStyle w:val="EndofDocumentAR"/>
        <w:rPr>
          <w:lang w:bidi="ar-EG"/>
        </w:rPr>
      </w:pPr>
      <w:r w:rsidRPr="005D619C">
        <w:rPr>
          <w:rtl/>
          <w:lang w:bidi="ar-EG"/>
        </w:rPr>
        <w:t>[يلي ذلك المرفق الرابع]</w:t>
      </w:r>
    </w:p>
    <w:p w:rsidR="00CF5082" w:rsidRDefault="00CF5082" w:rsidP="00CF5082">
      <w:pPr>
        <w:pStyle w:val="NormalParaAR"/>
        <w:rPr>
          <w:lang w:val="fr-CH" w:bidi="ar-EG"/>
        </w:rPr>
      </w:pPr>
    </w:p>
    <w:p w:rsidR="00CF5082" w:rsidRPr="00CF5082" w:rsidRDefault="00CF5082" w:rsidP="00CF5082">
      <w:pPr>
        <w:pStyle w:val="NormalParaAR"/>
        <w:rPr>
          <w:lang w:val="fr-CH" w:bidi="ar-EG"/>
        </w:rPr>
      </w:pPr>
    </w:p>
    <w:p w:rsidR="00CF5082" w:rsidRPr="00CF5082" w:rsidRDefault="00CF5082" w:rsidP="00CF5082">
      <w:pPr>
        <w:pStyle w:val="NormalParaAR"/>
        <w:rPr>
          <w:rtl/>
          <w:lang w:val="fr-CH" w:bidi="ar-EG"/>
        </w:rPr>
        <w:sectPr w:rsidR="00CF5082" w:rsidRPr="00CF5082" w:rsidSect="008E27CF">
          <w:headerReference w:type="default" r:id="rId18"/>
          <w:headerReference w:type="first" r:id="rId19"/>
          <w:footerReference w:type="first" r:id="rId20"/>
          <w:pgSz w:w="11907" w:h="16840" w:code="9"/>
          <w:pgMar w:top="567" w:right="1418" w:bottom="1418" w:left="1134" w:header="510" w:footer="1021" w:gutter="0"/>
          <w:pgNumType w:start="1"/>
          <w:cols w:space="720"/>
          <w:titlePg/>
          <w:docGrid w:linePitch="299"/>
        </w:sectPr>
      </w:pPr>
    </w:p>
    <w:p w:rsidR="00167916" w:rsidRPr="00C174B9" w:rsidRDefault="00167916" w:rsidP="001F13C5">
      <w:pPr>
        <w:bidi/>
        <w:spacing w:after="360" w:line="360" w:lineRule="exact"/>
        <w:jc w:val="center"/>
        <w:rPr>
          <w:rFonts w:ascii="Arabic Typesetting" w:hAnsi="Arabic Typesetting" w:cs="Arabic Typesetting"/>
          <w:bCs/>
          <w:sz w:val="40"/>
          <w:szCs w:val="40"/>
          <w:rtl/>
          <w:lang w:bidi="ar-EG"/>
        </w:rPr>
      </w:pPr>
      <w:r w:rsidRPr="00C174B9">
        <w:rPr>
          <w:rFonts w:ascii="Arabic Typesetting" w:hAnsi="Arabic Typesetting" w:cs="Arabic Typesetting"/>
          <w:bCs/>
          <w:sz w:val="40"/>
          <w:szCs w:val="40"/>
          <w:rtl/>
          <w:lang w:bidi="ar-EG"/>
        </w:rPr>
        <w:lastRenderedPageBreak/>
        <w:t>قائمة بالأنشطة الاستشارية لشعبة التدقيق الداخلي والرقابة الإدارية</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سياسة إدارة السجلات والمحفوظات</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سياسة الكشف المالي</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تقييم مشاريع الشعب</w:t>
      </w:r>
      <w:r w:rsidR="00C174B9">
        <w:rPr>
          <w:rFonts w:ascii="Arabic Typesetting" w:hAnsi="Arabic Typesetting" w:cs="Arabic Typesetting"/>
          <w:sz w:val="36"/>
          <w:szCs w:val="36"/>
          <w:rtl/>
          <w:lang w:bidi="ar-EG"/>
        </w:rPr>
        <w:t>ة المعنية بتطوير البنية التحتية</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التحقيق المستقل في تقديم المساعدة التقنية إلى الدول الخاضعة لعقوبات الأمم المتحدة</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 xml:space="preserve">صندوق كوريا </w:t>
      </w:r>
      <w:proofErr w:type="spellStart"/>
      <w:r w:rsidRPr="005D619C">
        <w:rPr>
          <w:rFonts w:ascii="Arabic Typesetting" w:hAnsi="Arabic Typesetting" w:cs="Arabic Typesetting"/>
          <w:sz w:val="36"/>
          <w:szCs w:val="36"/>
          <w:rtl/>
          <w:lang w:bidi="ar-EG"/>
        </w:rPr>
        <w:t>الاستئماني</w:t>
      </w:r>
      <w:proofErr w:type="spellEnd"/>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سي</w:t>
      </w:r>
      <w:r w:rsidR="00C174B9">
        <w:rPr>
          <w:rFonts w:ascii="Arabic Typesetting" w:hAnsi="Arabic Typesetting" w:cs="Arabic Typesetting"/>
          <w:sz w:val="36"/>
          <w:szCs w:val="36"/>
          <w:rtl/>
          <w:lang w:bidi="ar-EG"/>
        </w:rPr>
        <w:t>اسة حماية المبلغين عن المخالفات</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 xml:space="preserve">إدارة المحتوى المؤسسي ـ </w:t>
      </w:r>
      <w:r w:rsidRPr="005D619C">
        <w:rPr>
          <w:rFonts w:ascii="Arabic Typesetting" w:hAnsi="Arabic Typesetting" w:cs="Arabic Typesetting"/>
          <w:sz w:val="36"/>
          <w:szCs w:val="36"/>
          <w:lang w:bidi="ar-EG"/>
        </w:rPr>
        <w:t>ECM</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مبادرة النزاهة المؤسسية</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مدونة السلوك لإدارة علاقات الموردين</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سياسة النفاذ إلى الإنترنت 2013</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مبادرة الأمم المتحدة بشأن الشفافية والمساءلة</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الإعلان عن الوظائف الشاغرة</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سياسة مكافحة الفساد وردعه</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lang w:val="fr-CH"/>
        </w:rPr>
      </w:pPr>
      <w:r w:rsidRPr="005D619C">
        <w:rPr>
          <w:rFonts w:ascii="Arabic Typesetting" w:hAnsi="Arabic Typesetting" w:cs="Arabic Typesetting"/>
          <w:sz w:val="36"/>
          <w:szCs w:val="36"/>
          <w:rtl/>
          <w:lang w:bidi="ar-EG"/>
        </w:rPr>
        <w:t>تعليمات المكتب بشأن المشتريات ودليل المشتريات</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تعليمات المكتب بشأن استخدام المعلومات السرية</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نظام الموظفين ولائحته</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استعراض نظام العدالة الداخلية</w:t>
      </w:r>
    </w:p>
    <w:p w:rsidR="00167916" w:rsidRPr="005D619C" w:rsidRDefault="00167916" w:rsidP="001F13C5">
      <w:pPr>
        <w:numPr>
          <w:ilvl w:val="0"/>
          <w:numId w:val="34"/>
        </w:numPr>
        <w:tabs>
          <w:tab w:val="left" w:pos="1134"/>
        </w:tabs>
        <w:bidi/>
        <w:spacing w:after="240" w:line="360" w:lineRule="exact"/>
        <w:rPr>
          <w:rFonts w:ascii="Arabic Typesetting" w:hAnsi="Arabic Typesetting" w:cs="Arabic Typesetting"/>
          <w:sz w:val="36"/>
          <w:szCs w:val="36"/>
        </w:rPr>
      </w:pPr>
      <w:r w:rsidRPr="005D619C">
        <w:rPr>
          <w:rFonts w:ascii="Arabic Typesetting" w:hAnsi="Arabic Typesetting" w:cs="Arabic Typesetting"/>
          <w:sz w:val="36"/>
          <w:szCs w:val="36"/>
          <w:rtl/>
          <w:lang w:bidi="ar-EG"/>
        </w:rPr>
        <w:t>سياسات أمن المعلومات</w:t>
      </w:r>
    </w:p>
    <w:p w:rsidR="00167916" w:rsidRPr="005D619C" w:rsidRDefault="00167916" w:rsidP="00CF5082">
      <w:pPr>
        <w:bidi/>
        <w:ind w:left="5533"/>
        <w:rPr>
          <w:rtl/>
        </w:rPr>
      </w:pPr>
      <w:r w:rsidRPr="005D619C">
        <w:rPr>
          <w:rFonts w:ascii="Arabic Typesetting" w:hAnsi="Arabic Typesetting" w:cs="Arabic Typesetting"/>
          <w:sz w:val="36"/>
          <w:szCs w:val="36"/>
          <w:rtl/>
          <w:lang w:bidi="ar-EG"/>
        </w:rPr>
        <w:t>[نهاية المرفق الرابع والوثيقة]</w:t>
      </w:r>
    </w:p>
    <w:sectPr w:rsidR="00167916" w:rsidRPr="005D619C" w:rsidSect="008E27CF">
      <w:headerReference w:type="first" r:id="rId21"/>
      <w:footerReference w:type="first" r:id="rId2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D92" w:rsidRDefault="00727D92">
      <w:r>
        <w:separator/>
      </w:r>
    </w:p>
  </w:endnote>
  <w:endnote w:type="continuationSeparator" w:id="0">
    <w:p w:rsidR="00727D92" w:rsidRDefault="0072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92" w:rsidRDefault="00727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92" w:rsidRPr="0060587D" w:rsidRDefault="00727D92" w:rsidP="00605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D92" w:rsidRDefault="00727D92" w:rsidP="009622BF">
      <w:pPr>
        <w:bidi/>
      </w:pPr>
      <w:bookmarkStart w:id="0" w:name="OLE_LINK1"/>
      <w:bookmarkStart w:id="1" w:name="OLE_LINK2"/>
      <w:r>
        <w:separator/>
      </w:r>
      <w:bookmarkEnd w:id="0"/>
      <w:bookmarkEnd w:id="1"/>
    </w:p>
  </w:footnote>
  <w:footnote w:type="continuationSeparator" w:id="0">
    <w:p w:rsidR="00727D92" w:rsidRDefault="00727D92" w:rsidP="009622BF">
      <w:pPr>
        <w:bidi/>
      </w:pPr>
      <w:r>
        <w:separator/>
      </w:r>
    </w:p>
  </w:footnote>
  <w:footnote w:id="1">
    <w:p w:rsidR="00727D92" w:rsidRDefault="00727D92" w:rsidP="00DD0FCB">
      <w:pPr>
        <w:pStyle w:val="FootnoteText"/>
        <w:spacing w:after="120"/>
      </w:pPr>
      <w:r w:rsidRPr="007F40C5">
        <w:rPr>
          <w:rStyle w:val="FootnoteReference"/>
        </w:rPr>
        <w:footnoteRef/>
      </w:r>
      <w:r>
        <w:rPr>
          <w:rFonts w:hint="cs"/>
          <w:rtl/>
        </w:rPr>
        <w:tab/>
      </w:r>
      <w:r w:rsidRPr="007F40C5">
        <w:rPr>
          <w:rtl/>
        </w:rPr>
        <w:t xml:space="preserve">الجمع بين الاحتمال </w:t>
      </w:r>
      <w:r>
        <w:rPr>
          <w:rtl/>
        </w:rPr>
        <w:t>والأثر</w:t>
      </w:r>
      <w:r w:rsidRPr="007F40C5">
        <w:rPr>
          <w:rtl/>
        </w:rPr>
        <w:t xml:space="preserve"> يعطي قيم المخاطرة. </w:t>
      </w:r>
      <w:r>
        <w:rPr>
          <w:rFonts w:hint="cs"/>
          <w:rtl/>
        </w:rPr>
        <w:t>و</w:t>
      </w:r>
      <w:r w:rsidRPr="007F40C5">
        <w:rPr>
          <w:rtl/>
        </w:rPr>
        <w:t xml:space="preserve">عُدّل نموذج تقييم المخاطر في 2011 من خلال تحسين </w:t>
      </w:r>
      <w:r>
        <w:rPr>
          <w:rtl/>
        </w:rPr>
        <w:t>تحديد</w:t>
      </w:r>
      <w:r w:rsidRPr="007F40C5">
        <w:rPr>
          <w:rtl/>
        </w:rPr>
        <w:t xml:space="preserve"> </w:t>
      </w:r>
      <w:r w:rsidRPr="007F40C5">
        <w:rPr>
          <w:rtl/>
          <w:lang w:bidi="ar-EG"/>
        </w:rPr>
        <w:t xml:space="preserve">الاحتمال </w:t>
      </w:r>
      <w:r>
        <w:rPr>
          <w:rtl/>
          <w:lang w:bidi="ar-EG"/>
        </w:rPr>
        <w:t>والأثر</w:t>
      </w:r>
      <w:r w:rsidRPr="007F40C5">
        <w:rPr>
          <w:rtl/>
          <w:lang w:bidi="ar-EG"/>
        </w:rPr>
        <w:t>، ونتج عن ذلك تقييم أكثر تفصيلاً للمخاطر في الويبو. و</w:t>
      </w:r>
      <w:r>
        <w:rPr>
          <w:rtl/>
          <w:lang w:bidi="ar-EG"/>
        </w:rPr>
        <w:t xml:space="preserve">قد </w:t>
      </w:r>
      <w:r w:rsidRPr="007F40C5">
        <w:rPr>
          <w:rtl/>
          <w:lang w:bidi="ar-EG"/>
        </w:rPr>
        <w:t>حددت شعبة التدقيق الداخلي والرقابة الإدارية</w:t>
      </w:r>
      <w:r>
        <w:rPr>
          <w:rtl/>
          <w:lang w:bidi="ar-EG"/>
        </w:rPr>
        <w:t xml:space="preserve"> 9 معايير لحساب الاحتمال (الفترة المنقضية منذ تقرير التدقيق الأخير، نتائج التدقيق، المخاطر المتأصلة في وظائف الأعمال التجارية، التغييرات في العمليات التجارية، التغيير في الإدارة، الأهمية النسبية المالية، شواغل الإدارة/ال</w:t>
      </w:r>
      <w:r w:rsidRPr="00AC2987">
        <w:rPr>
          <w:rtl/>
          <w:lang w:bidi="ar-EG"/>
        </w:rPr>
        <w:t>لجنة الاستشارية المستقلة للرقابة</w:t>
      </w:r>
      <w:r>
        <w:rPr>
          <w:rtl/>
          <w:lang w:bidi="ar-EG"/>
        </w:rPr>
        <w:t>، تاريخ الغش، الأهمية الجوهرية للوظيفة ـ جوهرية/غير جوهرية) ومعيارين لحساب الأثر (الأثر المالي والسمعة). وحددت شعبة التدقيق الداخلي والرقابة الإدارية 4 فئات ترجيح أخرى (المخاطرة المالية، المخاطر الاستراتيجية، المخاطر التشغيلية، المخاطر القانونية والامتثال) وهي تقابل تصنيفات المخاطر.</w:t>
      </w:r>
    </w:p>
  </w:footnote>
  <w:footnote w:id="2">
    <w:p w:rsidR="00727D92" w:rsidRDefault="00727D92" w:rsidP="00DD0FCB">
      <w:pPr>
        <w:pStyle w:val="FootnoteText"/>
        <w:spacing w:after="120"/>
      </w:pPr>
      <w:r>
        <w:rPr>
          <w:rStyle w:val="FootnoteReference"/>
        </w:rPr>
        <w:footnoteRef/>
      </w:r>
      <w:r>
        <w:rPr>
          <w:rFonts w:hint="cs"/>
          <w:rtl/>
        </w:rPr>
        <w:tab/>
      </w:r>
      <w:r>
        <w:rPr>
          <w:rtl/>
          <w:lang w:bidi="ar-EG"/>
        </w:rPr>
        <w:t>قائمة التقارير واردة في المرفق الأول.</w:t>
      </w:r>
    </w:p>
  </w:footnote>
  <w:footnote w:id="3">
    <w:p w:rsidR="00727D92" w:rsidRDefault="00727D92" w:rsidP="00DD0FCB">
      <w:pPr>
        <w:pStyle w:val="FootnoteText"/>
        <w:spacing w:after="120"/>
      </w:pPr>
      <w:r>
        <w:rPr>
          <w:rStyle w:val="FootnoteReference"/>
        </w:rPr>
        <w:footnoteRef/>
      </w:r>
      <w:r>
        <w:rPr>
          <w:rFonts w:hint="cs"/>
          <w:rtl/>
        </w:rPr>
        <w:tab/>
      </w:r>
      <w:r>
        <w:rPr>
          <w:rtl/>
          <w:lang w:bidi="ar-EG"/>
        </w:rPr>
        <w:t xml:space="preserve">تشير إلى صحة البيانات. </w:t>
      </w:r>
      <w:r>
        <w:rPr>
          <w:rFonts w:hint="cs"/>
          <w:rtl/>
          <w:lang w:bidi="ar-EG"/>
        </w:rPr>
        <w:t>و</w:t>
      </w:r>
      <w:r>
        <w:rPr>
          <w:rtl/>
          <w:lang w:bidi="ar-EG"/>
        </w:rPr>
        <w:t>يمكن أن تتعرض سلامة البيانات للخطر بطرق شتى: الخطأ البشري عند إدخال البيانات، والأخطاء التي تحدث عند نقل البيانات من جهاز حاسوب إلى آخر، وعيوب البرامج الحاسوبية أو الفيروسات، وأعطال الأجهزة مثل التعطل المفاجئ للقرص، والكوارث الطبيعية، مثل الحرائق والفيضانات.</w:t>
      </w:r>
    </w:p>
  </w:footnote>
  <w:footnote w:id="4">
    <w:p w:rsidR="00727D92" w:rsidRDefault="00727D92" w:rsidP="00DD0FCB">
      <w:pPr>
        <w:pStyle w:val="FootnoteText"/>
        <w:spacing w:after="120"/>
      </w:pPr>
      <w:r>
        <w:rPr>
          <w:rStyle w:val="FootnoteReference"/>
        </w:rPr>
        <w:footnoteRef/>
      </w:r>
      <w:r>
        <w:rPr>
          <w:rFonts w:hint="cs"/>
          <w:rtl/>
        </w:rPr>
        <w:tab/>
      </w:r>
      <w:r>
        <w:rPr>
          <w:rtl/>
          <w:lang w:bidi="ar-EG"/>
        </w:rPr>
        <w:t>طلبات الشراء</w:t>
      </w:r>
      <w:r w:rsidRPr="00D81CA3">
        <w:rPr>
          <w:rtl/>
          <w:lang w:bidi="ar-EG"/>
        </w:rPr>
        <w:t xml:space="preserve"> بعد إتمام الشراء</w:t>
      </w:r>
      <w:r>
        <w:rPr>
          <w:rtl/>
          <w:lang w:bidi="ar-EG"/>
        </w:rPr>
        <w:t xml:space="preserve"> هي الطلبات التي يتم إدخالها في النظام بعد استلام البضائع/تلقي الخدمات وإرسال المزود فاتورة (فواتير) للتحصيل.</w:t>
      </w:r>
    </w:p>
  </w:footnote>
  <w:footnote w:id="5">
    <w:p w:rsidR="00727D92" w:rsidRDefault="00727D92" w:rsidP="00DD0FCB">
      <w:pPr>
        <w:pStyle w:val="FootnoteText"/>
        <w:spacing w:after="120"/>
      </w:pPr>
      <w:r>
        <w:rPr>
          <w:rStyle w:val="FootnoteReference"/>
        </w:rPr>
        <w:footnoteRef/>
      </w:r>
      <w:r>
        <w:rPr>
          <w:rFonts w:hint="cs"/>
          <w:rtl/>
        </w:rPr>
        <w:tab/>
      </w:r>
      <w:r>
        <w:rPr>
          <w:rtl/>
        </w:rPr>
        <w:t xml:space="preserve">الفقرة 23 من تقرير </w:t>
      </w:r>
      <w:r w:rsidRPr="00D81CA3">
        <w:rPr>
          <w:rtl/>
          <w:lang w:bidi="ar-EG"/>
        </w:rPr>
        <w:t>اللجنة الاستشارية المستقلة للرقابة</w:t>
      </w:r>
      <w:r>
        <w:rPr>
          <w:rtl/>
          <w:lang w:bidi="ar-EG"/>
        </w:rPr>
        <w:t xml:space="preserve"> </w:t>
      </w:r>
      <w:r w:rsidRPr="00D81CA3">
        <w:rPr>
          <w:lang w:bidi="ar-EG"/>
        </w:rPr>
        <w:t>WO/IAOC/26/2</w:t>
      </w:r>
      <w:r>
        <w:rPr>
          <w:rFonts w:hint="cs"/>
          <w:rtl/>
          <w:lang w:bidi="ar-EG"/>
        </w:rPr>
        <w:t>.</w:t>
      </w:r>
    </w:p>
  </w:footnote>
  <w:footnote w:id="6">
    <w:p w:rsidR="00727D92" w:rsidRDefault="00727D92" w:rsidP="00DD0FCB">
      <w:pPr>
        <w:pStyle w:val="FootnoteText"/>
        <w:spacing w:after="120"/>
      </w:pPr>
      <w:r>
        <w:rPr>
          <w:rStyle w:val="FootnoteReference"/>
        </w:rPr>
        <w:footnoteRef/>
      </w:r>
      <w:r>
        <w:rPr>
          <w:rFonts w:hint="cs"/>
          <w:rtl/>
        </w:rPr>
        <w:tab/>
      </w:r>
      <w:r>
        <w:rPr>
          <w:rtl/>
          <w:lang w:bidi="ar-EG"/>
        </w:rPr>
        <w:t xml:space="preserve">سددت الويبو دفعات حسب خطة الدفع المتفق عليها في العقد. وقد نص العقد على </w:t>
      </w:r>
      <w:r>
        <w:rPr>
          <w:rFonts w:hint="cs"/>
          <w:rtl/>
          <w:lang w:bidi="ar-EG"/>
        </w:rPr>
        <w:t xml:space="preserve">أن </w:t>
      </w:r>
      <w:r>
        <w:rPr>
          <w:rtl/>
          <w:lang w:bidi="ar-EG"/>
        </w:rPr>
        <w:t>يتم الدفع بعد 45 يوم من تاريخ استلام الفاتورة؛ شريطة أن يقدم المقاول العام تقريره الشهري بشأن التقدم المحرز وأن تقبله الويبو. مبلغ العشرة ملايين فرنك سويسري يشمل الدفعات التي سددتها الويبو حتى مارس 2012 حين توقفت الدفعات الشهرية وسُددت دفعة واحدة كجزء من التسوية الودية والمتفق عليها من الطرفين في يوليو 2012.</w:t>
      </w:r>
    </w:p>
  </w:footnote>
  <w:footnote w:id="7">
    <w:p w:rsidR="00727D92" w:rsidRDefault="00727D92" w:rsidP="00D22E8E">
      <w:pPr>
        <w:pStyle w:val="FootnoteText"/>
        <w:spacing w:after="120"/>
      </w:pPr>
      <w:r>
        <w:rPr>
          <w:rStyle w:val="FootnoteReference"/>
        </w:rPr>
        <w:footnoteRef/>
      </w:r>
      <w:r>
        <w:rPr>
          <w:rFonts w:hint="cs"/>
          <w:rtl/>
        </w:rPr>
        <w:tab/>
      </w:r>
      <w:r>
        <w:rPr>
          <w:rtl/>
        </w:rPr>
        <w:t xml:space="preserve">كان </w:t>
      </w:r>
      <w:r>
        <w:rPr>
          <w:rtl/>
          <w:lang w:bidi="ar-EG"/>
        </w:rPr>
        <w:t>الرصيد المستحق على المقاول العام 5</w:t>
      </w:r>
      <w:r>
        <w:rPr>
          <w:rFonts w:hint="cs"/>
          <w:rtl/>
          <w:lang w:bidi="ar-EG"/>
        </w:rPr>
        <w:t>,</w:t>
      </w:r>
      <w:r>
        <w:rPr>
          <w:rtl/>
          <w:lang w:bidi="ar-EG"/>
        </w:rPr>
        <w:t>2 مليون فرنك سويسري اعتبارًا من 6 مايو 2013.</w:t>
      </w:r>
    </w:p>
  </w:footnote>
  <w:footnote w:id="8">
    <w:p w:rsidR="00727D92" w:rsidRDefault="00727D92" w:rsidP="00DD0FCB">
      <w:pPr>
        <w:pStyle w:val="FootnoteText"/>
        <w:spacing w:after="120"/>
      </w:pPr>
      <w:r>
        <w:rPr>
          <w:rStyle w:val="FootnoteReference"/>
        </w:rPr>
        <w:footnoteRef/>
      </w:r>
      <w:r>
        <w:rPr>
          <w:rFonts w:hint="cs"/>
          <w:rtl/>
        </w:rPr>
        <w:tab/>
      </w:r>
      <w:r>
        <w:rPr>
          <w:rtl/>
          <w:lang w:bidi="ar-EG"/>
        </w:rPr>
        <w:t>ميثاق الرقابة الداخلية، الفقرة 23.</w:t>
      </w:r>
    </w:p>
  </w:footnote>
  <w:footnote w:id="9">
    <w:p w:rsidR="00727D92" w:rsidRDefault="00727D92" w:rsidP="00DD0FCB">
      <w:pPr>
        <w:pStyle w:val="FootnoteText"/>
        <w:spacing w:after="120"/>
      </w:pPr>
      <w:r>
        <w:rPr>
          <w:rStyle w:val="FootnoteReference"/>
        </w:rPr>
        <w:footnoteRef/>
      </w:r>
      <w:r>
        <w:rPr>
          <w:rFonts w:hint="cs"/>
          <w:rtl/>
        </w:rPr>
        <w:tab/>
      </w:r>
      <w:r>
        <w:rPr>
          <w:rtl/>
          <w:lang w:bidi="ar-EG"/>
        </w:rPr>
        <w:t xml:space="preserve">تعليمات المكتب </w:t>
      </w:r>
      <w:r w:rsidRPr="00A06FC4">
        <w:rPr>
          <w:rtl/>
          <w:lang w:bidi="ar-EG"/>
        </w:rPr>
        <w:t>16/2010</w:t>
      </w:r>
      <w:r>
        <w:rPr>
          <w:rtl/>
          <w:lang w:bidi="ar-EG"/>
        </w:rPr>
        <w:t>، الفقرة 7</w:t>
      </w:r>
    </w:p>
  </w:footnote>
  <w:footnote w:id="10">
    <w:p w:rsidR="00727D92" w:rsidRDefault="00727D92" w:rsidP="00DD0FCB">
      <w:pPr>
        <w:pStyle w:val="FootnoteText"/>
        <w:spacing w:after="120"/>
      </w:pPr>
      <w:r>
        <w:rPr>
          <w:rStyle w:val="FootnoteReference"/>
        </w:rPr>
        <w:footnoteRef/>
      </w:r>
      <w:r>
        <w:rPr>
          <w:rFonts w:hint="cs"/>
          <w:rtl/>
        </w:rPr>
        <w:tab/>
      </w:r>
      <w:r>
        <w:rPr>
          <w:rtl/>
          <w:lang w:bidi="ar-EG"/>
        </w:rPr>
        <w:t xml:space="preserve">تعليمات المكتب </w:t>
      </w:r>
      <w:r w:rsidRPr="00A06FC4">
        <w:rPr>
          <w:rtl/>
          <w:lang w:bidi="ar-EG"/>
        </w:rPr>
        <w:t>16/2010</w:t>
      </w:r>
      <w:r>
        <w:rPr>
          <w:rtl/>
          <w:lang w:bidi="ar-EG"/>
        </w:rPr>
        <w:t>، الفقرة 3.</w:t>
      </w:r>
    </w:p>
  </w:footnote>
  <w:footnote w:id="11">
    <w:p w:rsidR="00727D92" w:rsidRDefault="00727D92" w:rsidP="00DD0FCB">
      <w:pPr>
        <w:pStyle w:val="FootnoteText"/>
        <w:spacing w:after="120"/>
        <w:rPr>
          <w:rtl/>
        </w:rPr>
      </w:pPr>
      <w:r>
        <w:rPr>
          <w:rStyle w:val="FootnoteReference"/>
        </w:rPr>
        <w:footnoteRef/>
      </w:r>
      <w:r>
        <w:tab/>
      </w:r>
      <w:r w:rsidRPr="00A06FC4">
        <w:rPr>
          <w:lang w:bidi="ar-EG"/>
        </w:rPr>
        <w:t>WO/GA/41/9</w:t>
      </w:r>
      <w:r>
        <w:rPr>
          <w:rFonts w:hint="cs"/>
          <w:rtl/>
        </w:rPr>
        <w:t>.</w:t>
      </w:r>
    </w:p>
  </w:footnote>
  <w:footnote w:id="12">
    <w:p w:rsidR="00727D92" w:rsidRDefault="00727D92" w:rsidP="00DD0FCB">
      <w:pPr>
        <w:pStyle w:val="FootnoteText"/>
        <w:spacing w:after="120"/>
      </w:pPr>
      <w:r>
        <w:rPr>
          <w:rStyle w:val="FootnoteReference"/>
        </w:rPr>
        <w:footnoteRef/>
      </w:r>
      <w:r>
        <w:tab/>
      </w:r>
      <w:r w:rsidRPr="00A06FC4">
        <w:rPr>
          <w:lang w:val="de-DE" w:bidi="ar-EG"/>
        </w:rPr>
        <w:t>WO/IAOC/26/2</w:t>
      </w:r>
      <w:r>
        <w:rPr>
          <w:rtl/>
          <w:lang w:val="de-DE" w:bidi="ar-EG"/>
        </w:rPr>
        <w:t xml:space="preserve"> و</w:t>
      </w:r>
      <w:r w:rsidRPr="00A06FC4">
        <w:rPr>
          <w:lang w:val="de-DE" w:bidi="ar-EG"/>
        </w:rPr>
        <w:t>WO/IAOC/27/2</w:t>
      </w:r>
      <w:r>
        <w:rPr>
          <w:rtl/>
          <w:lang w:val="de-DE" w:bidi="ar-EG"/>
        </w:rPr>
        <w:t xml:space="preserve"> و</w:t>
      </w:r>
      <w:r w:rsidRPr="00A06FC4">
        <w:rPr>
          <w:lang w:val="de-DE" w:bidi="ar-EG"/>
        </w:rPr>
        <w:t>WO/IAOC/28/2</w:t>
      </w:r>
      <w:r>
        <w:rPr>
          <w:rtl/>
          <w:lang w:bidi="ar-EG"/>
        </w:rPr>
        <w:t xml:space="preserve"> </w:t>
      </w:r>
      <w:r>
        <w:rPr>
          <w:rtl/>
          <w:lang w:val="de-DE" w:bidi="ar-EG"/>
        </w:rPr>
        <w:t>و</w:t>
      </w:r>
      <w:r>
        <w:rPr>
          <w:lang w:bidi="ar-EG"/>
        </w:rPr>
        <w:t>WO/IAOC/29/2</w:t>
      </w:r>
      <w:r>
        <w:rPr>
          <w:rtl/>
          <w:lang w:bidi="ar-EG"/>
        </w:rPr>
        <w:t xml:space="preserve"> </w:t>
      </w:r>
    </w:p>
  </w:footnote>
  <w:footnote w:id="13">
    <w:p w:rsidR="00727D92" w:rsidRDefault="00727D92" w:rsidP="00DD0FCB">
      <w:pPr>
        <w:pStyle w:val="FootnoteText"/>
        <w:spacing w:after="120"/>
      </w:pPr>
      <w:r>
        <w:rPr>
          <w:rStyle w:val="FootnoteReference"/>
        </w:rPr>
        <w:footnoteRef/>
      </w:r>
      <w:r>
        <w:rPr>
          <w:rFonts w:hint="cs"/>
          <w:rtl/>
        </w:rPr>
        <w:tab/>
      </w:r>
      <w:r>
        <w:rPr>
          <w:rtl/>
          <w:lang w:bidi="ar-EG"/>
        </w:rPr>
        <w:t>بالنسبة لميزانية الفترة 2012-2013، اقترحت شعبة التدقيق الداخلي والرقابة الإدارية أن يخصص لها إجمالي عدد موظفين يبلغ 10-12 ومستشارين اثنين. ويقترح مشروع الميزانية إجمالي عدد موظفين يبلغ 7-11 وظيفة و4 مستشارين.</w:t>
      </w:r>
    </w:p>
  </w:footnote>
  <w:footnote w:id="14">
    <w:p w:rsidR="00727D92" w:rsidRDefault="00727D92" w:rsidP="00DD0FCB">
      <w:pPr>
        <w:pStyle w:val="FootnoteText"/>
        <w:spacing w:after="120"/>
      </w:pPr>
      <w:r>
        <w:rPr>
          <w:rStyle w:val="FootnoteReference"/>
        </w:rPr>
        <w:footnoteRef/>
      </w:r>
      <w:r>
        <w:rPr>
          <w:rFonts w:hint="cs"/>
          <w:rtl/>
        </w:rPr>
        <w:tab/>
      </w:r>
      <w:r>
        <w:rPr>
          <w:rtl/>
          <w:lang w:bidi="ar-EG"/>
        </w:rPr>
        <w:t xml:space="preserve">حسب تقارير وحدة التفتيش المشتركة </w:t>
      </w:r>
      <w:r w:rsidRPr="009975EF">
        <w:rPr>
          <w:rtl/>
          <w:lang w:bidi="ar-EG"/>
        </w:rPr>
        <w:t>(</w:t>
      </w:r>
      <w:r w:rsidRPr="009975EF">
        <w:rPr>
          <w:lang w:bidi="ar-EG"/>
        </w:rPr>
        <w:t>JIU/REP/2006/2</w:t>
      </w:r>
      <w:r w:rsidRPr="009975EF">
        <w:rPr>
          <w:rtl/>
          <w:lang w:bidi="ar-EG"/>
        </w:rPr>
        <w:t xml:space="preserve"> - ثغرات الرقابة في منظومة الأمم المتحدة، </w:t>
      </w:r>
      <w:r w:rsidRPr="009975EF">
        <w:rPr>
          <w:lang w:bidi="ar-EG"/>
        </w:rPr>
        <w:t>JIU/REP/2010/5</w:t>
      </w:r>
      <w:r>
        <w:rPr>
          <w:rtl/>
          <w:lang w:bidi="ar-EG"/>
        </w:rPr>
        <w:t xml:space="preserve"> ـ </w:t>
      </w:r>
      <w:r w:rsidRPr="009975EF">
        <w:rPr>
          <w:rtl/>
          <w:lang w:bidi="ar-EG"/>
        </w:rPr>
        <w:t>وظيفة ا</w:t>
      </w:r>
      <w:r>
        <w:rPr>
          <w:rtl/>
          <w:lang w:bidi="ar-EG"/>
        </w:rPr>
        <w:t xml:space="preserve">لمراجعة في منظومة الأمم المتحدة، </w:t>
      </w:r>
      <w:r w:rsidRPr="009975EF">
        <w:rPr>
          <w:lang w:bidi="ar-EG"/>
        </w:rPr>
        <w:t>JIU/REP/2011/7</w:t>
      </w:r>
      <w:r w:rsidRPr="009975EF">
        <w:rPr>
          <w:rtl/>
          <w:lang w:bidi="ar-EG"/>
        </w:rPr>
        <w:t xml:space="preserve"> </w:t>
      </w:r>
      <w:r>
        <w:rPr>
          <w:rtl/>
          <w:lang w:bidi="ar-EG"/>
        </w:rPr>
        <w:t xml:space="preserve">ـ </w:t>
      </w:r>
      <w:r w:rsidRPr="009975EF">
        <w:rPr>
          <w:rtl/>
          <w:lang w:bidi="ar-EG"/>
        </w:rPr>
        <w:t>وظيفة التحقيق في منظومة الأمم المتحدة)</w:t>
      </w:r>
      <w:r>
        <w:rPr>
          <w:rFonts w:hint="cs"/>
          <w:rtl/>
          <w:lang w:bidi="ar-EG"/>
        </w:rPr>
        <w:t>.</w:t>
      </w:r>
    </w:p>
  </w:footnote>
  <w:footnote w:id="15">
    <w:p w:rsidR="00727D92" w:rsidRDefault="00727D92" w:rsidP="00DD0FCB">
      <w:pPr>
        <w:pStyle w:val="FootnoteText"/>
        <w:spacing w:after="120"/>
      </w:pPr>
      <w:r>
        <w:rPr>
          <w:rStyle w:val="FootnoteReference"/>
        </w:rPr>
        <w:footnoteRef/>
      </w:r>
      <w:r>
        <w:tab/>
      </w:r>
      <w:r>
        <w:rPr>
          <w:rtl/>
        </w:rPr>
        <w:t>اعتبارًا من 31 ديسمبر 2012، وحدة الحساب ألف فرنك سويسري. التزامات الموظفين تخصص سنويًا.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92" w:rsidRPr="0049738E" w:rsidRDefault="00727D92" w:rsidP="00727D92">
    <w:pPr>
      <w:rPr>
        <w:szCs w:val="22"/>
      </w:rPr>
    </w:pPr>
    <w:r w:rsidRPr="0049738E">
      <w:rPr>
        <w:szCs w:val="22"/>
      </w:rPr>
      <w:t>WO/PBC/21/</w:t>
    </w:r>
    <w:r w:rsidRPr="0049738E">
      <w:rPr>
        <w:szCs w:val="22"/>
        <w:rtl/>
      </w:rPr>
      <w:t>17</w:t>
    </w:r>
  </w:p>
  <w:p w:rsidR="00727D92" w:rsidRDefault="00727D92" w:rsidP="00D61541">
    <w:pPr>
      <w:rPr>
        <w:noProof/>
      </w:rPr>
    </w:pPr>
    <w:r>
      <w:fldChar w:fldCharType="begin"/>
    </w:r>
    <w:r>
      <w:instrText xml:space="preserve"> PAGE   \* MERGEFORMAT </w:instrText>
    </w:r>
    <w:r>
      <w:fldChar w:fldCharType="separate"/>
    </w:r>
    <w:r w:rsidR="00BE0778">
      <w:rPr>
        <w:noProof/>
      </w:rPr>
      <w:t>17</w:t>
    </w:r>
    <w:r>
      <w:rPr>
        <w:noProof/>
      </w:rPr>
      <w:fldChar w:fldCharType="end"/>
    </w:r>
  </w:p>
  <w:p w:rsidR="00727D92" w:rsidRDefault="00727D92"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92" w:rsidRDefault="00727D92">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92" w:rsidRDefault="00727D92">
    <w:pPr>
      <w:jc w:val="right"/>
      <w:rPr>
        <w:rFonts w:cs="Times New Roman"/>
        <w:szCs w:val="24"/>
        <w:lang w:val="fr-FR"/>
      </w:rPr>
    </w:pPr>
    <w:r>
      <w:rPr>
        <w:rFonts w:cs="Times New Roman"/>
        <w:noProof/>
        <w:szCs w:val="24"/>
        <w:lang w:val="fr-FR"/>
      </w:rPr>
      <w:t>WO/PBC/21/17</w:t>
    </w:r>
  </w:p>
  <w:p w:rsidR="00727D92" w:rsidRDefault="00727D92">
    <w:pPr>
      <w:jc w:val="right"/>
      <w:rPr>
        <w:rFonts w:cs="Times New Roman"/>
        <w:szCs w:val="24"/>
        <w:lang w:val="fr-FR"/>
      </w:rPr>
    </w:pPr>
    <w:r>
      <w:rPr>
        <w:rFonts w:cs="Times New Roman"/>
        <w:noProof/>
        <w:szCs w:val="24"/>
        <w:lang w:val="fr-FR"/>
      </w:rPr>
      <w:t xml:space="preserve">ANNEX II, page </w:t>
    </w:r>
    <w:r>
      <w:rPr>
        <w:rStyle w:val="PageNumber"/>
        <w:noProof/>
        <w:szCs w:val="24"/>
        <w:lang w:val="fr-FR"/>
      </w:rPr>
      <w:t>2</w:t>
    </w:r>
  </w:p>
  <w:p w:rsidR="00727D92" w:rsidRDefault="00727D92">
    <w:pPr>
      <w:jc w:val="right"/>
      <w:rPr>
        <w:rFonts w:cs="Times New Roman"/>
        <w:szCs w:val="24"/>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92" w:rsidRDefault="00727D92" w:rsidP="005C77C5">
    <w:pPr>
      <w:rPr>
        <w:rFonts w:cs="Times New Roman"/>
        <w:szCs w:val="24"/>
      </w:rPr>
    </w:pPr>
    <w:r>
      <w:rPr>
        <w:rFonts w:cs="Times New Roman"/>
        <w:noProof/>
        <w:szCs w:val="24"/>
      </w:rPr>
      <w:t>WO/PBC/21/17</w:t>
    </w:r>
  </w:p>
  <w:p w:rsidR="00727D92" w:rsidRDefault="00727D92" w:rsidP="005C77C5">
    <w:pPr>
      <w:rPr>
        <w:rFonts w:cs="Times New Roman"/>
        <w:noProof/>
        <w:szCs w:val="24"/>
        <w:rtl/>
      </w:rPr>
    </w:pPr>
    <w:r>
      <w:rPr>
        <w:rFonts w:cs="Times New Roman"/>
        <w:noProof/>
        <w:szCs w:val="24"/>
      </w:rPr>
      <w:t>ANNEX I</w:t>
    </w:r>
  </w:p>
  <w:p w:rsidR="00727D92" w:rsidRPr="00727D92" w:rsidRDefault="00727D92" w:rsidP="00727D92">
    <w:pPr>
      <w:rPr>
        <w:rFonts w:ascii="Arabic Typesetting" w:hAnsi="Arabic Typesetting" w:cs="Arabic Typesetting"/>
        <w:sz w:val="36"/>
        <w:szCs w:val="36"/>
        <w:rtl/>
      </w:rPr>
    </w:pPr>
    <w:r w:rsidRPr="00727D92">
      <w:rPr>
        <w:rFonts w:ascii="Arabic Typesetting" w:hAnsi="Arabic Typesetting" w:cs="Arabic Typesetting"/>
        <w:noProof/>
        <w:sz w:val="36"/>
        <w:szCs w:val="36"/>
        <w:rtl/>
      </w:rPr>
      <w:t>المرفق الأول</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92" w:rsidRDefault="00727D92" w:rsidP="00727D92">
    <w:pPr>
      <w:rPr>
        <w:rFonts w:cs="Times New Roman"/>
        <w:szCs w:val="24"/>
      </w:rPr>
    </w:pPr>
    <w:r>
      <w:rPr>
        <w:rFonts w:cs="Times New Roman"/>
        <w:noProof/>
        <w:szCs w:val="24"/>
      </w:rPr>
      <w:t>WO/PBC/21/17</w:t>
    </w:r>
  </w:p>
  <w:p w:rsidR="00727D92" w:rsidRDefault="00727D92" w:rsidP="00727D92">
    <w:pPr>
      <w:rPr>
        <w:rFonts w:cs="Times New Roman"/>
        <w:noProof/>
        <w:szCs w:val="24"/>
        <w:rtl/>
      </w:rPr>
    </w:pPr>
    <w:r>
      <w:rPr>
        <w:rFonts w:cs="Times New Roman"/>
        <w:noProof/>
        <w:szCs w:val="24"/>
      </w:rPr>
      <w:t>ANNEX II</w:t>
    </w:r>
  </w:p>
  <w:p w:rsidR="00727D92" w:rsidRPr="00727D92" w:rsidRDefault="00727D92" w:rsidP="00727D92">
    <w:pPr>
      <w:rPr>
        <w:rFonts w:ascii="Arabic Typesetting" w:hAnsi="Arabic Typesetting" w:cs="Arabic Typesetting"/>
        <w:sz w:val="36"/>
        <w:szCs w:val="36"/>
        <w:rtl/>
      </w:rPr>
    </w:pPr>
    <w:r w:rsidRPr="00727D92">
      <w:rPr>
        <w:rFonts w:ascii="Arabic Typesetting" w:hAnsi="Arabic Typesetting" w:cs="Arabic Typesetting"/>
        <w:noProof/>
        <w:sz w:val="36"/>
        <w:szCs w:val="36"/>
        <w:rtl/>
      </w:rPr>
      <w:t xml:space="preserve">المرفق </w:t>
    </w:r>
    <w:r>
      <w:rPr>
        <w:rFonts w:ascii="Arabic Typesetting" w:hAnsi="Arabic Typesetting" w:cs="Arabic Typesetting" w:hint="cs"/>
        <w:noProof/>
        <w:sz w:val="36"/>
        <w:szCs w:val="36"/>
        <w:rtl/>
      </w:rPr>
      <w:t>الثاني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92" w:rsidRDefault="00727D92">
    <w:pPr>
      <w:pStyle w:val="Header"/>
    </w:pPr>
    <w:r>
      <w:t>WO/PBC/21</w:t>
    </w:r>
    <w:r w:rsidRPr="00B6101C">
      <w:t>/</w:t>
    </w:r>
    <w:r>
      <w:t>17</w:t>
    </w:r>
  </w:p>
  <w:p w:rsidR="00727D92" w:rsidRDefault="00727D92">
    <w:pPr>
      <w:pStyle w:val="Header"/>
    </w:pPr>
    <w:r>
      <w:fldChar w:fldCharType="begin"/>
    </w:r>
    <w:r>
      <w:instrText xml:space="preserve"> PAGE   \* MERGEFORMAT </w:instrText>
    </w:r>
    <w:r>
      <w:fldChar w:fldCharType="separate"/>
    </w:r>
    <w:r w:rsidR="00BE0778">
      <w:rPr>
        <w:noProof/>
      </w:rPr>
      <w:t>17</w:t>
    </w:r>
    <w:r>
      <w:rPr>
        <w:noProof/>
      </w:rPr>
      <w:fldChar w:fldCharType="end"/>
    </w:r>
  </w:p>
  <w:p w:rsidR="00727D92" w:rsidRDefault="00727D92" w:rsidP="008E27C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82" w:rsidRDefault="00CF5082" w:rsidP="00CF5082">
    <w:pPr>
      <w:rPr>
        <w:rFonts w:cs="Times New Roman"/>
        <w:szCs w:val="24"/>
      </w:rPr>
    </w:pPr>
    <w:r>
      <w:rPr>
        <w:rFonts w:cs="Times New Roman"/>
        <w:noProof/>
        <w:szCs w:val="24"/>
      </w:rPr>
      <w:t>WO/PBC/21/17</w:t>
    </w:r>
  </w:p>
  <w:p w:rsidR="00CF5082" w:rsidRDefault="00CF5082" w:rsidP="00CF5082">
    <w:pPr>
      <w:rPr>
        <w:rFonts w:cs="Times New Roman"/>
        <w:noProof/>
        <w:szCs w:val="24"/>
        <w:rtl/>
      </w:rPr>
    </w:pPr>
    <w:r>
      <w:rPr>
        <w:rFonts w:cs="Times New Roman"/>
        <w:noProof/>
        <w:szCs w:val="24"/>
      </w:rPr>
      <w:t>ANNEX III</w:t>
    </w:r>
  </w:p>
  <w:p w:rsidR="00CF5082" w:rsidRPr="00727D92" w:rsidRDefault="00CF5082" w:rsidP="00CF5082">
    <w:pPr>
      <w:rPr>
        <w:rFonts w:ascii="Arabic Typesetting" w:hAnsi="Arabic Typesetting" w:cs="Arabic Typesetting"/>
        <w:sz w:val="36"/>
        <w:szCs w:val="36"/>
        <w:rtl/>
      </w:rPr>
    </w:pPr>
    <w:r w:rsidRPr="00727D92">
      <w:rPr>
        <w:rFonts w:ascii="Arabic Typesetting" w:hAnsi="Arabic Typesetting" w:cs="Arabic Typesetting"/>
        <w:noProof/>
        <w:sz w:val="36"/>
        <w:szCs w:val="36"/>
        <w:rtl/>
      </w:rPr>
      <w:t xml:space="preserve">المرفق </w:t>
    </w:r>
    <w:r>
      <w:rPr>
        <w:rFonts w:ascii="Arabic Typesetting" w:hAnsi="Arabic Typesetting" w:cs="Arabic Typesetting" w:hint="cs"/>
        <w:noProof/>
        <w:sz w:val="36"/>
        <w:szCs w:val="36"/>
        <w:rtl/>
      </w:rPr>
      <w:t>الثالث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82" w:rsidRDefault="00CF5082" w:rsidP="00CF5082">
    <w:pPr>
      <w:rPr>
        <w:rFonts w:cs="Times New Roman"/>
        <w:szCs w:val="24"/>
      </w:rPr>
    </w:pPr>
    <w:r>
      <w:rPr>
        <w:rFonts w:cs="Times New Roman"/>
        <w:noProof/>
        <w:szCs w:val="24"/>
      </w:rPr>
      <w:t>WO/PBC/21/17</w:t>
    </w:r>
  </w:p>
  <w:p w:rsidR="00CF5082" w:rsidRDefault="00CF5082" w:rsidP="00CF5082">
    <w:pPr>
      <w:rPr>
        <w:rFonts w:cs="Times New Roman"/>
        <w:noProof/>
        <w:szCs w:val="24"/>
        <w:rtl/>
      </w:rPr>
    </w:pPr>
    <w:r>
      <w:rPr>
        <w:rFonts w:cs="Times New Roman"/>
        <w:noProof/>
        <w:szCs w:val="24"/>
      </w:rPr>
      <w:t>ANNEX IV</w:t>
    </w:r>
  </w:p>
  <w:p w:rsidR="00CF5082" w:rsidRPr="00727D92" w:rsidRDefault="00CF5082" w:rsidP="00CF5082">
    <w:pPr>
      <w:rPr>
        <w:rFonts w:ascii="Arabic Typesetting" w:hAnsi="Arabic Typesetting" w:cs="Arabic Typesetting"/>
        <w:sz w:val="36"/>
        <w:szCs w:val="36"/>
        <w:rtl/>
      </w:rPr>
    </w:pPr>
    <w:r w:rsidRPr="00727D92">
      <w:rPr>
        <w:rFonts w:ascii="Arabic Typesetting" w:hAnsi="Arabic Typesetting" w:cs="Arabic Typesetting"/>
        <w:noProof/>
        <w:sz w:val="36"/>
        <w:szCs w:val="36"/>
        <w:rtl/>
      </w:rPr>
      <w:t xml:space="preserve">المرفق </w:t>
    </w:r>
    <w:r>
      <w:rPr>
        <w:rFonts w:ascii="Arabic Typesetting" w:hAnsi="Arabic Typesetting" w:cs="Arabic Typesetting" w:hint="cs"/>
        <w:noProof/>
        <w:sz w:val="36"/>
        <w:szCs w:val="36"/>
        <w:rtl/>
      </w:rPr>
      <w:t>الرابع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22C4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B28C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84A1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C15466F"/>
    <w:multiLevelType w:val="hybridMultilevel"/>
    <w:tmpl w:val="BFBE525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185C3B70"/>
    <w:multiLevelType w:val="multilevel"/>
    <w:tmpl w:val="65341604"/>
    <w:lvl w:ilvl="0">
      <w:start w:val="1"/>
      <w:numFmt w:val="decimal"/>
      <w:lvlText w:val="%1."/>
      <w:lvlJc w:val="left"/>
      <w:pPr>
        <w:tabs>
          <w:tab w:val="num" w:pos="567"/>
        </w:tabs>
      </w:pPr>
      <w:rPr>
        <w:rFonts w:cs="Times New Roman" w:hint="default"/>
        <w:b/>
        <w:i w:val="0"/>
      </w:rPr>
    </w:lvl>
    <w:lvl w:ilvl="1">
      <w:start w:val="1"/>
      <w:numFmt w:val="upperLetter"/>
      <w:lvlText w:val="%2."/>
      <w:lvlJc w:val="left"/>
      <w:pPr>
        <w:tabs>
          <w:tab w:val="num" w:pos="1134"/>
        </w:tabs>
        <w:ind w:left="567"/>
      </w:pPr>
      <w:rPr>
        <w:rFonts w:cs="Times New Roman" w:hint="default"/>
        <w:caps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4">
    <w:nsid w:val="1A39322A"/>
    <w:multiLevelType w:val="multilevel"/>
    <w:tmpl w:val="CBEEF862"/>
    <w:lvl w:ilvl="0">
      <w:start w:val="1"/>
      <w:numFmt w:val="decimal"/>
      <w:lvlText w:val="%1."/>
      <w:lvlJc w:val="left"/>
      <w:pPr>
        <w:tabs>
          <w:tab w:val="num" w:pos="567"/>
        </w:tabs>
      </w:pPr>
      <w:rPr>
        <w:rFonts w:cs="Times New Roman" w:hint="default"/>
        <w:b/>
        <w:i w:val="0"/>
      </w:rPr>
    </w:lvl>
    <w:lvl w:ilvl="1">
      <w:start w:val="1"/>
      <w:numFmt w:val="none"/>
      <w:lvlText w:val="ألف."/>
      <w:lvlJc w:val="center"/>
      <w:pPr>
        <w:tabs>
          <w:tab w:val="num" w:pos="927"/>
        </w:tabs>
        <w:ind w:left="927" w:hanging="360"/>
      </w:pPr>
      <w:rPr>
        <w:rFonts w:cs="Times New Roman" w:hint="default"/>
        <w:b/>
        <w:i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5">
    <w:nsid w:val="1B875360"/>
    <w:multiLevelType w:val="multilevel"/>
    <w:tmpl w:val="CBEEF862"/>
    <w:lvl w:ilvl="0">
      <w:start w:val="1"/>
      <w:numFmt w:val="decimal"/>
      <w:lvlText w:val="%1."/>
      <w:lvlJc w:val="left"/>
      <w:pPr>
        <w:tabs>
          <w:tab w:val="num" w:pos="567"/>
        </w:tabs>
      </w:pPr>
      <w:rPr>
        <w:rFonts w:cs="Times New Roman" w:hint="default"/>
        <w:b/>
        <w:i w:val="0"/>
      </w:rPr>
    </w:lvl>
    <w:lvl w:ilvl="1">
      <w:start w:val="1"/>
      <w:numFmt w:val="none"/>
      <w:lvlText w:val="ألف."/>
      <w:lvlJc w:val="center"/>
      <w:pPr>
        <w:tabs>
          <w:tab w:val="num" w:pos="927"/>
        </w:tabs>
        <w:ind w:left="927" w:hanging="360"/>
      </w:pPr>
      <w:rPr>
        <w:rFonts w:cs="Times New Roman" w:hint="default"/>
        <w:b/>
        <w:i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6">
    <w:nsid w:val="1FFB19A2"/>
    <w:multiLevelType w:val="multilevel"/>
    <w:tmpl w:val="845A183C"/>
    <w:lvl w:ilvl="0">
      <w:start w:val="6"/>
      <w:numFmt w:val="decimal"/>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7">
    <w:nsid w:val="25E87973"/>
    <w:multiLevelType w:val="hybridMultilevel"/>
    <w:tmpl w:val="2A209CC2"/>
    <w:lvl w:ilvl="0" w:tplc="5E86B8CE">
      <w:start w:val="1"/>
      <w:numFmt w:val="decimal"/>
      <w:pStyle w:val="NumberedParaAR"/>
      <w:lvlText w:val="%1."/>
      <w:lvlJc w:val="left"/>
      <w:pPr>
        <w:tabs>
          <w:tab w:val="num" w:pos="567"/>
        </w:tabs>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BF93CBC"/>
    <w:multiLevelType w:val="hybridMultilevel"/>
    <w:tmpl w:val="FB6865DE"/>
    <w:lvl w:ilvl="0" w:tplc="4FC6ED1C">
      <w:start w:val="1"/>
      <w:numFmt w:val="decimal"/>
      <w:lvlText w:val="%1."/>
      <w:lvlJc w:val="left"/>
      <w:pPr>
        <w:tabs>
          <w:tab w:val="num" w:pos="567"/>
        </w:tabs>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03C2827"/>
    <w:multiLevelType w:val="multilevel"/>
    <w:tmpl w:val="70BEB220"/>
    <w:lvl w:ilvl="0">
      <w:start w:val="1"/>
      <w:numFmt w:val="decimal"/>
      <w:lvlText w:val="%1."/>
      <w:lvlJc w:val="left"/>
      <w:pPr>
        <w:tabs>
          <w:tab w:val="num" w:pos="567"/>
        </w:tabs>
      </w:pPr>
      <w:rPr>
        <w:rFonts w:cs="Times New Roman" w:hint="default"/>
        <w:b/>
        <w:i w:val="0"/>
      </w:rPr>
    </w:lvl>
    <w:lvl w:ilvl="1">
      <w:start w:val="1"/>
      <w:numFmt w:val="arabicAlpha"/>
      <w:lvlText w:val="%2."/>
      <w:lvlJc w:val="left"/>
      <w:pPr>
        <w:tabs>
          <w:tab w:val="num" w:pos="927"/>
        </w:tabs>
        <w:ind w:left="927" w:hanging="360"/>
      </w:pPr>
      <w:rPr>
        <w:rFonts w:cs="Times New Roman" w:hint="default"/>
        <w:b/>
        <w:i w:val="0"/>
        <w:szCs w:val="2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0">
    <w:nsid w:val="354D0E16"/>
    <w:multiLevelType w:val="multilevel"/>
    <w:tmpl w:val="4AC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B196DCA"/>
    <w:multiLevelType w:val="hybridMultilevel"/>
    <w:tmpl w:val="41001C68"/>
    <w:lvl w:ilvl="0" w:tplc="339441A0">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153533C"/>
    <w:multiLevelType w:val="hybridMultilevel"/>
    <w:tmpl w:val="654477BC"/>
    <w:lvl w:ilvl="0" w:tplc="F5D8125C">
      <w:start w:val="1"/>
      <w:numFmt w:val="decimal"/>
      <w:lvlText w:val="%1."/>
      <w:lvlJc w:val="left"/>
      <w:pPr>
        <w:tabs>
          <w:tab w:val="num" w:pos="680"/>
        </w:tabs>
        <w:ind w:left="1701" w:hanging="68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1260"/>
        </w:tabs>
        <w:ind w:left="1260" w:hanging="360"/>
      </w:pPr>
      <w:rPr>
        <w:rFonts w:ascii="Symbol" w:hAnsi="Symbol" w:hint="default"/>
        <w:b w:val="0"/>
        <w:i w:val="0"/>
        <w:sz w:val="20"/>
      </w:rPr>
    </w:lvl>
    <w:lvl w:ilvl="4" w:tplc="0409000F">
      <w:start w:val="1"/>
      <w:numFmt w:val="decimal"/>
      <w:lvlText w:val="%5."/>
      <w:lvlJc w:val="left"/>
      <w:pPr>
        <w:tabs>
          <w:tab w:val="num" w:pos="3600"/>
        </w:tabs>
        <w:ind w:left="3600" w:hanging="360"/>
      </w:pPr>
      <w:rPr>
        <w:rFonts w:cs="Times New Roman" w:hint="default"/>
        <w:b w:val="0"/>
        <w:i w:val="0"/>
        <w:sz w:val="20"/>
        <w:szCs w:val="20"/>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6D9361F"/>
    <w:multiLevelType w:val="multilevel"/>
    <w:tmpl w:val="141E2F22"/>
    <w:lvl w:ilvl="0">
      <w:start w:val="1"/>
      <w:numFmt w:val="decimal"/>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5">
    <w:nsid w:val="494A69B0"/>
    <w:multiLevelType w:val="multilevel"/>
    <w:tmpl w:val="70BEB220"/>
    <w:lvl w:ilvl="0">
      <w:start w:val="1"/>
      <w:numFmt w:val="decimal"/>
      <w:lvlText w:val="%1."/>
      <w:lvlJc w:val="left"/>
      <w:pPr>
        <w:tabs>
          <w:tab w:val="num" w:pos="567"/>
        </w:tabs>
      </w:pPr>
      <w:rPr>
        <w:rFonts w:cs="Times New Roman" w:hint="default"/>
        <w:b/>
        <w:i w:val="0"/>
      </w:rPr>
    </w:lvl>
    <w:lvl w:ilvl="1">
      <w:start w:val="1"/>
      <w:numFmt w:val="arabicAlpha"/>
      <w:lvlText w:val="%2."/>
      <w:lvlJc w:val="left"/>
      <w:pPr>
        <w:tabs>
          <w:tab w:val="num" w:pos="927"/>
        </w:tabs>
        <w:ind w:left="927" w:hanging="360"/>
      </w:pPr>
      <w:rPr>
        <w:rFonts w:cs="Times New Roman" w:hint="default"/>
        <w:b/>
        <w:i w:val="0"/>
        <w:szCs w:val="2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6">
    <w:nsid w:val="5CD70082"/>
    <w:multiLevelType w:val="multilevel"/>
    <w:tmpl w:val="7DD82B1A"/>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FF74FA0"/>
    <w:multiLevelType w:val="multilevel"/>
    <w:tmpl w:val="65341604"/>
    <w:lvl w:ilvl="0">
      <w:start w:val="1"/>
      <w:numFmt w:val="decimal"/>
      <w:lvlText w:val="%1."/>
      <w:lvlJc w:val="left"/>
      <w:pPr>
        <w:tabs>
          <w:tab w:val="num" w:pos="567"/>
        </w:tabs>
      </w:pPr>
      <w:rPr>
        <w:rFonts w:cs="Times New Roman" w:hint="default"/>
        <w:b/>
        <w:i w:val="0"/>
      </w:rPr>
    </w:lvl>
    <w:lvl w:ilvl="1">
      <w:start w:val="1"/>
      <w:numFmt w:val="upperLetter"/>
      <w:lvlText w:val="%2."/>
      <w:lvlJc w:val="left"/>
      <w:pPr>
        <w:tabs>
          <w:tab w:val="num" w:pos="1134"/>
        </w:tabs>
        <w:ind w:left="567"/>
      </w:pPr>
      <w:rPr>
        <w:rFonts w:cs="Times New Roman" w:hint="default"/>
        <w:caps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8">
    <w:nsid w:val="62064D36"/>
    <w:multiLevelType w:val="multilevel"/>
    <w:tmpl w:val="204A2DD0"/>
    <w:lvl w:ilvl="0">
      <w:start w:val="1"/>
      <w:numFmt w:val="decimal"/>
      <w:lvlText w:val="%1."/>
      <w:lvlJc w:val="left"/>
      <w:pPr>
        <w:tabs>
          <w:tab w:val="num" w:pos="567"/>
        </w:tabs>
      </w:pPr>
      <w:rPr>
        <w:rFonts w:ascii="Arial" w:hAnsi="Arial" w:cs="Times New Roman" w:hint="default"/>
        <w:b w:val="0"/>
        <w:i w:val="0"/>
        <w:sz w:val="22"/>
        <w:szCs w:val="22"/>
      </w:rPr>
    </w:lvl>
    <w:lvl w:ilvl="1">
      <w:start w:val="1"/>
      <w:numFmt w:val="arabicAbjad"/>
      <w:lvlText w:val="(%2)"/>
      <w:lvlJc w:val="left"/>
      <w:pPr>
        <w:tabs>
          <w:tab w:val="num" w:pos="927"/>
        </w:tabs>
        <w:ind w:left="927" w:hanging="360"/>
      </w:pPr>
      <w:rPr>
        <w:rFonts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9">
    <w:nsid w:val="634514DD"/>
    <w:multiLevelType w:val="multilevel"/>
    <w:tmpl w:val="E47061D2"/>
    <w:lvl w:ilvl="0">
      <w:start w:val="1"/>
      <w:numFmt w:val="decimal"/>
      <w:lvlText w:val="%1."/>
      <w:lvlJc w:val="left"/>
      <w:pPr>
        <w:tabs>
          <w:tab w:val="num" w:pos="567"/>
        </w:tabs>
      </w:pPr>
      <w:rPr>
        <w:rFonts w:ascii="Arial" w:hAnsi="Arial" w:cs="Times New Roman" w:hint="default"/>
        <w:b w:val="0"/>
        <w:i w:val="0"/>
        <w:sz w:val="22"/>
        <w:szCs w:val="22"/>
      </w:rPr>
    </w:lvl>
    <w:lvl w:ilvl="1">
      <w:start w:val="1"/>
      <w:numFmt w:val="arabicAbjad"/>
      <w:lvlText w:val="%2."/>
      <w:lvlJc w:val="left"/>
      <w:pPr>
        <w:tabs>
          <w:tab w:val="num" w:pos="927"/>
        </w:tabs>
        <w:ind w:left="927" w:hanging="360"/>
      </w:pPr>
      <w:rPr>
        <w:rFonts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0">
    <w:nsid w:val="64A4309A"/>
    <w:multiLevelType w:val="hybridMultilevel"/>
    <w:tmpl w:val="DEB8BFC0"/>
    <w:lvl w:ilvl="0" w:tplc="23027F74">
      <w:start w:val="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637C8B"/>
    <w:multiLevelType w:val="hybridMultilevel"/>
    <w:tmpl w:val="BD7A977A"/>
    <w:lvl w:ilvl="0" w:tplc="FFFFFFFF">
      <w:start w:val="1"/>
      <w:numFmt w:val="decimal"/>
      <w:lvlText w:val="%1."/>
      <w:lvlJc w:val="left"/>
      <w:pPr>
        <w:tabs>
          <w:tab w:val="num" w:pos="703"/>
        </w:tabs>
        <w:ind w:left="5534"/>
      </w:pPr>
      <w:rPr>
        <w:rFonts w:ascii="Arabic Typesetting" w:hAnsi="Arabic Typesetting" w:cs="Arabic Typesetting" w:hint="default"/>
        <w:sz w:val="36"/>
        <w:szCs w:val="3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AB20485"/>
    <w:multiLevelType w:val="multilevel"/>
    <w:tmpl w:val="E47061D2"/>
    <w:lvl w:ilvl="0">
      <w:start w:val="1"/>
      <w:numFmt w:val="decimal"/>
      <w:lvlText w:val="%1."/>
      <w:lvlJc w:val="left"/>
      <w:pPr>
        <w:tabs>
          <w:tab w:val="num" w:pos="567"/>
        </w:tabs>
      </w:pPr>
      <w:rPr>
        <w:rFonts w:ascii="Arial" w:hAnsi="Arial" w:cs="Times New Roman" w:hint="default"/>
        <w:b w:val="0"/>
        <w:i w:val="0"/>
        <w:sz w:val="22"/>
        <w:szCs w:val="22"/>
      </w:rPr>
    </w:lvl>
    <w:lvl w:ilvl="1">
      <w:start w:val="1"/>
      <w:numFmt w:val="arabicAbjad"/>
      <w:lvlText w:val="%2."/>
      <w:lvlJc w:val="left"/>
      <w:pPr>
        <w:tabs>
          <w:tab w:val="num" w:pos="927"/>
        </w:tabs>
        <w:ind w:left="927" w:hanging="360"/>
      </w:pPr>
      <w:rPr>
        <w:rFonts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3">
    <w:nsid w:val="6FBF3CCB"/>
    <w:multiLevelType w:val="multilevel"/>
    <w:tmpl w:val="AC860180"/>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4">
    <w:nsid w:val="77640CCF"/>
    <w:multiLevelType w:val="multilevel"/>
    <w:tmpl w:val="70BEB220"/>
    <w:lvl w:ilvl="0">
      <w:start w:val="1"/>
      <w:numFmt w:val="decimal"/>
      <w:lvlText w:val="%1."/>
      <w:lvlJc w:val="left"/>
      <w:pPr>
        <w:tabs>
          <w:tab w:val="num" w:pos="567"/>
        </w:tabs>
      </w:pPr>
      <w:rPr>
        <w:rFonts w:cs="Times New Roman" w:hint="default"/>
        <w:b/>
        <w:i w:val="0"/>
      </w:rPr>
    </w:lvl>
    <w:lvl w:ilvl="1">
      <w:start w:val="1"/>
      <w:numFmt w:val="arabicAlpha"/>
      <w:lvlText w:val="%2."/>
      <w:lvlJc w:val="left"/>
      <w:pPr>
        <w:tabs>
          <w:tab w:val="num" w:pos="927"/>
        </w:tabs>
        <w:ind w:left="927" w:hanging="360"/>
      </w:pPr>
      <w:rPr>
        <w:rFonts w:cs="Times New Roman" w:hint="default"/>
        <w:b/>
        <w:i w:val="0"/>
        <w:szCs w:val="2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5">
    <w:nsid w:val="796E501F"/>
    <w:multiLevelType w:val="multilevel"/>
    <w:tmpl w:val="141E2F22"/>
    <w:lvl w:ilvl="0">
      <w:start w:val="1"/>
      <w:numFmt w:val="decimal"/>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6">
    <w:nsid w:val="7AEF7B0A"/>
    <w:multiLevelType w:val="hybridMultilevel"/>
    <w:tmpl w:val="B24A4F2E"/>
    <w:lvl w:ilvl="0" w:tplc="FFFFFFFF">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7CAA687E"/>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DDE7095"/>
    <w:multiLevelType w:val="multilevel"/>
    <w:tmpl w:val="70BEB220"/>
    <w:lvl w:ilvl="0">
      <w:start w:val="1"/>
      <w:numFmt w:val="decimal"/>
      <w:lvlText w:val="%1."/>
      <w:lvlJc w:val="left"/>
      <w:pPr>
        <w:tabs>
          <w:tab w:val="num" w:pos="567"/>
        </w:tabs>
      </w:pPr>
      <w:rPr>
        <w:rFonts w:cs="Times New Roman" w:hint="default"/>
        <w:b/>
        <w:i w:val="0"/>
      </w:rPr>
    </w:lvl>
    <w:lvl w:ilvl="1">
      <w:start w:val="1"/>
      <w:numFmt w:val="arabicAlpha"/>
      <w:lvlText w:val="%2."/>
      <w:lvlJc w:val="left"/>
      <w:pPr>
        <w:tabs>
          <w:tab w:val="num" w:pos="927"/>
        </w:tabs>
        <w:ind w:left="927" w:hanging="360"/>
      </w:pPr>
      <w:rPr>
        <w:rFonts w:cs="Times New Roman" w:hint="default"/>
        <w:b/>
        <w:i w:val="0"/>
        <w:szCs w:val="2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9">
    <w:nsid w:val="7ECC3A7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8"/>
  </w:num>
  <w:num w:numId="3">
    <w:abstractNumId w:val="8"/>
  </w:num>
  <w:num w:numId="4">
    <w:abstractNumId w:val="8"/>
  </w:num>
  <w:num w:numId="5">
    <w:abstractNumId w:val="12"/>
  </w:num>
  <w:num w:numId="6">
    <w:abstractNumId w:val="23"/>
  </w:num>
  <w:num w:numId="7">
    <w:abstractNumId w:val="11"/>
  </w:num>
  <w:num w:numId="8">
    <w:abstractNumId w:val="33"/>
  </w:num>
  <w:num w:numId="9">
    <w:abstractNumId w:val="8"/>
  </w:num>
  <w:num w:numId="10">
    <w:abstractNumId w:val="36"/>
  </w:num>
  <w:num w:numId="11">
    <w:abstractNumId w:val="18"/>
  </w:num>
  <w:num w:numId="12">
    <w:abstractNumId w:val="31"/>
  </w:num>
  <w:num w:numId="13">
    <w:abstractNumId w:val="26"/>
  </w:num>
  <w:num w:numId="14">
    <w:abstractNumId w:val="39"/>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8"/>
  </w:num>
  <w:num w:numId="26">
    <w:abstractNumId w:val="16"/>
  </w:num>
  <w:num w:numId="27">
    <w:abstractNumId w:val="30"/>
  </w:num>
  <w:num w:numId="28">
    <w:abstractNumId w:val="3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10"/>
  </w:num>
  <w:num w:numId="33">
    <w:abstractNumId w:val="20"/>
  </w:num>
  <w:num w:numId="34">
    <w:abstractNumId w:val="21"/>
  </w:num>
  <w:num w:numId="35">
    <w:abstractNumId w:val="22"/>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3"/>
  </w:num>
  <w:num w:numId="39">
    <w:abstractNumId w:val="15"/>
  </w:num>
  <w:num w:numId="40">
    <w:abstractNumId w:val="14"/>
  </w:num>
  <w:num w:numId="41">
    <w:abstractNumId w:val="38"/>
  </w:num>
  <w:num w:numId="42">
    <w:abstractNumId w:val="19"/>
  </w:num>
  <w:num w:numId="43">
    <w:abstractNumId w:val="25"/>
  </w:num>
  <w:num w:numId="44">
    <w:abstractNumId w:val="35"/>
  </w:num>
  <w:num w:numId="45">
    <w:abstractNumId w:val="24"/>
  </w:num>
  <w:num w:numId="46">
    <w:abstractNumId w:val="32"/>
  </w:num>
  <w:num w:numId="47">
    <w:abstractNumId w:val="29"/>
  </w:num>
  <w:num w:numId="48">
    <w:abstractNumId w:val="17"/>
    <w:lvlOverride w:ilvl="0">
      <w:startOverride w:val="1"/>
    </w:lvlOverride>
  </w:num>
  <w:num w:numId="49">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F2"/>
    <w:rsid w:val="00002CBE"/>
    <w:rsid w:val="00003232"/>
    <w:rsid w:val="000033DA"/>
    <w:rsid w:val="0000579F"/>
    <w:rsid w:val="000074D1"/>
    <w:rsid w:val="000076BD"/>
    <w:rsid w:val="00010481"/>
    <w:rsid w:val="00010671"/>
    <w:rsid w:val="00010AA6"/>
    <w:rsid w:val="000114E2"/>
    <w:rsid w:val="00013347"/>
    <w:rsid w:val="00013D73"/>
    <w:rsid w:val="000142E1"/>
    <w:rsid w:val="000146BD"/>
    <w:rsid w:val="00014B68"/>
    <w:rsid w:val="0001645D"/>
    <w:rsid w:val="000166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3EC"/>
    <w:rsid w:val="00053836"/>
    <w:rsid w:val="00054659"/>
    <w:rsid w:val="00055FA2"/>
    <w:rsid w:val="000571DD"/>
    <w:rsid w:val="00061FF5"/>
    <w:rsid w:val="00062502"/>
    <w:rsid w:val="00063C91"/>
    <w:rsid w:val="000640E7"/>
    <w:rsid w:val="00064CA4"/>
    <w:rsid w:val="00066DC7"/>
    <w:rsid w:val="0006794A"/>
    <w:rsid w:val="00067F31"/>
    <w:rsid w:val="00071138"/>
    <w:rsid w:val="000717BF"/>
    <w:rsid w:val="00073402"/>
    <w:rsid w:val="000746A5"/>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049"/>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1342"/>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9FD"/>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BC2"/>
    <w:rsid w:val="00164691"/>
    <w:rsid w:val="00164BD2"/>
    <w:rsid w:val="00165AC3"/>
    <w:rsid w:val="001665F3"/>
    <w:rsid w:val="001667B6"/>
    <w:rsid w:val="001668D4"/>
    <w:rsid w:val="00166A09"/>
    <w:rsid w:val="00167809"/>
    <w:rsid w:val="00167916"/>
    <w:rsid w:val="00167F30"/>
    <w:rsid w:val="00171844"/>
    <w:rsid w:val="0017385A"/>
    <w:rsid w:val="00175448"/>
    <w:rsid w:val="001757AF"/>
    <w:rsid w:val="00175825"/>
    <w:rsid w:val="0017666F"/>
    <w:rsid w:val="00176D64"/>
    <w:rsid w:val="00176E2C"/>
    <w:rsid w:val="00177DBF"/>
    <w:rsid w:val="0018104B"/>
    <w:rsid w:val="0018209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0C49"/>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D6DBE"/>
    <w:rsid w:val="001D78EA"/>
    <w:rsid w:val="001E0385"/>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3C5"/>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432"/>
    <w:rsid w:val="00231BE3"/>
    <w:rsid w:val="00232C51"/>
    <w:rsid w:val="00233414"/>
    <w:rsid w:val="00233D69"/>
    <w:rsid w:val="00234E82"/>
    <w:rsid w:val="00235C9D"/>
    <w:rsid w:val="00236A5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77FE5"/>
    <w:rsid w:val="002806F8"/>
    <w:rsid w:val="002810B5"/>
    <w:rsid w:val="00281F4F"/>
    <w:rsid w:val="00286548"/>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946"/>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05DC"/>
    <w:rsid w:val="002F1425"/>
    <w:rsid w:val="002F2EC8"/>
    <w:rsid w:val="002F4CE2"/>
    <w:rsid w:val="002F5F6A"/>
    <w:rsid w:val="002F60A4"/>
    <w:rsid w:val="002F6B0C"/>
    <w:rsid w:val="002F77FC"/>
    <w:rsid w:val="003004A6"/>
    <w:rsid w:val="0030129C"/>
    <w:rsid w:val="003013E2"/>
    <w:rsid w:val="00301FE4"/>
    <w:rsid w:val="00303E3A"/>
    <w:rsid w:val="00305417"/>
    <w:rsid w:val="00305E91"/>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1399"/>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1246"/>
    <w:rsid w:val="003F4C37"/>
    <w:rsid w:val="003F67AE"/>
    <w:rsid w:val="003F6BBB"/>
    <w:rsid w:val="003F719F"/>
    <w:rsid w:val="003F7CCA"/>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0F12"/>
    <w:rsid w:val="00481F5F"/>
    <w:rsid w:val="004821D0"/>
    <w:rsid w:val="00482CB2"/>
    <w:rsid w:val="00483D06"/>
    <w:rsid w:val="00483DAA"/>
    <w:rsid w:val="00485A4A"/>
    <w:rsid w:val="00485CF7"/>
    <w:rsid w:val="004862C2"/>
    <w:rsid w:val="004863F7"/>
    <w:rsid w:val="00486FFC"/>
    <w:rsid w:val="00490ED4"/>
    <w:rsid w:val="00491B91"/>
    <w:rsid w:val="00491C21"/>
    <w:rsid w:val="00491C66"/>
    <w:rsid w:val="004935D6"/>
    <w:rsid w:val="00494195"/>
    <w:rsid w:val="004945FB"/>
    <w:rsid w:val="00497356"/>
    <w:rsid w:val="0049738E"/>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08B"/>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54E9"/>
    <w:rsid w:val="004D6144"/>
    <w:rsid w:val="004D678F"/>
    <w:rsid w:val="004E1264"/>
    <w:rsid w:val="004E2CBC"/>
    <w:rsid w:val="004E359B"/>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7219"/>
    <w:rsid w:val="005104E8"/>
    <w:rsid w:val="005107DB"/>
    <w:rsid w:val="00510DB0"/>
    <w:rsid w:val="005119F6"/>
    <w:rsid w:val="00511B7D"/>
    <w:rsid w:val="00511D00"/>
    <w:rsid w:val="00512E95"/>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9CC"/>
    <w:rsid w:val="005409EB"/>
    <w:rsid w:val="00540F30"/>
    <w:rsid w:val="00541724"/>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65BB"/>
    <w:rsid w:val="005674C3"/>
    <w:rsid w:val="00567990"/>
    <w:rsid w:val="00567C4C"/>
    <w:rsid w:val="00570B8B"/>
    <w:rsid w:val="005728C8"/>
    <w:rsid w:val="005733AD"/>
    <w:rsid w:val="0057381A"/>
    <w:rsid w:val="00573A69"/>
    <w:rsid w:val="00573ABD"/>
    <w:rsid w:val="00574B91"/>
    <w:rsid w:val="00574E5C"/>
    <w:rsid w:val="005750F7"/>
    <w:rsid w:val="0057512C"/>
    <w:rsid w:val="00576319"/>
    <w:rsid w:val="0057648C"/>
    <w:rsid w:val="00576AF3"/>
    <w:rsid w:val="00580FEB"/>
    <w:rsid w:val="00581FF0"/>
    <w:rsid w:val="005825FC"/>
    <w:rsid w:val="00583437"/>
    <w:rsid w:val="00583CE0"/>
    <w:rsid w:val="00584B4A"/>
    <w:rsid w:val="00584DCB"/>
    <w:rsid w:val="00585A16"/>
    <w:rsid w:val="00585B98"/>
    <w:rsid w:val="005863D8"/>
    <w:rsid w:val="005865B2"/>
    <w:rsid w:val="00586812"/>
    <w:rsid w:val="00587BC2"/>
    <w:rsid w:val="00587C46"/>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77C5"/>
    <w:rsid w:val="005D0AE3"/>
    <w:rsid w:val="005D1103"/>
    <w:rsid w:val="005D276D"/>
    <w:rsid w:val="005D5912"/>
    <w:rsid w:val="005D619C"/>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87D"/>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5ED8"/>
    <w:rsid w:val="00696601"/>
    <w:rsid w:val="006971B8"/>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072"/>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27D92"/>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512"/>
    <w:rsid w:val="0078790B"/>
    <w:rsid w:val="00787917"/>
    <w:rsid w:val="00791489"/>
    <w:rsid w:val="00791683"/>
    <w:rsid w:val="00792F0C"/>
    <w:rsid w:val="00795460"/>
    <w:rsid w:val="00796CF7"/>
    <w:rsid w:val="00797210"/>
    <w:rsid w:val="007A0313"/>
    <w:rsid w:val="007A0A83"/>
    <w:rsid w:val="007A2BA1"/>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40C5"/>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A66"/>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27CF"/>
    <w:rsid w:val="008E3E79"/>
    <w:rsid w:val="008E454F"/>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975EF"/>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6FC4"/>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28B4"/>
    <w:rsid w:val="00A9334F"/>
    <w:rsid w:val="00A93D6F"/>
    <w:rsid w:val="00A95B9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987"/>
    <w:rsid w:val="00AC2FD0"/>
    <w:rsid w:val="00AC3DBD"/>
    <w:rsid w:val="00AC5E85"/>
    <w:rsid w:val="00AD03D8"/>
    <w:rsid w:val="00AD06B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53C6"/>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B76"/>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1BF5"/>
    <w:rsid w:val="00BD2603"/>
    <w:rsid w:val="00BD4A81"/>
    <w:rsid w:val="00BD4EEC"/>
    <w:rsid w:val="00BD4F34"/>
    <w:rsid w:val="00BD537C"/>
    <w:rsid w:val="00BD6F5B"/>
    <w:rsid w:val="00BD7662"/>
    <w:rsid w:val="00BE05ED"/>
    <w:rsid w:val="00BE0778"/>
    <w:rsid w:val="00BE350E"/>
    <w:rsid w:val="00BE3801"/>
    <w:rsid w:val="00BE38CF"/>
    <w:rsid w:val="00BE394B"/>
    <w:rsid w:val="00BE48A8"/>
    <w:rsid w:val="00BE528F"/>
    <w:rsid w:val="00BE5850"/>
    <w:rsid w:val="00BE58D6"/>
    <w:rsid w:val="00BE5CA6"/>
    <w:rsid w:val="00BE707F"/>
    <w:rsid w:val="00BE7A60"/>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4B9"/>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4EB4"/>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0A3"/>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082"/>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4EA"/>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2E8E"/>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EA2"/>
    <w:rsid w:val="00D80F87"/>
    <w:rsid w:val="00D812A5"/>
    <w:rsid w:val="00D81CA3"/>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568"/>
    <w:rsid w:val="00DB71DB"/>
    <w:rsid w:val="00DB71E1"/>
    <w:rsid w:val="00DB7B0F"/>
    <w:rsid w:val="00DB7CB3"/>
    <w:rsid w:val="00DC0D57"/>
    <w:rsid w:val="00DC16F7"/>
    <w:rsid w:val="00DC1CA3"/>
    <w:rsid w:val="00DC2641"/>
    <w:rsid w:val="00DC2B1E"/>
    <w:rsid w:val="00DC7481"/>
    <w:rsid w:val="00DC7591"/>
    <w:rsid w:val="00DD0839"/>
    <w:rsid w:val="00DD0FCB"/>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041"/>
    <w:rsid w:val="00E7498E"/>
    <w:rsid w:val="00E74BB9"/>
    <w:rsid w:val="00E74FF5"/>
    <w:rsid w:val="00E7584A"/>
    <w:rsid w:val="00E760D0"/>
    <w:rsid w:val="00E76D85"/>
    <w:rsid w:val="00E77C2E"/>
    <w:rsid w:val="00E80A1A"/>
    <w:rsid w:val="00E8292A"/>
    <w:rsid w:val="00E82DE7"/>
    <w:rsid w:val="00E84116"/>
    <w:rsid w:val="00E84C5C"/>
    <w:rsid w:val="00E85533"/>
    <w:rsid w:val="00E8584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3B9"/>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5F2"/>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6D6"/>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1908"/>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E454F"/>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1"/>
    <w:uiPriority w:val="99"/>
    <w:qFormat/>
    <w:rsid w:val="00744889"/>
    <w:pPr>
      <w:keepNext/>
      <w:spacing w:before="240" w:after="60"/>
      <w:outlineLvl w:val="3"/>
    </w:pPr>
    <w:rPr>
      <w:rFonts w:eastAsia="SimSun" w:cs="Times New Roman"/>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104B"/>
    <w:rPr>
      <w:rFonts w:ascii="Times New Roman" w:eastAsia="SimSun" w:hAnsi="Times New Roman" w:cs="Times New Roman"/>
      <w:b/>
      <w:color w:val="365F91"/>
      <w:sz w:val="28"/>
      <w:lang w:val="en-US"/>
    </w:rPr>
  </w:style>
  <w:style w:type="character" w:customStyle="1" w:styleId="Heading2Char">
    <w:name w:val="Heading 2 Char"/>
    <w:link w:val="Heading2"/>
    <w:uiPriority w:val="99"/>
    <w:semiHidden/>
    <w:locked/>
    <w:rsid w:val="0018104B"/>
    <w:rPr>
      <w:rFonts w:ascii="Times New Roman" w:eastAsia="SimSun" w:hAnsi="Times New Roman" w:cs="Times New Roman"/>
      <w:b/>
      <w:color w:val="4F81BD"/>
      <w:sz w:val="26"/>
      <w:lang w:val="en-US"/>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uiPriority w:val="99"/>
    <w:semiHidden/>
    <w:locked/>
    <w:rPr>
      <w:rFonts w:ascii="Calibri" w:hAnsi="Calibri" w:cs="Arial"/>
      <w:b/>
      <w:bCs/>
      <w:sz w:val="28"/>
      <w:szCs w:val="28"/>
    </w:rPr>
  </w:style>
  <w:style w:type="paragraph" w:styleId="Header">
    <w:name w:val="header"/>
    <w:basedOn w:val="Normal"/>
    <w:link w:val="HeaderChar"/>
    <w:uiPriority w:val="99"/>
    <w:rsid w:val="008E454F"/>
    <w:pPr>
      <w:tabs>
        <w:tab w:val="center" w:pos="4536"/>
        <w:tab w:val="right" w:pos="9072"/>
      </w:tabs>
    </w:pPr>
  </w:style>
  <w:style w:type="character" w:customStyle="1" w:styleId="HeaderChar">
    <w:name w:val="Header Char"/>
    <w:link w:val="Header"/>
    <w:uiPriority w:val="99"/>
    <w:locked/>
    <w:rsid w:val="008E27CF"/>
    <w:rPr>
      <w:rFonts w:ascii="Arial" w:hAnsi="Arial" w:cs="Arial"/>
      <w:sz w:val="22"/>
    </w:rPr>
  </w:style>
  <w:style w:type="paragraph" w:styleId="Footer">
    <w:name w:val="footer"/>
    <w:basedOn w:val="Normal"/>
    <w:link w:val="FooterChar"/>
    <w:uiPriority w:val="99"/>
    <w:rsid w:val="00744889"/>
    <w:pPr>
      <w:tabs>
        <w:tab w:val="center" w:pos="4320"/>
        <w:tab w:val="right" w:pos="8640"/>
      </w:tabs>
    </w:pPr>
  </w:style>
  <w:style w:type="character" w:customStyle="1" w:styleId="FooterChar">
    <w:name w:val="Footer Char"/>
    <w:link w:val="Footer"/>
    <w:uiPriority w:val="99"/>
    <w:locked/>
    <w:rPr>
      <w:rFonts w:ascii="Arial" w:hAnsi="Arial" w:cs="Arial"/>
      <w:sz w:val="20"/>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link w:val="Salutation"/>
    <w:uiPriority w:val="99"/>
    <w:semiHidden/>
    <w:locked/>
    <w:rPr>
      <w:rFonts w:ascii="Arial" w:hAnsi="Arial" w:cs="Arial"/>
      <w:sz w:val="20"/>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link w:val="Signature"/>
    <w:uiPriority w:val="99"/>
    <w:semiHidden/>
    <w:locked/>
    <w:rsid w:val="0018104B"/>
    <w:rPr>
      <w:rFonts w:ascii="Arial" w:eastAsia="SimSun" w:hAnsi="Arial" w:cs="Times New Roman"/>
      <w:sz w:val="20"/>
      <w:lang w:val="en-US"/>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link w:val="FootnoteText"/>
    <w:uiPriority w:val="99"/>
    <w:semiHidden/>
    <w:locked/>
    <w:rsid w:val="0018104B"/>
    <w:rPr>
      <w:rFonts w:ascii="Arial" w:eastAsia="SimSun" w:hAnsi="Arial" w:cs="Times New Roman"/>
      <w:sz w:val="20"/>
      <w:lang w:val="en-US"/>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1"/>
    <w:uiPriority w:val="99"/>
    <w:semiHidden/>
    <w:rsid w:val="00744889"/>
    <w:rPr>
      <w:rFonts w:cs="Times New Roman"/>
      <w:sz w:val="18"/>
    </w:rPr>
  </w:style>
  <w:style w:type="character" w:customStyle="1" w:styleId="EndnoteTextChar">
    <w:name w:val="Endnote Text Char"/>
    <w:uiPriority w:val="99"/>
    <w:semiHidden/>
    <w:locked/>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link w:val="CommentText"/>
    <w:uiPriority w:val="99"/>
    <w:semiHidden/>
    <w:locked/>
    <w:rPr>
      <w:rFonts w:ascii="Arial" w:hAnsi="Arial" w:cs="Arial"/>
      <w:sz w:val="20"/>
      <w:szCs w:val="20"/>
    </w:rPr>
  </w:style>
  <w:style w:type="paragraph" w:customStyle="1" w:styleId="NumberedParaAR">
    <w:name w:val="Numbered_Para_AR"/>
    <w:basedOn w:val="NormalParaAR"/>
    <w:uiPriority w:val="99"/>
    <w:rsid w:val="00BB2683"/>
    <w:pPr>
      <w:numPr>
        <w:numId w:val="15"/>
      </w:numPr>
    </w:pPr>
  </w:style>
  <w:style w:type="paragraph" w:styleId="ListNumber">
    <w:name w:val="List Number"/>
    <w:basedOn w:val="Normal"/>
    <w:uiPriority w:val="99"/>
    <w:semiHidden/>
    <w:rsid w:val="00744889"/>
    <w:pPr>
      <w:numPr>
        <w:numId w:val="10"/>
      </w:numPr>
    </w:pPr>
  </w:style>
  <w:style w:type="table" w:styleId="TableGrid">
    <w:name w:val="Table Grid"/>
    <w:basedOn w:val="TableNormal"/>
    <w:uiPriority w:val="9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link w:val="BalloonText"/>
    <w:uiPriority w:val="99"/>
    <w:locked/>
    <w:rsid w:val="00570B8B"/>
    <w:rPr>
      <w:rFonts w:ascii="Tahoma" w:hAnsi="Tahoma" w:cs="Tahoma"/>
      <w:sz w:val="16"/>
      <w:szCs w:val="16"/>
    </w:rPr>
  </w:style>
  <w:style w:type="character" w:customStyle="1" w:styleId="CharChar13">
    <w:name w:val="Char Char13"/>
    <w:uiPriority w:val="99"/>
    <w:locked/>
    <w:rsid w:val="0018104B"/>
    <w:rPr>
      <w:rFonts w:ascii="Arial" w:eastAsia="SimSun" w:hAnsi="Arial"/>
      <w:sz w:val="26"/>
      <w:u w:val="single"/>
      <w:lang w:val="en-US"/>
    </w:rPr>
  </w:style>
  <w:style w:type="character" w:customStyle="1" w:styleId="CharChar12">
    <w:name w:val="Char Char12"/>
    <w:uiPriority w:val="99"/>
    <w:locked/>
    <w:rsid w:val="0018104B"/>
    <w:rPr>
      <w:rFonts w:ascii="Arial" w:eastAsia="SimSun" w:hAnsi="Arial"/>
      <w:i/>
      <w:sz w:val="28"/>
      <w:lang w:val="en-US"/>
    </w:rPr>
  </w:style>
  <w:style w:type="character" w:customStyle="1" w:styleId="CharChar15">
    <w:name w:val="Char Char15"/>
    <w:uiPriority w:val="99"/>
    <w:locked/>
    <w:rsid w:val="0018104B"/>
    <w:rPr>
      <w:rFonts w:ascii="Arial" w:eastAsia="SimSun" w:hAnsi="Arial"/>
      <w:b/>
      <w:caps/>
      <w:kern w:val="32"/>
      <w:sz w:val="32"/>
      <w:lang w:val="en-US"/>
    </w:rPr>
  </w:style>
  <w:style w:type="paragraph" w:customStyle="1" w:styleId="Endofdocument-Annex">
    <w:name w:val="[End of document - Annex]"/>
    <w:basedOn w:val="Normal"/>
    <w:uiPriority w:val="99"/>
    <w:rsid w:val="0018104B"/>
    <w:pPr>
      <w:ind w:left="5534"/>
    </w:pPr>
    <w:rPr>
      <w:rFonts w:eastAsia="SimSun"/>
    </w:rPr>
  </w:style>
  <w:style w:type="paragraph" w:styleId="BodyText">
    <w:name w:val="Body Text"/>
    <w:basedOn w:val="Normal"/>
    <w:link w:val="BodyTextChar1"/>
    <w:uiPriority w:val="99"/>
    <w:rsid w:val="0018104B"/>
    <w:pPr>
      <w:spacing w:after="220"/>
    </w:pPr>
    <w:rPr>
      <w:rFonts w:eastAsia="SimSun" w:cs="Times New Roman"/>
    </w:rPr>
  </w:style>
  <w:style w:type="character" w:customStyle="1" w:styleId="BodyTextChar">
    <w:name w:val="Body Text Char"/>
    <w:uiPriority w:val="99"/>
    <w:semiHidden/>
    <w:locked/>
    <w:rPr>
      <w:rFonts w:ascii="Arial" w:hAnsi="Arial" w:cs="Arial"/>
      <w:sz w:val="20"/>
      <w:szCs w:val="20"/>
    </w:rPr>
  </w:style>
  <w:style w:type="character" w:customStyle="1" w:styleId="CharChar10">
    <w:name w:val="Char Char10"/>
    <w:uiPriority w:val="99"/>
    <w:locked/>
    <w:rsid w:val="0018104B"/>
    <w:rPr>
      <w:rFonts w:ascii="Arial" w:eastAsia="SimSun" w:hAnsi="Arial"/>
      <w:sz w:val="20"/>
      <w:lang w:val="en-US"/>
    </w:rPr>
  </w:style>
  <w:style w:type="character" w:customStyle="1" w:styleId="CharChar9">
    <w:name w:val="Char Char9"/>
    <w:uiPriority w:val="99"/>
    <w:semiHidden/>
    <w:locked/>
    <w:rsid w:val="0018104B"/>
    <w:rPr>
      <w:rFonts w:ascii="Arial" w:eastAsia="SimSun" w:hAnsi="Arial"/>
      <w:sz w:val="20"/>
      <w:lang w:val="en-US"/>
    </w:rPr>
  </w:style>
  <w:style w:type="character" w:customStyle="1" w:styleId="CharChar8">
    <w:name w:val="Char Char8"/>
    <w:uiPriority w:val="99"/>
    <w:semiHidden/>
    <w:locked/>
    <w:rsid w:val="0018104B"/>
    <w:rPr>
      <w:rFonts w:ascii="Arial" w:eastAsia="SimSun" w:hAnsi="Arial"/>
      <w:sz w:val="20"/>
      <w:lang w:val="en-US"/>
    </w:rPr>
  </w:style>
  <w:style w:type="character" w:customStyle="1" w:styleId="CharChar7">
    <w:name w:val="Char Char7"/>
    <w:uiPriority w:val="99"/>
    <w:semiHidden/>
    <w:locked/>
    <w:rsid w:val="0018104B"/>
    <w:rPr>
      <w:rFonts w:ascii="Arial" w:eastAsia="SimSun" w:hAnsi="Arial"/>
      <w:sz w:val="20"/>
      <w:lang w:val="en-US"/>
    </w:rPr>
  </w:style>
  <w:style w:type="paragraph" w:customStyle="1" w:styleId="ONUME">
    <w:name w:val="ONUM E"/>
    <w:basedOn w:val="BodyText"/>
    <w:uiPriority w:val="99"/>
    <w:rsid w:val="0018104B"/>
    <w:pPr>
      <w:tabs>
        <w:tab w:val="num" w:pos="360"/>
      </w:tabs>
      <w:ind w:left="360" w:hanging="360"/>
    </w:pPr>
  </w:style>
  <w:style w:type="paragraph" w:customStyle="1" w:styleId="ONUMFS">
    <w:name w:val="ONUM FS"/>
    <w:basedOn w:val="BodyText"/>
    <w:uiPriority w:val="99"/>
    <w:rsid w:val="0018104B"/>
    <w:pPr>
      <w:numPr>
        <w:numId w:val="26"/>
      </w:numPr>
    </w:pPr>
  </w:style>
  <w:style w:type="character" w:customStyle="1" w:styleId="CharChar4">
    <w:name w:val="Char Char4"/>
    <w:uiPriority w:val="99"/>
    <w:semiHidden/>
    <w:locked/>
    <w:rsid w:val="0018104B"/>
    <w:rPr>
      <w:rFonts w:ascii="Arial" w:eastAsia="SimSun" w:hAnsi="Arial"/>
      <w:sz w:val="20"/>
      <w:lang w:val="en-US"/>
    </w:rPr>
  </w:style>
  <w:style w:type="paragraph" w:styleId="PlainText">
    <w:name w:val="Plain Text"/>
    <w:basedOn w:val="Normal"/>
    <w:link w:val="PlainTextChar"/>
    <w:uiPriority w:val="99"/>
    <w:rsid w:val="0018104B"/>
    <w:rPr>
      <w:rFonts w:ascii="Courier New" w:eastAsia="SimSun" w:hAnsi="Courier New" w:cs="Courier New"/>
      <w:sz w:val="20"/>
    </w:rPr>
  </w:style>
  <w:style w:type="character" w:customStyle="1" w:styleId="PlainTextChar">
    <w:name w:val="Plain Text Char"/>
    <w:link w:val="PlainText"/>
    <w:uiPriority w:val="99"/>
    <w:semiHidden/>
    <w:locked/>
    <w:rPr>
      <w:rFonts w:ascii="Courier New" w:hAnsi="Courier New" w:cs="Courier New"/>
      <w:sz w:val="20"/>
      <w:szCs w:val="20"/>
    </w:rPr>
  </w:style>
  <w:style w:type="character" w:customStyle="1" w:styleId="CharChar2">
    <w:name w:val="Char Char2"/>
    <w:uiPriority w:val="99"/>
    <w:locked/>
    <w:rsid w:val="0018104B"/>
    <w:rPr>
      <w:rFonts w:ascii="Courier New" w:eastAsia="SimSun" w:hAnsi="Courier New"/>
      <w:sz w:val="20"/>
      <w:lang w:val="en-US"/>
    </w:rPr>
  </w:style>
  <w:style w:type="character" w:customStyle="1" w:styleId="CharChar3">
    <w:name w:val="Char Char3"/>
    <w:uiPriority w:val="99"/>
    <w:semiHidden/>
    <w:locked/>
    <w:rsid w:val="0018104B"/>
    <w:rPr>
      <w:rFonts w:ascii="Arial" w:eastAsia="SimSun" w:hAnsi="Arial"/>
      <w:sz w:val="20"/>
      <w:lang w:val="en-US"/>
    </w:rPr>
  </w:style>
  <w:style w:type="character" w:styleId="PageNumber">
    <w:name w:val="page number"/>
    <w:uiPriority w:val="99"/>
    <w:rsid w:val="0018104B"/>
    <w:rPr>
      <w:rFonts w:cs="Times New Roman"/>
    </w:rPr>
  </w:style>
  <w:style w:type="paragraph" w:styleId="NormalWeb">
    <w:name w:val="Normal (Web)"/>
    <w:basedOn w:val="Normal"/>
    <w:uiPriority w:val="99"/>
    <w:rsid w:val="0018104B"/>
    <w:pPr>
      <w:spacing w:before="100" w:beforeAutospacing="1" w:after="100" w:afterAutospacing="1"/>
    </w:pPr>
    <w:rPr>
      <w:sz w:val="18"/>
      <w:szCs w:val="18"/>
    </w:rPr>
  </w:style>
  <w:style w:type="character" w:customStyle="1" w:styleId="description">
    <w:name w:val="description"/>
    <w:uiPriority w:val="99"/>
    <w:rsid w:val="0018104B"/>
  </w:style>
  <w:style w:type="paragraph" w:customStyle="1" w:styleId="Default">
    <w:name w:val="Default"/>
    <w:uiPriority w:val="99"/>
    <w:rsid w:val="0018104B"/>
    <w:pPr>
      <w:autoSpaceDE w:val="0"/>
      <w:autoSpaceDN w:val="0"/>
      <w:adjustRightInd w:val="0"/>
    </w:pPr>
    <w:rPr>
      <w:color w:val="000000"/>
      <w:sz w:val="24"/>
      <w:szCs w:val="24"/>
    </w:rPr>
  </w:style>
  <w:style w:type="character" w:styleId="EndnoteReference">
    <w:name w:val="endnote reference"/>
    <w:uiPriority w:val="99"/>
    <w:semiHidden/>
    <w:rsid w:val="0018104B"/>
    <w:rPr>
      <w:rFonts w:cs="Times New Roman"/>
      <w:vertAlign w:val="superscript"/>
    </w:rPr>
  </w:style>
  <w:style w:type="paragraph" w:customStyle="1" w:styleId="Style">
    <w:name w:val="Style"/>
    <w:basedOn w:val="Normal"/>
    <w:uiPriority w:val="99"/>
    <w:rsid w:val="0018104B"/>
    <w:pPr>
      <w:spacing w:after="160" w:line="240" w:lineRule="exact"/>
    </w:pPr>
    <w:rPr>
      <w:rFonts w:ascii="Times New Roman" w:hAnsi="Times New Roman" w:cs="Times New Roman"/>
      <w:sz w:val="20"/>
      <w:lang w:val="en-GB"/>
    </w:rPr>
  </w:style>
  <w:style w:type="character" w:customStyle="1" w:styleId="CharChar14">
    <w:name w:val="Char Char14"/>
    <w:uiPriority w:val="99"/>
    <w:locked/>
    <w:rsid w:val="0018104B"/>
    <w:rPr>
      <w:rFonts w:ascii="Arial" w:eastAsia="SimSun" w:hAnsi="Arial"/>
      <w:caps/>
      <w:sz w:val="20"/>
      <w:lang w:val="en-US"/>
    </w:rPr>
  </w:style>
  <w:style w:type="character" w:styleId="LineNumber">
    <w:name w:val="line number"/>
    <w:uiPriority w:val="99"/>
    <w:rsid w:val="0018104B"/>
    <w:rPr>
      <w:rFonts w:cs="Times New Roman"/>
    </w:rPr>
  </w:style>
  <w:style w:type="character" w:customStyle="1" w:styleId="BodyTextChar1">
    <w:name w:val="Body Text Char1"/>
    <w:link w:val="BodyText"/>
    <w:uiPriority w:val="99"/>
    <w:semiHidden/>
    <w:locked/>
    <w:rsid w:val="0018104B"/>
    <w:rPr>
      <w:rFonts w:ascii="Arial" w:eastAsia="SimSun" w:hAnsi="Arial"/>
      <w:snapToGrid w:val="0"/>
      <w:sz w:val="22"/>
      <w:lang w:val="en-US" w:eastAsia="en-US"/>
    </w:rPr>
  </w:style>
  <w:style w:type="paragraph" w:styleId="TOC2">
    <w:name w:val="toc 2"/>
    <w:basedOn w:val="Normal"/>
    <w:next w:val="Normal"/>
    <w:autoRedefine/>
    <w:uiPriority w:val="99"/>
    <w:rsid w:val="0018104B"/>
    <w:pPr>
      <w:tabs>
        <w:tab w:val="left" w:pos="709"/>
        <w:tab w:val="right" w:leader="dot" w:pos="9345"/>
      </w:tabs>
      <w:ind w:left="220"/>
    </w:pPr>
    <w:rPr>
      <w:rFonts w:eastAsia="SimSun"/>
    </w:rPr>
  </w:style>
  <w:style w:type="paragraph" w:styleId="TOC1">
    <w:name w:val="toc 1"/>
    <w:basedOn w:val="Normal"/>
    <w:next w:val="Normal"/>
    <w:autoRedefine/>
    <w:uiPriority w:val="99"/>
    <w:rsid w:val="0018104B"/>
    <w:rPr>
      <w:rFonts w:eastAsia="SimSun"/>
    </w:rPr>
  </w:style>
  <w:style w:type="paragraph" w:styleId="TOC3">
    <w:name w:val="toc 3"/>
    <w:basedOn w:val="Normal"/>
    <w:next w:val="Normal"/>
    <w:autoRedefine/>
    <w:uiPriority w:val="99"/>
    <w:semiHidden/>
    <w:rsid w:val="0018104B"/>
    <w:pPr>
      <w:ind w:left="440"/>
    </w:pPr>
    <w:rPr>
      <w:rFonts w:eastAsia="SimSun"/>
    </w:rPr>
  </w:style>
  <w:style w:type="character" w:styleId="Hyperlink">
    <w:name w:val="Hyperlink"/>
    <w:uiPriority w:val="99"/>
    <w:rsid w:val="0018104B"/>
    <w:rPr>
      <w:rFonts w:cs="Times New Roman"/>
      <w:color w:val="0000FF"/>
      <w:u w:val="single"/>
    </w:rPr>
  </w:style>
  <w:style w:type="character" w:customStyle="1" w:styleId="Heading4Char1">
    <w:name w:val="Heading 4 Char1"/>
    <w:link w:val="Heading4"/>
    <w:uiPriority w:val="99"/>
    <w:semiHidden/>
    <w:locked/>
    <w:rsid w:val="0018104B"/>
    <w:rPr>
      <w:rFonts w:ascii="Arial" w:eastAsia="SimSun" w:hAnsi="Arial"/>
      <w:i/>
      <w:sz w:val="28"/>
      <w:lang w:val="en-US" w:eastAsia="en-US"/>
    </w:rPr>
  </w:style>
  <w:style w:type="paragraph" w:customStyle="1" w:styleId="Reporttext">
    <w:name w:val="Report text"/>
    <w:uiPriority w:val="99"/>
    <w:rsid w:val="0018104B"/>
    <w:pPr>
      <w:spacing w:before="120"/>
    </w:pPr>
    <w:rPr>
      <w:sz w:val="22"/>
      <w:szCs w:val="22"/>
    </w:rPr>
  </w:style>
  <w:style w:type="paragraph" w:customStyle="1" w:styleId="ContentsTitle">
    <w:name w:val="Contents Title"/>
    <w:basedOn w:val="Reporttext"/>
    <w:next w:val="Reporttext"/>
    <w:uiPriority w:val="99"/>
    <w:rsid w:val="0018104B"/>
    <w:pPr>
      <w:keepNext/>
      <w:spacing w:before="240" w:after="240"/>
    </w:pPr>
    <w:rPr>
      <w:spacing w:val="40"/>
      <w:sz w:val="28"/>
    </w:rPr>
  </w:style>
  <w:style w:type="paragraph" w:customStyle="1" w:styleId="Floating">
    <w:name w:val="Floating"/>
    <w:basedOn w:val="Reporttext"/>
    <w:next w:val="Reporttext"/>
    <w:uiPriority w:val="99"/>
    <w:rsid w:val="0018104B"/>
    <w:pPr>
      <w:keepNext/>
      <w:spacing w:before="240"/>
    </w:pPr>
    <w:rPr>
      <w:b/>
    </w:rPr>
  </w:style>
  <w:style w:type="character" w:customStyle="1" w:styleId="FloatingChar">
    <w:name w:val="Floating Char"/>
    <w:uiPriority w:val="99"/>
    <w:locked/>
    <w:rsid w:val="0018104B"/>
    <w:rPr>
      <w:rFonts w:ascii="Times New Roman" w:hAnsi="Times New Roman"/>
      <w:b/>
      <w:lang w:val="en-US"/>
    </w:rPr>
  </w:style>
  <w:style w:type="character" w:customStyle="1" w:styleId="ReporttextChar">
    <w:name w:val="Report text Char"/>
    <w:uiPriority w:val="99"/>
    <w:locked/>
    <w:rsid w:val="0018104B"/>
    <w:rPr>
      <w:rFonts w:ascii="Times New Roman" w:hAnsi="Times New Roman"/>
      <w:lang w:val="en-US"/>
    </w:rPr>
  </w:style>
  <w:style w:type="character" w:customStyle="1" w:styleId="CharChar6">
    <w:name w:val="Char Char6"/>
    <w:uiPriority w:val="99"/>
    <w:semiHidden/>
    <w:locked/>
    <w:rsid w:val="0018104B"/>
    <w:rPr>
      <w:rFonts w:ascii="Arial" w:eastAsia="SimSun" w:hAnsi="Arial"/>
      <w:sz w:val="20"/>
      <w:lang w:val="en-US"/>
    </w:rPr>
  </w:style>
  <w:style w:type="character" w:customStyle="1" w:styleId="FootnoteTextChar1">
    <w:name w:val="Footnote Text Char1"/>
    <w:uiPriority w:val="99"/>
    <w:semiHidden/>
    <w:locked/>
    <w:rsid w:val="0018104B"/>
    <w:rPr>
      <w:rFonts w:ascii="Arial" w:hAnsi="Arial"/>
      <w:sz w:val="18"/>
      <w:lang w:val="en-US"/>
    </w:rPr>
  </w:style>
  <w:style w:type="paragraph" w:styleId="ListParagraph">
    <w:name w:val="List Paragraph"/>
    <w:basedOn w:val="Normal"/>
    <w:uiPriority w:val="99"/>
    <w:qFormat/>
    <w:rsid w:val="0018104B"/>
    <w:pPr>
      <w:ind w:left="720"/>
      <w:contextualSpacing/>
    </w:pPr>
    <w:rPr>
      <w:rFonts w:ascii="Times New Roman" w:hAnsi="Times New Roman" w:cs="Times New Roman"/>
      <w:sz w:val="24"/>
      <w:szCs w:val="24"/>
    </w:rPr>
  </w:style>
  <w:style w:type="paragraph" w:styleId="DocumentMap">
    <w:name w:val="Document Map"/>
    <w:basedOn w:val="Normal"/>
    <w:link w:val="DocumentMapChar"/>
    <w:uiPriority w:val="99"/>
    <w:semiHidden/>
    <w:rsid w:val="0018104B"/>
    <w:pPr>
      <w:shd w:val="clear" w:color="auto" w:fill="000080"/>
    </w:pPr>
    <w:rPr>
      <w:rFonts w:ascii="Times New Roman" w:eastAsia="SimSun" w:hAnsi="Times New Roman" w:cs="Times New Roman"/>
      <w:sz w:val="20"/>
    </w:rPr>
  </w:style>
  <w:style w:type="character" w:customStyle="1" w:styleId="DocumentMapChar">
    <w:name w:val="Document Map Char"/>
    <w:link w:val="DocumentMap"/>
    <w:uiPriority w:val="99"/>
    <w:semiHidden/>
    <w:locked/>
    <w:rPr>
      <w:rFonts w:cs="Times New Roman"/>
      <w:sz w:val="2"/>
    </w:rPr>
  </w:style>
  <w:style w:type="character" w:customStyle="1" w:styleId="EndnoteTextChar1">
    <w:name w:val="Endnote Text Char1"/>
    <w:link w:val="EndnoteText"/>
    <w:uiPriority w:val="99"/>
    <w:semiHidden/>
    <w:locked/>
    <w:rsid w:val="0018104B"/>
    <w:rPr>
      <w:rFonts w:ascii="Arial" w:hAnsi="Arial"/>
      <w:sz w:val="18"/>
      <w:lang w:val="en-US" w:eastAsia="en-US"/>
    </w:rPr>
  </w:style>
  <w:style w:type="paragraph" w:customStyle="1" w:styleId="EndofDocument">
    <w:name w:val="End of Document"/>
    <w:basedOn w:val="Normal"/>
    <w:uiPriority w:val="99"/>
    <w:rsid w:val="0018104B"/>
    <w:pPr>
      <w:ind w:left="4536"/>
      <w:jc w:val="center"/>
    </w:pPr>
    <w:rPr>
      <w:rFonts w:ascii="Times New Roman" w:hAnsi="Times New Roman" w:cs="Times New Roman"/>
      <w:sz w:val="24"/>
    </w:rPr>
  </w:style>
  <w:style w:type="character" w:styleId="CommentReference">
    <w:name w:val="annotation reference"/>
    <w:uiPriority w:val="99"/>
    <w:semiHidden/>
    <w:rsid w:val="0018104B"/>
    <w:rPr>
      <w:rFonts w:cs="Times New Roman"/>
      <w:sz w:val="18"/>
    </w:rPr>
  </w:style>
  <w:style w:type="paragraph" w:customStyle="1" w:styleId="CharCharCharChar">
    <w:name w:val="Char Char Char Char"/>
    <w:basedOn w:val="Normal"/>
    <w:uiPriority w:val="99"/>
    <w:rsid w:val="0018104B"/>
    <w:pPr>
      <w:spacing w:after="160" w:line="240" w:lineRule="exact"/>
    </w:pPr>
    <w:rPr>
      <w:rFonts w:ascii="Times New Roman" w:hAnsi="Times New Roman" w:cs="Times New Roman"/>
      <w:sz w:val="20"/>
      <w:lang w:val="en-GB"/>
    </w:rPr>
  </w:style>
  <w:style w:type="paragraph" w:customStyle="1" w:styleId="StyleChapterBold1">
    <w:name w:val="Style Chapter + Bold1"/>
    <w:basedOn w:val="Normal"/>
    <w:uiPriority w:val="99"/>
    <w:rsid w:val="0018104B"/>
    <w:pPr>
      <w:keepNext/>
      <w:jc w:val="center"/>
      <w:outlineLvl w:val="0"/>
    </w:pPr>
    <w:rPr>
      <w:rFonts w:ascii="Times New Roman Bold" w:hAnsi="Times New Roman Bold" w:cs="Times New Roman"/>
      <w:b/>
      <w:caps/>
      <w:sz w:val="24"/>
    </w:rPr>
  </w:style>
  <w:style w:type="character" w:customStyle="1" w:styleId="StyleChapterBold1CharChar">
    <w:name w:val="Style Chapter + Bold1 Char Char"/>
    <w:uiPriority w:val="99"/>
    <w:locked/>
    <w:rsid w:val="0018104B"/>
    <w:rPr>
      <w:rFonts w:ascii="Times New Roman Bold" w:hAnsi="Times New Roman Bold"/>
      <w:b/>
      <w:caps/>
      <w:sz w:val="20"/>
      <w:lang w:val="en-US"/>
    </w:rPr>
  </w:style>
  <w:style w:type="paragraph" w:styleId="TOCHeading">
    <w:name w:val="TOC Heading"/>
    <w:basedOn w:val="Heading1"/>
    <w:next w:val="Normal"/>
    <w:uiPriority w:val="99"/>
    <w:qFormat/>
    <w:rsid w:val="0018104B"/>
    <w:pPr>
      <w:keepLines/>
      <w:tabs>
        <w:tab w:val="num" w:pos="567"/>
      </w:tabs>
      <w:spacing w:before="480" w:after="0" w:line="276" w:lineRule="auto"/>
      <w:outlineLvl w:val="9"/>
    </w:pPr>
    <w:rPr>
      <w:rFonts w:ascii="Times New Roman" w:eastAsia="Times New Roman" w:hAnsi="Times New Roman" w:cs="Times New Roman"/>
      <w:caps w:val="0"/>
      <w:color w:val="365F91"/>
      <w:kern w:val="0"/>
      <w:sz w:val="28"/>
      <w:szCs w:val="28"/>
    </w:rPr>
  </w:style>
  <w:style w:type="paragraph" w:styleId="CommentSubject">
    <w:name w:val="annotation subject"/>
    <w:basedOn w:val="CommentText"/>
    <w:next w:val="CommentText"/>
    <w:link w:val="CommentSubjectChar"/>
    <w:uiPriority w:val="99"/>
    <w:semiHidden/>
    <w:rsid w:val="0018104B"/>
    <w:rPr>
      <w:rFonts w:eastAsia="SimSun"/>
      <w:b/>
      <w:bCs/>
      <w:sz w:val="20"/>
    </w:rPr>
  </w:style>
  <w:style w:type="character" w:customStyle="1" w:styleId="CommentSubjectChar">
    <w:name w:val="Comment Subject Char"/>
    <w:link w:val="CommentSubject"/>
    <w:uiPriority w:val="99"/>
    <w:semiHidden/>
    <w:locked/>
    <w:rPr>
      <w:rFonts w:ascii="Arial" w:hAnsi="Arial" w:cs="Arial"/>
      <w:b/>
      <w:bCs/>
      <w:sz w:val="20"/>
      <w:szCs w:val="20"/>
    </w:rPr>
  </w:style>
  <w:style w:type="character" w:customStyle="1" w:styleId="CharChar">
    <w:name w:val="Char Char"/>
    <w:uiPriority w:val="99"/>
    <w:semiHidden/>
    <w:locked/>
    <w:rsid w:val="0018104B"/>
    <w:rPr>
      <w:rFonts w:ascii="Arial" w:eastAsia="SimSun" w:hAnsi="Arial"/>
      <w:b/>
      <w:sz w:val="20"/>
      <w:lang w:val="en-US"/>
    </w:rPr>
  </w:style>
  <w:style w:type="paragraph" w:customStyle="1" w:styleId="StyleBoldCentered">
    <w:name w:val="Style Bold Centered"/>
    <w:uiPriority w:val="99"/>
    <w:rsid w:val="0018104B"/>
    <w:pPr>
      <w:jc w:val="center"/>
    </w:pPr>
    <w:rPr>
      <w:rFonts w:ascii="Arial" w:hAnsi="Arial"/>
      <w:b/>
      <w:bCs/>
      <w:sz w:val="22"/>
    </w:rPr>
  </w:style>
  <w:style w:type="paragraph" w:customStyle="1" w:styleId="dernierpara">
    <w:name w:val="dernierpara"/>
    <w:basedOn w:val="Normal"/>
    <w:uiPriority w:val="99"/>
    <w:rsid w:val="0018104B"/>
    <w:pPr>
      <w:spacing w:after="360"/>
    </w:pPr>
    <w:rPr>
      <w:rFonts w:ascii="Times New Roman" w:hAnsi="Times New Roman" w:cs="Times New Roman"/>
      <w:sz w:val="24"/>
      <w:lang w:val="fr-FR"/>
    </w:rPr>
  </w:style>
  <w:style w:type="character" w:customStyle="1" w:styleId="tw4winMark">
    <w:name w:val="tw4winMark"/>
    <w:uiPriority w:val="99"/>
    <w:rsid w:val="0018104B"/>
    <w:rPr>
      <w:rFonts w:ascii="Courier New" w:hAnsi="Courier New"/>
      <w:vanish/>
      <w:color w:val="800080"/>
      <w:sz w:val="24"/>
      <w:vertAlign w:val="subscript"/>
    </w:rPr>
  </w:style>
  <w:style w:type="character" w:customStyle="1" w:styleId="tw4winError">
    <w:name w:val="tw4winError"/>
    <w:uiPriority w:val="99"/>
    <w:rsid w:val="0018104B"/>
    <w:rPr>
      <w:rFonts w:ascii="Courier New" w:hAnsi="Courier New"/>
      <w:color w:val="00FF00"/>
      <w:sz w:val="40"/>
    </w:rPr>
  </w:style>
  <w:style w:type="character" w:customStyle="1" w:styleId="tw4winTerm">
    <w:name w:val="tw4winTerm"/>
    <w:uiPriority w:val="99"/>
    <w:rsid w:val="0018104B"/>
    <w:rPr>
      <w:color w:val="0000FF"/>
    </w:rPr>
  </w:style>
  <w:style w:type="character" w:customStyle="1" w:styleId="tw4winPopup">
    <w:name w:val="tw4winPopup"/>
    <w:uiPriority w:val="99"/>
    <w:rsid w:val="0018104B"/>
    <w:rPr>
      <w:rFonts w:ascii="Courier New" w:hAnsi="Courier New"/>
      <w:noProof/>
      <w:color w:val="008000"/>
    </w:rPr>
  </w:style>
  <w:style w:type="character" w:customStyle="1" w:styleId="tw4winJump">
    <w:name w:val="tw4winJump"/>
    <w:uiPriority w:val="99"/>
    <w:rsid w:val="0018104B"/>
    <w:rPr>
      <w:rFonts w:ascii="Courier New" w:hAnsi="Courier New"/>
      <w:noProof/>
      <w:color w:val="008080"/>
    </w:rPr>
  </w:style>
  <w:style w:type="character" w:customStyle="1" w:styleId="tw4winExternal">
    <w:name w:val="tw4winExternal"/>
    <w:uiPriority w:val="99"/>
    <w:rsid w:val="0018104B"/>
    <w:rPr>
      <w:rFonts w:ascii="Courier New" w:hAnsi="Courier New"/>
      <w:noProof/>
      <w:color w:val="808080"/>
    </w:rPr>
  </w:style>
  <w:style w:type="character" w:customStyle="1" w:styleId="tw4winInternal">
    <w:name w:val="tw4winInternal"/>
    <w:uiPriority w:val="99"/>
    <w:rsid w:val="0018104B"/>
    <w:rPr>
      <w:rFonts w:ascii="Courier New" w:hAnsi="Courier New"/>
      <w:noProof/>
      <w:color w:val="FF0000"/>
    </w:rPr>
  </w:style>
  <w:style w:type="character" w:customStyle="1" w:styleId="DONOTTRANSLATE">
    <w:name w:val="DO_NOT_TRANSLATE"/>
    <w:uiPriority w:val="99"/>
    <w:rsid w:val="0018104B"/>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E454F"/>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1"/>
    <w:uiPriority w:val="99"/>
    <w:qFormat/>
    <w:rsid w:val="00744889"/>
    <w:pPr>
      <w:keepNext/>
      <w:spacing w:before="240" w:after="60"/>
      <w:outlineLvl w:val="3"/>
    </w:pPr>
    <w:rPr>
      <w:rFonts w:eastAsia="SimSun" w:cs="Times New Roman"/>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104B"/>
    <w:rPr>
      <w:rFonts w:ascii="Times New Roman" w:eastAsia="SimSun" w:hAnsi="Times New Roman" w:cs="Times New Roman"/>
      <w:b/>
      <w:color w:val="365F91"/>
      <w:sz w:val="28"/>
      <w:lang w:val="en-US"/>
    </w:rPr>
  </w:style>
  <w:style w:type="character" w:customStyle="1" w:styleId="Heading2Char">
    <w:name w:val="Heading 2 Char"/>
    <w:link w:val="Heading2"/>
    <w:uiPriority w:val="99"/>
    <w:semiHidden/>
    <w:locked/>
    <w:rsid w:val="0018104B"/>
    <w:rPr>
      <w:rFonts w:ascii="Times New Roman" w:eastAsia="SimSun" w:hAnsi="Times New Roman" w:cs="Times New Roman"/>
      <w:b/>
      <w:color w:val="4F81BD"/>
      <w:sz w:val="26"/>
      <w:lang w:val="en-US"/>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uiPriority w:val="99"/>
    <w:semiHidden/>
    <w:locked/>
    <w:rPr>
      <w:rFonts w:ascii="Calibri" w:hAnsi="Calibri" w:cs="Arial"/>
      <w:b/>
      <w:bCs/>
      <w:sz w:val="28"/>
      <w:szCs w:val="28"/>
    </w:rPr>
  </w:style>
  <w:style w:type="paragraph" w:styleId="Header">
    <w:name w:val="header"/>
    <w:basedOn w:val="Normal"/>
    <w:link w:val="HeaderChar"/>
    <w:uiPriority w:val="99"/>
    <w:rsid w:val="008E454F"/>
    <w:pPr>
      <w:tabs>
        <w:tab w:val="center" w:pos="4536"/>
        <w:tab w:val="right" w:pos="9072"/>
      </w:tabs>
    </w:pPr>
  </w:style>
  <w:style w:type="character" w:customStyle="1" w:styleId="HeaderChar">
    <w:name w:val="Header Char"/>
    <w:link w:val="Header"/>
    <w:uiPriority w:val="99"/>
    <w:locked/>
    <w:rsid w:val="008E27CF"/>
    <w:rPr>
      <w:rFonts w:ascii="Arial" w:hAnsi="Arial" w:cs="Arial"/>
      <w:sz w:val="22"/>
    </w:rPr>
  </w:style>
  <w:style w:type="paragraph" w:styleId="Footer">
    <w:name w:val="footer"/>
    <w:basedOn w:val="Normal"/>
    <w:link w:val="FooterChar"/>
    <w:uiPriority w:val="99"/>
    <w:rsid w:val="00744889"/>
    <w:pPr>
      <w:tabs>
        <w:tab w:val="center" w:pos="4320"/>
        <w:tab w:val="right" w:pos="8640"/>
      </w:tabs>
    </w:pPr>
  </w:style>
  <w:style w:type="character" w:customStyle="1" w:styleId="FooterChar">
    <w:name w:val="Footer Char"/>
    <w:link w:val="Footer"/>
    <w:uiPriority w:val="99"/>
    <w:locked/>
    <w:rPr>
      <w:rFonts w:ascii="Arial" w:hAnsi="Arial" w:cs="Arial"/>
      <w:sz w:val="20"/>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link w:val="Salutation"/>
    <w:uiPriority w:val="99"/>
    <w:semiHidden/>
    <w:locked/>
    <w:rPr>
      <w:rFonts w:ascii="Arial" w:hAnsi="Arial" w:cs="Arial"/>
      <w:sz w:val="20"/>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link w:val="Signature"/>
    <w:uiPriority w:val="99"/>
    <w:semiHidden/>
    <w:locked/>
    <w:rsid w:val="0018104B"/>
    <w:rPr>
      <w:rFonts w:ascii="Arial" w:eastAsia="SimSun" w:hAnsi="Arial" w:cs="Times New Roman"/>
      <w:sz w:val="20"/>
      <w:lang w:val="en-US"/>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link w:val="FootnoteText"/>
    <w:uiPriority w:val="99"/>
    <w:semiHidden/>
    <w:locked/>
    <w:rsid w:val="0018104B"/>
    <w:rPr>
      <w:rFonts w:ascii="Arial" w:eastAsia="SimSun" w:hAnsi="Arial" w:cs="Times New Roman"/>
      <w:sz w:val="20"/>
      <w:lang w:val="en-US"/>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1"/>
    <w:uiPriority w:val="99"/>
    <w:semiHidden/>
    <w:rsid w:val="00744889"/>
    <w:rPr>
      <w:rFonts w:cs="Times New Roman"/>
      <w:sz w:val="18"/>
    </w:rPr>
  </w:style>
  <w:style w:type="character" w:customStyle="1" w:styleId="EndnoteTextChar">
    <w:name w:val="Endnote Text Char"/>
    <w:uiPriority w:val="99"/>
    <w:semiHidden/>
    <w:locked/>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link w:val="CommentText"/>
    <w:uiPriority w:val="99"/>
    <w:semiHidden/>
    <w:locked/>
    <w:rPr>
      <w:rFonts w:ascii="Arial" w:hAnsi="Arial" w:cs="Arial"/>
      <w:sz w:val="20"/>
      <w:szCs w:val="20"/>
    </w:rPr>
  </w:style>
  <w:style w:type="paragraph" w:customStyle="1" w:styleId="NumberedParaAR">
    <w:name w:val="Numbered_Para_AR"/>
    <w:basedOn w:val="NormalParaAR"/>
    <w:uiPriority w:val="99"/>
    <w:rsid w:val="00BB2683"/>
    <w:pPr>
      <w:numPr>
        <w:numId w:val="15"/>
      </w:numPr>
    </w:pPr>
  </w:style>
  <w:style w:type="paragraph" w:styleId="ListNumber">
    <w:name w:val="List Number"/>
    <w:basedOn w:val="Normal"/>
    <w:uiPriority w:val="99"/>
    <w:semiHidden/>
    <w:rsid w:val="00744889"/>
    <w:pPr>
      <w:numPr>
        <w:numId w:val="10"/>
      </w:numPr>
    </w:pPr>
  </w:style>
  <w:style w:type="table" w:styleId="TableGrid">
    <w:name w:val="Table Grid"/>
    <w:basedOn w:val="TableNormal"/>
    <w:uiPriority w:val="9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link w:val="BalloonText"/>
    <w:uiPriority w:val="99"/>
    <w:locked/>
    <w:rsid w:val="00570B8B"/>
    <w:rPr>
      <w:rFonts w:ascii="Tahoma" w:hAnsi="Tahoma" w:cs="Tahoma"/>
      <w:sz w:val="16"/>
      <w:szCs w:val="16"/>
    </w:rPr>
  </w:style>
  <w:style w:type="character" w:customStyle="1" w:styleId="CharChar13">
    <w:name w:val="Char Char13"/>
    <w:uiPriority w:val="99"/>
    <w:locked/>
    <w:rsid w:val="0018104B"/>
    <w:rPr>
      <w:rFonts w:ascii="Arial" w:eastAsia="SimSun" w:hAnsi="Arial"/>
      <w:sz w:val="26"/>
      <w:u w:val="single"/>
      <w:lang w:val="en-US"/>
    </w:rPr>
  </w:style>
  <w:style w:type="character" w:customStyle="1" w:styleId="CharChar12">
    <w:name w:val="Char Char12"/>
    <w:uiPriority w:val="99"/>
    <w:locked/>
    <w:rsid w:val="0018104B"/>
    <w:rPr>
      <w:rFonts w:ascii="Arial" w:eastAsia="SimSun" w:hAnsi="Arial"/>
      <w:i/>
      <w:sz w:val="28"/>
      <w:lang w:val="en-US"/>
    </w:rPr>
  </w:style>
  <w:style w:type="character" w:customStyle="1" w:styleId="CharChar15">
    <w:name w:val="Char Char15"/>
    <w:uiPriority w:val="99"/>
    <w:locked/>
    <w:rsid w:val="0018104B"/>
    <w:rPr>
      <w:rFonts w:ascii="Arial" w:eastAsia="SimSun" w:hAnsi="Arial"/>
      <w:b/>
      <w:caps/>
      <w:kern w:val="32"/>
      <w:sz w:val="32"/>
      <w:lang w:val="en-US"/>
    </w:rPr>
  </w:style>
  <w:style w:type="paragraph" w:customStyle="1" w:styleId="Endofdocument-Annex">
    <w:name w:val="[End of document - Annex]"/>
    <w:basedOn w:val="Normal"/>
    <w:uiPriority w:val="99"/>
    <w:rsid w:val="0018104B"/>
    <w:pPr>
      <w:ind w:left="5534"/>
    </w:pPr>
    <w:rPr>
      <w:rFonts w:eastAsia="SimSun"/>
    </w:rPr>
  </w:style>
  <w:style w:type="paragraph" w:styleId="BodyText">
    <w:name w:val="Body Text"/>
    <w:basedOn w:val="Normal"/>
    <w:link w:val="BodyTextChar1"/>
    <w:uiPriority w:val="99"/>
    <w:rsid w:val="0018104B"/>
    <w:pPr>
      <w:spacing w:after="220"/>
    </w:pPr>
    <w:rPr>
      <w:rFonts w:eastAsia="SimSun" w:cs="Times New Roman"/>
    </w:rPr>
  </w:style>
  <w:style w:type="character" w:customStyle="1" w:styleId="BodyTextChar">
    <w:name w:val="Body Text Char"/>
    <w:uiPriority w:val="99"/>
    <w:semiHidden/>
    <w:locked/>
    <w:rPr>
      <w:rFonts w:ascii="Arial" w:hAnsi="Arial" w:cs="Arial"/>
      <w:sz w:val="20"/>
      <w:szCs w:val="20"/>
    </w:rPr>
  </w:style>
  <w:style w:type="character" w:customStyle="1" w:styleId="CharChar10">
    <w:name w:val="Char Char10"/>
    <w:uiPriority w:val="99"/>
    <w:locked/>
    <w:rsid w:val="0018104B"/>
    <w:rPr>
      <w:rFonts w:ascii="Arial" w:eastAsia="SimSun" w:hAnsi="Arial"/>
      <w:sz w:val="20"/>
      <w:lang w:val="en-US"/>
    </w:rPr>
  </w:style>
  <w:style w:type="character" w:customStyle="1" w:styleId="CharChar9">
    <w:name w:val="Char Char9"/>
    <w:uiPriority w:val="99"/>
    <w:semiHidden/>
    <w:locked/>
    <w:rsid w:val="0018104B"/>
    <w:rPr>
      <w:rFonts w:ascii="Arial" w:eastAsia="SimSun" w:hAnsi="Arial"/>
      <w:sz w:val="20"/>
      <w:lang w:val="en-US"/>
    </w:rPr>
  </w:style>
  <w:style w:type="character" w:customStyle="1" w:styleId="CharChar8">
    <w:name w:val="Char Char8"/>
    <w:uiPriority w:val="99"/>
    <w:semiHidden/>
    <w:locked/>
    <w:rsid w:val="0018104B"/>
    <w:rPr>
      <w:rFonts w:ascii="Arial" w:eastAsia="SimSun" w:hAnsi="Arial"/>
      <w:sz w:val="20"/>
      <w:lang w:val="en-US"/>
    </w:rPr>
  </w:style>
  <w:style w:type="character" w:customStyle="1" w:styleId="CharChar7">
    <w:name w:val="Char Char7"/>
    <w:uiPriority w:val="99"/>
    <w:semiHidden/>
    <w:locked/>
    <w:rsid w:val="0018104B"/>
    <w:rPr>
      <w:rFonts w:ascii="Arial" w:eastAsia="SimSun" w:hAnsi="Arial"/>
      <w:sz w:val="20"/>
      <w:lang w:val="en-US"/>
    </w:rPr>
  </w:style>
  <w:style w:type="paragraph" w:customStyle="1" w:styleId="ONUME">
    <w:name w:val="ONUM E"/>
    <w:basedOn w:val="BodyText"/>
    <w:uiPriority w:val="99"/>
    <w:rsid w:val="0018104B"/>
    <w:pPr>
      <w:tabs>
        <w:tab w:val="num" w:pos="360"/>
      </w:tabs>
      <w:ind w:left="360" w:hanging="360"/>
    </w:pPr>
  </w:style>
  <w:style w:type="paragraph" w:customStyle="1" w:styleId="ONUMFS">
    <w:name w:val="ONUM FS"/>
    <w:basedOn w:val="BodyText"/>
    <w:uiPriority w:val="99"/>
    <w:rsid w:val="0018104B"/>
    <w:pPr>
      <w:numPr>
        <w:numId w:val="26"/>
      </w:numPr>
    </w:pPr>
  </w:style>
  <w:style w:type="character" w:customStyle="1" w:styleId="CharChar4">
    <w:name w:val="Char Char4"/>
    <w:uiPriority w:val="99"/>
    <w:semiHidden/>
    <w:locked/>
    <w:rsid w:val="0018104B"/>
    <w:rPr>
      <w:rFonts w:ascii="Arial" w:eastAsia="SimSun" w:hAnsi="Arial"/>
      <w:sz w:val="20"/>
      <w:lang w:val="en-US"/>
    </w:rPr>
  </w:style>
  <w:style w:type="paragraph" w:styleId="PlainText">
    <w:name w:val="Plain Text"/>
    <w:basedOn w:val="Normal"/>
    <w:link w:val="PlainTextChar"/>
    <w:uiPriority w:val="99"/>
    <w:rsid w:val="0018104B"/>
    <w:rPr>
      <w:rFonts w:ascii="Courier New" w:eastAsia="SimSun" w:hAnsi="Courier New" w:cs="Courier New"/>
      <w:sz w:val="20"/>
    </w:rPr>
  </w:style>
  <w:style w:type="character" w:customStyle="1" w:styleId="PlainTextChar">
    <w:name w:val="Plain Text Char"/>
    <w:link w:val="PlainText"/>
    <w:uiPriority w:val="99"/>
    <w:semiHidden/>
    <w:locked/>
    <w:rPr>
      <w:rFonts w:ascii="Courier New" w:hAnsi="Courier New" w:cs="Courier New"/>
      <w:sz w:val="20"/>
      <w:szCs w:val="20"/>
    </w:rPr>
  </w:style>
  <w:style w:type="character" w:customStyle="1" w:styleId="CharChar2">
    <w:name w:val="Char Char2"/>
    <w:uiPriority w:val="99"/>
    <w:locked/>
    <w:rsid w:val="0018104B"/>
    <w:rPr>
      <w:rFonts w:ascii="Courier New" w:eastAsia="SimSun" w:hAnsi="Courier New"/>
      <w:sz w:val="20"/>
      <w:lang w:val="en-US"/>
    </w:rPr>
  </w:style>
  <w:style w:type="character" w:customStyle="1" w:styleId="CharChar3">
    <w:name w:val="Char Char3"/>
    <w:uiPriority w:val="99"/>
    <w:semiHidden/>
    <w:locked/>
    <w:rsid w:val="0018104B"/>
    <w:rPr>
      <w:rFonts w:ascii="Arial" w:eastAsia="SimSun" w:hAnsi="Arial"/>
      <w:sz w:val="20"/>
      <w:lang w:val="en-US"/>
    </w:rPr>
  </w:style>
  <w:style w:type="character" w:styleId="PageNumber">
    <w:name w:val="page number"/>
    <w:uiPriority w:val="99"/>
    <w:rsid w:val="0018104B"/>
    <w:rPr>
      <w:rFonts w:cs="Times New Roman"/>
    </w:rPr>
  </w:style>
  <w:style w:type="paragraph" w:styleId="NormalWeb">
    <w:name w:val="Normal (Web)"/>
    <w:basedOn w:val="Normal"/>
    <w:uiPriority w:val="99"/>
    <w:rsid w:val="0018104B"/>
    <w:pPr>
      <w:spacing w:before="100" w:beforeAutospacing="1" w:after="100" w:afterAutospacing="1"/>
    </w:pPr>
    <w:rPr>
      <w:sz w:val="18"/>
      <w:szCs w:val="18"/>
    </w:rPr>
  </w:style>
  <w:style w:type="character" w:customStyle="1" w:styleId="description">
    <w:name w:val="description"/>
    <w:uiPriority w:val="99"/>
    <w:rsid w:val="0018104B"/>
  </w:style>
  <w:style w:type="paragraph" w:customStyle="1" w:styleId="Default">
    <w:name w:val="Default"/>
    <w:uiPriority w:val="99"/>
    <w:rsid w:val="0018104B"/>
    <w:pPr>
      <w:autoSpaceDE w:val="0"/>
      <w:autoSpaceDN w:val="0"/>
      <w:adjustRightInd w:val="0"/>
    </w:pPr>
    <w:rPr>
      <w:color w:val="000000"/>
      <w:sz w:val="24"/>
      <w:szCs w:val="24"/>
    </w:rPr>
  </w:style>
  <w:style w:type="character" w:styleId="EndnoteReference">
    <w:name w:val="endnote reference"/>
    <w:uiPriority w:val="99"/>
    <w:semiHidden/>
    <w:rsid w:val="0018104B"/>
    <w:rPr>
      <w:rFonts w:cs="Times New Roman"/>
      <w:vertAlign w:val="superscript"/>
    </w:rPr>
  </w:style>
  <w:style w:type="paragraph" w:customStyle="1" w:styleId="Style">
    <w:name w:val="Style"/>
    <w:basedOn w:val="Normal"/>
    <w:uiPriority w:val="99"/>
    <w:rsid w:val="0018104B"/>
    <w:pPr>
      <w:spacing w:after="160" w:line="240" w:lineRule="exact"/>
    </w:pPr>
    <w:rPr>
      <w:rFonts w:ascii="Times New Roman" w:hAnsi="Times New Roman" w:cs="Times New Roman"/>
      <w:sz w:val="20"/>
      <w:lang w:val="en-GB"/>
    </w:rPr>
  </w:style>
  <w:style w:type="character" w:customStyle="1" w:styleId="CharChar14">
    <w:name w:val="Char Char14"/>
    <w:uiPriority w:val="99"/>
    <w:locked/>
    <w:rsid w:val="0018104B"/>
    <w:rPr>
      <w:rFonts w:ascii="Arial" w:eastAsia="SimSun" w:hAnsi="Arial"/>
      <w:caps/>
      <w:sz w:val="20"/>
      <w:lang w:val="en-US"/>
    </w:rPr>
  </w:style>
  <w:style w:type="character" w:styleId="LineNumber">
    <w:name w:val="line number"/>
    <w:uiPriority w:val="99"/>
    <w:rsid w:val="0018104B"/>
    <w:rPr>
      <w:rFonts w:cs="Times New Roman"/>
    </w:rPr>
  </w:style>
  <w:style w:type="character" w:customStyle="1" w:styleId="BodyTextChar1">
    <w:name w:val="Body Text Char1"/>
    <w:link w:val="BodyText"/>
    <w:uiPriority w:val="99"/>
    <w:semiHidden/>
    <w:locked/>
    <w:rsid w:val="0018104B"/>
    <w:rPr>
      <w:rFonts w:ascii="Arial" w:eastAsia="SimSun" w:hAnsi="Arial"/>
      <w:snapToGrid w:val="0"/>
      <w:sz w:val="22"/>
      <w:lang w:val="en-US" w:eastAsia="en-US"/>
    </w:rPr>
  </w:style>
  <w:style w:type="paragraph" w:styleId="TOC2">
    <w:name w:val="toc 2"/>
    <w:basedOn w:val="Normal"/>
    <w:next w:val="Normal"/>
    <w:autoRedefine/>
    <w:uiPriority w:val="99"/>
    <w:rsid w:val="0018104B"/>
    <w:pPr>
      <w:tabs>
        <w:tab w:val="left" w:pos="709"/>
        <w:tab w:val="right" w:leader="dot" w:pos="9345"/>
      </w:tabs>
      <w:ind w:left="220"/>
    </w:pPr>
    <w:rPr>
      <w:rFonts w:eastAsia="SimSun"/>
    </w:rPr>
  </w:style>
  <w:style w:type="paragraph" w:styleId="TOC1">
    <w:name w:val="toc 1"/>
    <w:basedOn w:val="Normal"/>
    <w:next w:val="Normal"/>
    <w:autoRedefine/>
    <w:uiPriority w:val="99"/>
    <w:rsid w:val="0018104B"/>
    <w:rPr>
      <w:rFonts w:eastAsia="SimSun"/>
    </w:rPr>
  </w:style>
  <w:style w:type="paragraph" w:styleId="TOC3">
    <w:name w:val="toc 3"/>
    <w:basedOn w:val="Normal"/>
    <w:next w:val="Normal"/>
    <w:autoRedefine/>
    <w:uiPriority w:val="99"/>
    <w:semiHidden/>
    <w:rsid w:val="0018104B"/>
    <w:pPr>
      <w:ind w:left="440"/>
    </w:pPr>
    <w:rPr>
      <w:rFonts w:eastAsia="SimSun"/>
    </w:rPr>
  </w:style>
  <w:style w:type="character" w:styleId="Hyperlink">
    <w:name w:val="Hyperlink"/>
    <w:uiPriority w:val="99"/>
    <w:rsid w:val="0018104B"/>
    <w:rPr>
      <w:rFonts w:cs="Times New Roman"/>
      <w:color w:val="0000FF"/>
      <w:u w:val="single"/>
    </w:rPr>
  </w:style>
  <w:style w:type="character" w:customStyle="1" w:styleId="Heading4Char1">
    <w:name w:val="Heading 4 Char1"/>
    <w:link w:val="Heading4"/>
    <w:uiPriority w:val="99"/>
    <w:semiHidden/>
    <w:locked/>
    <w:rsid w:val="0018104B"/>
    <w:rPr>
      <w:rFonts w:ascii="Arial" w:eastAsia="SimSun" w:hAnsi="Arial"/>
      <w:i/>
      <w:sz w:val="28"/>
      <w:lang w:val="en-US" w:eastAsia="en-US"/>
    </w:rPr>
  </w:style>
  <w:style w:type="paragraph" w:customStyle="1" w:styleId="Reporttext">
    <w:name w:val="Report text"/>
    <w:uiPriority w:val="99"/>
    <w:rsid w:val="0018104B"/>
    <w:pPr>
      <w:spacing w:before="120"/>
    </w:pPr>
    <w:rPr>
      <w:sz w:val="22"/>
      <w:szCs w:val="22"/>
    </w:rPr>
  </w:style>
  <w:style w:type="paragraph" w:customStyle="1" w:styleId="ContentsTitle">
    <w:name w:val="Contents Title"/>
    <w:basedOn w:val="Reporttext"/>
    <w:next w:val="Reporttext"/>
    <w:uiPriority w:val="99"/>
    <w:rsid w:val="0018104B"/>
    <w:pPr>
      <w:keepNext/>
      <w:spacing w:before="240" w:after="240"/>
    </w:pPr>
    <w:rPr>
      <w:spacing w:val="40"/>
      <w:sz w:val="28"/>
    </w:rPr>
  </w:style>
  <w:style w:type="paragraph" w:customStyle="1" w:styleId="Floating">
    <w:name w:val="Floating"/>
    <w:basedOn w:val="Reporttext"/>
    <w:next w:val="Reporttext"/>
    <w:uiPriority w:val="99"/>
    <w:rsid w:val="0018104B"/>
    <w:pPr>
      <w:keepNext/>
      <w:spacing w:before="240"/>
    </w:pPr>
    <w:rPr>
      <w:b/>
    </w:rPr>
  </w:style>
  <w:style w:type="character" w:customStyle="1" w:styleId="FloatingChar">
    <w:name w:val="Floating Char"/>
    <w:uiPriority w:val="99"/>
    <w:locked/>
    <w:rsid w:val="0018104B"/>
    <w:rPr>
      <w:rFonts w:ascii="Times New Roman" w:hAnsi="Times New Roman"/>
      <w:b/>
      <w:lang w:val="en-US"/>
    </w:rPr>
  </w:style>
  <w:style w:type="character" w:customStyle="1" w:styleId="ReporttextChar">
    <w:name w:val="Report text Char"/>
    <w:uiPriority w:val="99"/>
    <w:locked/>
    <w:rsid w:val="0018104B"/>
    <w:rPr>
      <w:rFonts w:ascii="Times New Roman" w:hAnsi="Times New Roman"/>
      <w:lang w:val="en-US"/>
    </w:rPr>
  </w:style>
  <w:style w:type="character" w:customStyle="1" w:styleId="CharChar6">
    <w:name w:val="Char Char6"/>
    <w:uiPriority w:val="99"/>
    <w:semiHidden/>
    <w:locked/>
    <w:rsid w:val="0018104B"/>
    <w:rPr>
      <w:rFonts w:ascii="Arial" w:eastAsia="SimSun" w:hAnsi="Arial"/>
      <w:sz w:val="20"/>
      <w:lang w:val="en-US"/>
    </w:rPr>
  </w:style>
  <w:style w:type="character" w:customStyle="1" w:styleId="FootnoteTextChar1">
    <w:name w:val="Footnote Text Char1"/>
    <w:uiPriority w:val="99"/>
    <w:semiHidden/>
    <w:locked/>
    <w:rsid w:val="0018104B"/>
    <w:rPr>
      <w:rFonts w:ascii="Arial" w:hAnsi="Arial"/>
      <w:sz w:val="18"/>
      <w:lang w:val="en-US"/>
    </w:rPr>
  </w:style>
  <w:style w:type="paragraph" w:styleId="ListParagraph">
    <w:name w:val="List Paragraph"/>
    <w:basedOn w:val="Normal"/>
    <w:uiPriority w:val="99"/>
    <w:qFormat/>
    <w:rsid w:val="0018104B"/>
    <w:pPr>
      <w:ind w:left="720"/>
      <w:contextualSpacing/>
    </w:pPr>
    <w:rPr>
      <w:rFonts w:ascii="Times New Roman" w:hAnsi="Times New Roman" w:cs="Times New Roman"/>
      <w:sz w:val="24"/>
      <w:szCs w:val="24"/>
    </w:rPr>
  </w:style>
  <w:style w:type="paragraph" w:styleId="DocumentMap">
    <w:name w:val="Document Map"/>
    <w:basedOn w:val="Normal"/>
    <w:link w:val="DocumentMapChar"/>
    <w:uiPriority w:val="99"/>
    <w:semiHidden/>
    <w:rsid w:val="0018104B"/>
    <w:pPr>
      <w:shd w:val="clear" w:color="auto" w:fill="000080"/>
    </w:pPr>
    <w:rPr>
      <w:rFonts w:ascii="Times New Roman" w:eastAsia="SimSun" w:hAnsi="Times New Roman" w:cs="Times New Roman"/>
      <w:sz w:val="20"/>
    </w:rPr>
  </w:style>
  <w:style w:type="character" w:customStyle="1" w:styleId="DocumentMapChar">
    <w:name w:val="Document Map Char"/>
    <w:link w:val="DocumentMap"/>
    <w:uiPriority w:val="99"/>
    <w:semiHidden/>
    <w:locked/>
    <w:rPr>
      <w:rFonts w:cs="Times New Roman"/>
      <w:sz w:val="2"/>
    </w:rPr>
  </w:style>
  <w:style w:type="character" w:customStyle="1" w:styleId="EndnoteTextChar1">
    <w:name w:val="Endnote Text Char1"/>
    <w:link w:val="EndnoteText"/>
    <w:uiPriority w:val="99"/>
    <w:semiHidden/>
    <w:locked/>
    <w:rsid w:val="0018104B"/>
    <w:rPr>
      <w:rFonts w:ascii="Arial" w:hAnsi="Arial"/>
      <w:sz w:val="18"/>
      <w:lang w:val="en-US" w:eastAsia="en-US"/>
    </w:rPr>
  </w:style>
  <w:style w:type="paragraph" w:customStyle="1" w:styleId="EndofDocument">
    <w:name w:val="End of Document"/>
    <w:basedOn w:val="Normal"/>
    <w:uiPriority w:val="99"/>
    <w:rsid w:val="0018104B"/>
    <w:pPr>
      <w:ind w:left="4536"/>
      <w:jc w:val="center"/>
    </w:pPr>
    <w:rPr>
      <w:rFonts w:ascii="Times New Roman" w:hAnsi="Times New Roman" w:cs="Times New Roman"/>
      <w:sz w:val="24"/>
    </w:rPr>
  </w:style>
  <w:style w:type="character" w:styleId="CommentReference">
    <w:name w:val="annotation reference"/>
    <w:uiPriority w:val="99"/>
    <w:semiHidden/>
    <w:rsid w:val="0018104B"/>
    <w:rPr>
      <w:rFonts w:cs="Times New Roman"/>
      <w:sz w:val="18"/>
    </w:rPr>
  </w:style>
  <w:style w:type="paragraph" w:customStyle="1" w:styleId="CharCharCharChar">
    <w:name w:val="Char Char Char Char"/>
    <w:basedOn w:val="Normal"/>
    <w:uiPriority w:val="99"/>
    <w:rsid w:val="0018104B"/>
    <w:pPr>
      <w:spacing w:after="160" w:line="240" w:lineRule="exact"/>
    </w:pPr>
    <w:rPr>
      <w:rFonts w:ascii="Times New Roman" w:hAnsi="Times New Roman" w:cs="Times New Roman"/>
      <w:sz w:val="20"/>
      <w:lang w:val="en-GB"/>
    </w:rPr>
  </w:style>
  <w:style w:type="paragraph" w:customStyle="1" w:styleId="StyleChapterBold1">
    <w:name w:val="Style Chapter + Bold1"/>
    <w:basedOn w:val="Normal"/>
    <w:uiPriority w:val="99"/>
    <w:rsid w:val="0018104B"/>
    <w:pPr>
      <w:keepNext/>
      <w:jc w:val="center"/>
      <w:outlineLvl w:val="0"/>
    </w:pPr>
    <w:rPr>
      <w:rFonts w:ascii="Times New Roman Bold" w:hAnsi="Times New Roman Bold" w:cs="Times New Roman"/>
      <w:b/>
      <w:caps/>
      <w:sz w:val="24"/>
    </w:rPr>
  </w:style>
  <w:style w:type="character" w:customStyle="1" w:styleId="StyleChapterBold1CharChar">
    <w:name w:val="Style Chapter + Bold1 Char Char"/>
    <w:uiPriority w:val="99"/>
    <w:locked/>
    <w:rsid w:val="0018104B"/>
    <w:rPr>
      <w:rFonts w:ascii="Times New Roman Bold" w:hAnsi="Times New Roman Bold"/>
      <w:b/>
      <w:caps/>
      <w:sz w:val="20"/>
      <w:lang w:val="en-US"/>
    </w:rPr>
  </w:style>
  <w:style w:type="paragraph" w:styleId="TOCHeading">
    <w:name w:val="TOC Heading"/>
    <w:basedOn w:val="Heading1"/>
    <w:next w:val="Normal"/>
    <w:uiPriority w:val="99"/>
    <w:qFormat/>
    <w:rsid w:val="0018104B"/>
    <w:pPr>
      <w:keepLines/>
      <w:tabs>
        <w:tab w:val="num" w:pos="567"/>
      </w:tabs>
      <w:spacing w:before="480" w:after="0" w:line="276" w:lineRule="auto"/>
      <w:outlineLvl w:val="9"/>
    </w:pPr>
    <w:rPr>
      <w:rFonts w:ascii="Times New Roman" w:eastAsia="Times New Roman" w:hAnsi="Times New Roman" w:cs="Times New Roman"/>
      <w:caps w:val="0"/>
      <w:color w:val="365F91"/>
      <w:kern w:val="0"/>
      <w:sz w:val="28"/>
      <w:szCs w:val="28"/>
    </w:rPr>
  </w:style>
  <w:style w:type="paragraph" w:styleId="CommentSubject">
    <w:name w:val="annotation subject"/>
    <w:basedOn w:val="CommentText"/>
    <w:next w:val="CommentText"/>
    <w:link w:val="CommentSubjectChar"/>
    <w:uiPriority w:val="99"/>
    <w:semiHidden/>
    <w:rsid w:val="0018104B"/>
    <w:rPr>
      <w:rFonts w:eastAsia="SimSun"/>
      <w:b/>
      <w:bCs/>
      <w:sz w:val="20"/>
    </w:rPr>
  </w:style>
  <w:style w:type="character" w:customStyle="1" w:styleId="CommentSubjectChar">
    <w:name w:val="Comment Subject Char"/>
    <w:link w:val="CommentSubject"/>
    <w:uiPriority w:val="99"/>
    <w:semiHidden/>
    <w:locked/>
    <w:rPr>
      <w:rFonts w:ascii="Arial" w:hAnsi="Arial" w:cs="Arial"/>
      <w:b/>
      <w:bCs/>
      <w:sz w:val="20"/>
      <w:szCs w:val="20"/>
    </w:rPr>
  </w:style>
  <w:style w:type="character" w:customStyle="1" w:styleId="CharChar">
    <w:name w:val="Char Char"/>
    <w:uiPriority w:val="99"/>
    <w:semiHidden/>
    <w:locked/>
    <w:rsid w:val="0018104B"/>
    <w:rPr>
      <w:rFonts w:ascii="Arial" w:eastAsia="SimSun" w:hAnsi="Arial"/>
      <w:b/>
      <w:sz w:val="20"/>
      <w:lang w:val="en-US"/>
    </w:rPr>
  </w:style>
  <w:style w:type="paragraph" w:customStyle="1" w:styleId="StyleBoldCentered">
    <w:name w:val="Style Bold Centered"/>
    <w:uiPriority w:val="99"/>
    <w:rsid w:val="0018104B"/>
    <w:pPr>
      <w:jc w:val="center"/>
    </w:pPr>
    <w:rPr>
      <w:rFonts w:ascii="Arial" w:hAnsi="Arial"/>
      <w:b/>
      <w:bCs/>
      <w:sz w:val="22"/>
    </w:rPr>
  </w:style>
  <w:style w:type="paragraph" w:customStyle="1" w:styleId="dernierpara">
    <w:name w:val="dernierpara"/>
    <w:basedOn w:val="Normal"/>
    <w:uiPriority w:val="99"/>
    <w:rsid w:val="0018104B"/>
    <w:pPr>
      <w:spacing w:after="360"/>
    </w:pPr>
    <w:rPr>
      <w:rFonts w:ascii="Times New Roman" w:hAnsi="Times New Roman" w:cs="Times New Roman"/>
      <w:sz w:val="24"/>
      <w:lang w:val="fr-FR"/>
    </w:rPr>
  </w:style>
  <w:style w:type="character" w:customStyle="1" w:styleId="tw4winMark">
    <w:name w:val="tw4winMark"/>
    <w:uiPriority w:val="99"/>
    <w:rsid w:val="0018104B"/>
    <w:rPr>
      <w:rFonts w:ascii="Courier New" w:hAnsi="Courier New"/>
      <w:vanish/>
      <w:color w:val="800080"/>
      <w:sz w:val="24"/>
      <w:vertAlign w:val="subscript"/>
    </w:rPr>
  </w:style>
  <w:style w:type="character" w:customStyle="1" w:styleId="tw4winError">
    <w:name w:val="tw4winError"/>
    <w:uiPriority w:val="99"/>
    <w:rsid w:val="0018104B"/>
    <w:rPr>
      <w:rFonts w:ascii="Courier New" w:hAnsi="Courier New"/>
      <w:color w:val="00FF00"/>
      <w:sz w:val="40"/>
    </w:rPr>
  </w:style>
  <w:style w:type="character" w:customStyle="1" w:styleId="tw4winTerm">
    <w:name w:val="tw4winTerm"/>
    <w:uiPriority w:val="99"/>
    <w:rsid w:val="0018104B"/>
    <w:rPr>
      <w:color w:val="0000FF"/>
    </w:rPr>
  </w:style>
  <w:style w:type="character" w:customStyle="1" w:styleId="tw4winPopup">
    <w:name w:val="tw4winPopup"/>
    <w:uiPriority w:val="99"/>
    <w:rsid w:val="0018104B"/>
    <w:rPr>
      <w:rFonts w:ascii="Courier New" w:hAnsi="Courier New"/>
      <w:noProof/>
      <w:color w:val="008000"/>
    </w:rPr>
  </w:style>
  <w:style w:type="character" w:customStyle="1" w:styleId="tw4winJump">
    <w:name w:val="tw4winJump"/>
    <w:uiPriority w:val="99"/>
    <w:rsid w:val="0018104B"/>
    <w:rPr>
      <w:rFonts w:ascii="Courier New" w:hAnsi="Courier New"/>
      <w:noProof/>
      <w:color w:val="008080"/>
    </w:rPr>
  </w:style>
  <w:style w:type="character" w:customStyle="1" w:styleId="tw4winExternal">
    <w:name w:val="tw4winExternal"/>
    <w:uiPriority w:val="99"/>
    <w:rsid w:val="0018104B"/>
    <w:rPr>
      <w:rFonts w:ascii="Courier New" w:hAnsi="Courier New"/>
      <w:noProof/>
      <w:color w:val="808080"/>
    </w:rPr>
  </w:style>
  <w:style w:type="character" w:customStyle="1" w:styleId="tw4winInternal">
    <w:name w:val="tw4winInternal"/>
    <w:uiPriority w:val="99"/>
    <w:rsid w:val="0018104B"/>
    <w:rPr>
      <w:rFonts w:ascii="Courier New" w:hAnsi="Courier New"/>
      <w:noProof/>
      <w:color w:val="FF0000"/>
    </w:rPr>
  </w:style>
  <w:style w:type="character" w:customStyle="1" w:styleId="DONOTTRANSLATE">
    <w:name w:val="DO_NOT_TRANSLATE"/>
    <w:uiPriority w:val="99"/>
    <w:rsid w:val="0018104B"/>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3_AR.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Wipogvafs01\DAT2\ORGLAN\SHARED\LANA\team\Ilias\Proof-reading\33276\wo_pbc_21_17_graphs_33276_E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Wipogvafs01\DAT2\ORGLAN\SHARED\LANA\team\Ilias\Proof-reading\33276\wo_pbc_21_17_graphs_33276_E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Wipogvafs01\DAT2\ORGLAN\SHARED\LANA\team\Ilias\Proof-reading\33276\wo_pbc_21_17_graphs_33276_EN.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[wo_pbc_21_17_graphs_33276_EN.xlsx]Sheet11!PivotTable5</c:name>
    <c:fmtId val="40"/>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spPr>
          <a:solidFill>
            <a:srgbClr val="8000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5"/>
        <c:spPr>
          <a:solidFill>
            <a:srgbClr val="00B05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6"/>
        <c:spPr>
          <a:solidFill>
            <a:srgbClr val="FFFF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7"/>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8"/>
      </c:pivotFmt>
      <c:pivotFmt>
        <c:idx val="9"/>
        <c:spPr>
          <a:solidFill>
            <a:srgbClr val="8000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0"/>
        <c:spPr>
          <a:solidFill>
            <a:srgbClr val="00B05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1"/>
        <c:spPr>
          <a:solidFill>
            <a:srgbClr val="FFFF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2"/>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3"/>
        <c:spPr>
          <a:solidFill>
            <a:srgbClr val="8000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4"/>
        <c:spPr>
          <a:solidFill>
            <a:srgbClr val="00B05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5"/>
        <c:spPr>
          <a:solidFill>
            <a:srgbClr val="FFFF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6"/>
        <c:marker>
          <c:symbol val="none"/>
        </c:marker>
        <c:dLbl>
          <c:idx val="0"/>
          <c:spPr/>
          <c:txPr>
            <a:bodyPr/>
            <a:lstStyle/>
            <a:p>
              <a:pPr>
                <a:defRPr sz="800" b="1"/>
              </a:pPr>
              <a:endParaRPr lang="en-US"/>
            </a:p>
          </c:txPr>
          <c:showLegendKey val="0"/>
          <c:showVal val="1"/>
          <c:showCatName val="0"/>
          <c:showSerName val="0"/>
          <c:showPercent val="0"/>
          <c:showBubbleSize val="0"/>
        </c:dLbl>
      </c:pivotFmt>
    </c:pivotFmts>
    <c:plotArea>
      <c:layout/>
      <c:barChart>
        <c:barDir val="col"/>
        <c:grouping val="stacked"/>
        <c:varyColors val="0"/>
        <c:ser>
          <c:idx val="0"/>
          <c:order val="0"/>
          <c:tx>
            <c:strRef>
              <c:f>Sheet11!$B$3:$B$4</c:f>
              <c:strCache>
                <c:ptCount val="1"/>
                <c:pt idx="0">
                  <c:v>عالية</c:v>
                </c:pt>
              </c:strCache>
            </c:strRef>
          </c:tx>
          <c:spPr>
            <a:solidFill>
              <a:srgbClr val="800000"/>
            </a:solidFill>
          </c:spPr>
          <c:invertIfNegative val="0"/>
          <c:dLbls>
            <c:txPr>
              <a:bodyPr/>
              <a:lstStyle/>
              <a:p>
                <a:pPr>
                  <a:defRPr sz="800" b="1"/>
                </a:pPr>
                <a:endParaRPr lang="en-US"/>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Sheet11!$B$5:$B$12</c:f>
              <c:numCache>
                <c:formatCode>General</c:formatCode>
                <c:ptCount val="7"/>
                <c:pt idx="0">
                  <c:v>1</c:v>
                </c:pt>
                <c:pt idx="1">
                  <c:v>1</c:v>
                </c:pt>
                <c:pt idx="2">
                  <c:v>3</c:v>
                </c:pt>
                <c:pt idx="3">
                  <c:v>4</c:v>
                </c:pt>
                <c:pt idx="4">
                  <c:v>10</c:v>
                </c:pt>
                <c:pt idx="5">
                  <c:v>14</c:v>
                </c:pt>
                <c:pt idx="6">
                  <c:v>30</c:v>
                </c:pt>
              </c:numCache>
            </c:numRef>
          </c:val>
        </c:ser>
        <c:ser>
          <c:idx val="1"/>
          <c:order val="1"/>
          <c:tx>
            <c:strRef>
              <c:f>Sheet11!$C$3:$C$4</c:f>
              <c:strCache>
                <c:ptCount val="1"/>
                <c:pt idx="0">
                  <c:v>منخفضة</c:v>
                </c:pt>
              </c:strCache>
            </c:strRef>
          </c:tx>
          <c:spPr>
            <a:solidFill>
              <a:srgbClr val="00B050"/>
            </a:solidFill>
          </c:spPr>
          <c:invertIfNegative val="0"/>
          <c:dLbls>
            <c:txPr>
              <a:bodyPr/>
              <a:lstStyle/>
              <a:p>
                <a:pPr>
                  <a:defRPr sz="800" b="1"/>
                </a:pPr>
                <a:endParaRPr lang="en-US"/>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Sheet11!$C$5:$C$12</c:f>
              <c:numCache>
                <c:formatCode>General</c:formatCode>
                <c:ptCount val="7"/>
                <c:pt idx="6">
                  <c:v>1</c:v>
                </c:pt>
              </c:numCache>
            </c:numRef>
          </c:val>
        </c:ser>
        <c:ser>
          <c:idx val="2"/>
          <c:order val="2"/>
          <c:tx>
            <c:strRef>
              <c:f>Sheet11!$D$3:$D$4</c:f>
              <c:strCache>
                <c:ptCount val="1"/>
                <c:pt idx="0">
                  <c:v>متوسطة</c:v>
                </c:pt>
              </c:strCache>
            </c:strRef>
          </c:tx>
          <c:spPr>
            <a:solidFill>
              <a:srgbClr val="FFFF00"/>
            </a:solidFill>
          </c:spPr>
          <c:invertIfNegative val="0"/>
          <c:dLbls>
            <c:txPr>
              <a:bodyPr/>
              <a:lstStyle/>
              <a:p>
                <a:pPr>
                  <a:defRPr sz="800" b="1"/>
                </a:pPr>
                <a:endParaRPr lang="en-US"/>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Sheet11!$D$5:$D$12</c:f>
              <c:numCache>
                <c:formatCode>General</c:formatCode>
                <c:ptCount val="7"/>
                <c:pt idx="4">
                  <c:v>5</c:v>
                </c:pt>
                <c:pt idx="5">
                  <c:v>4</c:v>
                </c:pt>
                <c:pt idx="6">
                  <c:v>17</c:v>
                </c:pt>
              </c:numCache>
            </c:numRef>
          </c:val>
        </c:ser>
        <c:ser>
          <c:idx val="3"/>
          <c:order val="3"/>
          <c:tx>
            <c:strRef>
              <c:f>Sheet11!$E$3:$E$4</c:f>
              <c:strCache>
                <c:ptCount val="1"/>
                <c:pt idx="0">
                  <c:v>عالية جدًا</c:v>
                </c:pt>
              </c:strCache>
            </c:strRef>
          </c:tx>
          <c:invertIfNegative val="0"/>
          <c:dLbls>
            <c:txPr>
              <a:bodyPr/>
              <a:lstStyle/>
              <a:p>
                <a:pPr>
                  <a:defRPr sz="800" b="1"/>
                </a:pPr>
                <a:endParaRPr lang="en-US"/>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Sheet11!$E$5:$E$12</c:f>
              <c:numCache>
                <c:formatCode>General</c:formatCode>
                <c:ptCount val="7"/>
                <c:pt idx="4">
                  <c:v>4</c:v>
                </c:pt>
              </c:numCache>
            </c:numRef>
          </c:val>
        </c:ser>
        <c:dLbls>
          <c:showLegendKey val="0"/>
          <c:showVal val="1"/>
          <c:showCatName val="0"/>
          <c:showSerName val="0"/>
          <c:showPercent val="0"/>
          <c:showBubbleSize val="0"/>
        </c:dLbls>
        <c:gapWidth val="150"/>
        <c:overlap val="100"/>
        <c:axId val="24415232"/>
        <c:axId val="24429696"/>
      </c:barChart>
      <c:catAx>
        <c:axId val="24415232"/>
        <c:scaling>
          <c:orientation val="minMax"/>
        </c:scaling>
        <c:delete val="0"/>
        <c:axPos val="b"/>
        <c:title>
          <c:tx>
            <c:rich>
              <a:bodyPr/>
              <a:lstStyle/>
              <a:p>
                <a:pPr>
                  <a:defRPr>
                    <a:latin typeface="Arial" pitchFamily="34" charset="0"/>
                    <a:cs typeface="Arial" pitchFamily="34" charset="0"/>
                  </a:defRPr>
                </a:pPr>
                <a:r>
                  <a:rPr lang="ar-EG">
                    <a:latin typeface="Arial" pitchFamily="34" charset="0"/>
                    <a:cs typeface="Arial" pitchFamily="34" charset="0"/>
                  </a:rPr>
                  <a:t>سنة إصدار التوصية</a:t>
                </a:r>
                <a:endParaRPr lang="en-US">
                  <a:latin typeface="Arial" pitchFamily="34" charset="0"/>
                  <a:cs typeface="Arial" pitchFamily="34" charset="0"/>
                </a:endParaRPr>
              </a:p>
            </c:rich>
          </c:tx>
          <c:overlay val="0"/>
        </c:title>
        <c:majorTickMark val="out"/>
        <c:minorTickMark val="none"/>
        <c:tickLblPos val="nextTo"/>
        <c:crossAx val="24429696"/>
        <c:crosses val="autoZero"/>
        <c:auto val="1"/>
        <c:lblAlgn val="ctr"/>
        <c:lblOffset val="100"/>
        <c:noMultiLvlLbl val="0"/>
      </c:catAx>
      <c:valAx>
        <c:axId val="24429696"/>
        <c:scaling>
          <c:orientation val="minMax"/>
        </c:scaling>
        <c:delete val="0"/>
        <c:axPos val="l"/>
        <c:majorGridlines>
          <c:spPr>
            <a:ln>
              <a:noFill/>
            </a:ln>
          </c:spPr>
        </c:majorGridlines>
        <c:title>
          <c:tx>
            <c:rich>
              <a:bodyPr rot="-5400000" vert="horz"/>
              <a:lstStyle/>
              <a:p>
                <a:pPr>
                  <a:defRPr/>
                </a:pPr>
                <a:r>
                  <a:rPr lang="ar-EG"/>
                  <a:t>عدد التوصيات</a:t>
                </a:r>
              </a:p>
            </c:rich>
          </c:tx>
          <c:overlay val="0"/>
        </c:title>
        <c:numFmt formatCode="General" sourceLinked="1"/>
        <c:majorTickMark val="out"/>
        <c:minorTickMark val="none"/>
        <c:tickLblPos val="nextTo"/>
        <c:txPr>
          <a:bodyPr/>
          <a:lstStyle/>
          <a:p>
            <a:pPr>
              <a:defRPr sz="900">
                <a:latin typeface="Arial" pitchFamily="34" charset="0"/>
                <a:cs typeface="Arial" pitchFamily="34" charset="0"/>
              </a:defRPr>
            </a:pPr>
            <a:endParaRPr lang="en-US"/>
          </a:p>
        </c:txPr>
        <c:crossAx val="24415232"/>
        <c:crosses val="autoZero"/>
        <c:crossBetween val="between"/>
      </c:valAx>
    </c:plotArea>
    <c:legend>
      <c:legendPos val="b"/>
      <c:layout>
        <c:manualLayout>
          <c:xMode val="edge"/>
          <c:yMode val="edge"/>
          <c:x val="0.30425235404896422"/>
          <c:y val="0.43026105610561055"/>
          <c:w val="0.56234156577885397"/>
          <c:h val="0.11496155115511554"/>
        </c:manualLayout>
      </c:layout>
      <c:overlay val="1"/>
      <c:txPr>
        <a:bodyPr/>
        <a:lstStyle/>
        <a:p>
          <a:pPr>
            <a:defRPr sz="1200">
              <a:latin typeface="Arial" pitchFamily="34" charset="0"/>
              <a:cs typeface="Arial" pitchFamily="34" charset="0"/>
            </a:defRPr>
          </a:pPr>
          <a:endParaRPr lang="en-US"/>
        </a:p>
      </c:tx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[wo_pbc_21_17_graphs_33276_EN.xlsx]Sheet8!PivotTable2</c:name>
    <c:fmtId val="32"/>
  </c:pivotSource>
  <c:chart>
    <c:autoTitleDeleted val="0"/>
    <c:pivotFmts>
      <c:pivotFmt>
        <c:idx val="0"/>
      </c:pivotFmt>
      <c:pivotFmt>
        <c:idx val="1"/>
      </c:pivotFmt>
      <c:pivotFmt>
        <c:idx val="2"/>
      </c:pivotFmt>
      <c:pivotFmt>
        <c:idx val="3"/>
      </c:pivotFmt>
      <c:pivotFmt>
        <c:idx val="4"/>
        <c:spPr>
          <a:solidFill>
            <a:srgbClr val="990000"/>
          </a:solidFill>
        </c:spPr>
        <c:marker>
          <c:symbol val="none"/>
        </c:marker>
      </c:pivotFmt>
      <c:pivotFmt>
        <c:idx val="5"/>
        <c:spPr>
          <a:solidFill>
            <a:srgbClr val="00B050"/>
          </a:solidFill>
        </c:spPr>
        <c:marker>
          <c:symbol val="none"/>
        </c:marker>
      </c:pivotFmt>
      <c:pivotFmt>
        <c:idx val="6"/>
        <c:spPr>
          <a:solidFill>
            <a:srgbClr val="FFFF00"/>
          </a:solidFill>
        </c:spPr>
        <c:marker>
          <c:symbol val="none"/>
        </c:marker>
      </c:pivotFmt>
      <c:pivotFmt>
        <c:idx val="7"/>
        <c:spPr>
          <a:solidFill>
            <a:schemeClr val="tx2">
              <a:lumMod val="60000"/>
              <a:lumOff val="40000"/>
            </a:schemeClr>
          </a:solidFill>
        </c:spPr>
        <c:marker>
          <c:symbol val="none"/>
        </c:marker>
      </c:pivotFmt>
      <c:pivotFmt>
        <c:idx val="8"/>
      </c:pivotFmt>
      <c:pivotFmt>
        <c:idx val="9"/>
        <c:spPr>
          <a:solidFill>
            <a:srgbClr val="990000"/>
          </a:solidFill>
        </c:spPr>
        <c:marker>
          <c:symbol val="none"/>
        </c:marker>
      </c:pivotFmt>
      <c:pivotFmt>
        <c:idx val="10"/>
        <c:spPr>
          <a:solidFill>
            <a:srgbClr val="00B050"/>
          </a:solidFill>
        </c:spPr>
        <c:marker>
          <c:symbol val="none"/>
        </c:marker>
      </c:pivotFmt>
      <c:pivotFmt>
        <c:idx val="11"/>
        <c:spPr>
          <a:solidFill>
            <a:srgbClr val="FFFF00"/>
          </a:solidFill>
        </c:spPr>
        <c:marker>
          <c:symbol val="none"/>
        </c:marker>
      </c:pivotFmt>
      <c:pivotFmt>
        <c:idx val="12"/>
        <c:spPr>
          <a:solidFill>
            <a:schemeClr val="tx2">
              <a:lumMod val="60000"/>
              <a:lumOff val="40000"/>
            </a:schemeClr>
          </a:solidFill>
        </c:spPr>
        <c:marker>
          <c:symbol val="none"/>
        </c:marker>
      </c:pivotFmt>
      <c:pivotFmt>
        <c:idx val="13"/>
        <c:spPr>
          <a:solidFill>
            <a:srgbClr val="990000"/>
          </a:solidFill>
        </c:spPr>
        <c:marker>
          <c:symbol val="none"/>
        </c:marker>
      </c:pivotFmt>
      <c:pivotFmt>
        <c:idx val="14"/>
        <c:spPr>
          <a:solidFill>
            <a:srgbClr val="00B050"/>
          </a:solidFill>
        </c:spPr>
        <c:marker>
          <c:symbol val="none"/>
        </c:marker>
      </c:pivotFmt>
      <c:pivotFmt>
        <c:idx val="15"/>
        <c:spPr>
          <a:solidFill>
            <a:srgbClr val="FFFF00"/>
          </a:solidFill>
        </c:spPr>
        <c:marker>
          <c:symbol val="none"/>
        </c:marker>
      </c:pivotFmt>
      <c:pivotFmt>
        <c:idx val="16"/>
        <c:spPr>
          <a:solidFill>
            <a:schemeClr val="tx2">
              <a:lumMod val="60000"/>
              <a:lumOff val="40000"/>
            </a:schemeClr>
          </a:solidFill>
        </c:spPr>
        <c:marker>
          <c:symbol val="none"/>
        </c:marker>
      </c:pivotFmt>
    </c:pivotFmts>
    <c:plotArea>
      <c:layout/>
      <c:barChart>
        <c:barDir val="col"/>
        <c:grouping val="stacked"/>
        <c:varyColors val="0"/>
        <c:ser>
          <c:idx val="0"/>
          <c:order val="0"/>
          <c:tx>
            <c:strRef>
              <c:f>Sheet8!$B$3:$B$4</c:f>
              <c:strCache>
                <c:ptCount val="1"/>
                <c:pt idx="0">
                  <c:v>عالية</c:v>
                </c:pt>
              </c:strCache>
            </c:strRef>
          </c:tx>
          <c:spPr>
            <a:solidFill>
              <a:srgbClr val="990000"/>
            </a:solidFill>
          </c:spPr>
          <c:invertIfNegative val="0"/>
          <c:cat>
            <c:strRef>
              <c:f>Sheet8!$A$5:$A$16</c:f>
              <c:strCache>
                <c:ptCount val="11"/>
                <c:pt idx="0">
                  <c:v>الأخلاقيات</c:v>
                </c:pt>
                <c:pt idx="1">
                  <c:v>الإدارة المالية</c:v>
                </c:pt>
                <c:pt idx="2">
                  <c:v>الموارد البشرية</c:v>
                </c:pt>
                <c:pt idx="3">
                  <c:v>إدارة المعلومات</c:v>
                </c:pt>
                <c:pt idx="4">
                  <c:v>عمليات المراقبة الداخلية</c:v>
                </c:pt>
                <c:pt idx="5">
                  <c:v>تكنولوجيا المعلومات</c:v>
                </c:pt>
                <c:pt idx="6">
                  <c:v>إدارة الأداء</c:v>
                </c:pt>
                <c:pt idx="7">
                  <c:v>المشتريات</c:v>
                </c:pt>
                <c:pt idx="8">
                  <c:v>إدارة البرامج</c:v>
                </c:pt>
                <c:pt idx="9">
                  <c:v>الأمن</c:v>
                </c:pt>
                <c:pt idx="10">
                  <c:v>إدارة الخزانة</c:v>
                </c:pt>
              </c:strCache>
            </c:strRef>
          </c:cat>
          <c:val>
            <c:numRef>
              <c:f>Sheet8!$B$5:$B$16</c:f>
              <c:numCache>
                <c:formatCode>General</c:formatCode>
                <c:ptCount val="11"/>
                <c:pt idx="0">
                  <c:v>1</c:v>
                </c:pt>
                <c:pt idx="1">
                  <c:v>10</c:v>
                </c:pt>
                <c:pt idx="2">
                  <c:v>12</c:v>
                </c:pt>
                <c:pt idx="3">
                  <c:v>2</c:v>
                </c:pt>
                <c:pt idx="4">
                  <c:v>3</c:v>
                </c:pt>
                <c:pt idx="5">
                  <c:v>10</c:v>
                </c:pt>
                <c:pt idx="6">
                  <c:v>3</c:v>
                </c:pt>
                <c:pt idx="7">
                  <c:v>4</c:v>
                </c:pt>
                <c:pt idx="8">
                  <c:v>15</c:v>
                </c:pt>
                <c:pt idx="9">
                  <c:v>2</c:v>
                </c:pt>
                <c:pt idx="10">
                  <c:v>1</c:v>
                </c:pt>
              </c:numCache>
            </c:numRef>
          </c:val>
        </c:ser>
        <c:ser>
          <c:idx val="1"/>
          <c:order val="1"/>
          <c:tx>
            <c:strRef>
              <c:f>Sheet8!$C$3:$C$4</c:f>
              <c:strCache>
                <c:ptCount val="1"/>
                <c:pt idx="0">
                  <c:v>منخفضة</c:v>
                </c:pt>
              </c:strCache>
            </c:strRef>
          </c:tx>
          <c:spPr>
            <a:solidFill>
              <a:srgbClr val="00B050"/>
            </a:solidFill>
          </c:spPr>
          <c:invertIfNegative val="0"/>
          <c:cat>
            <c:strRef>
              <c:f>Sheet8!$A$5:$A$16</c:f>
              <c:strCache>
                <c:ptCount val="11"/>
                <c:pt idx="0">
                  <c:v>الأخلاقيات</c:v>
                </c:pt>
                <c:pt idx="1">
                  <c:v>الإدارة المالية</c:v>
                </c:pt>
                <c:pt idx="2">
                  <c:v>الموارد البشرية</c:v>
                </c:pt>
                <c:pt idx="3">
                  <c:v>إدارة المعلومات</c:v>
                </c:pt>
                <c:pt idx="4">
                  <c:v>عمليات المراقبة الداخلية</c:v>
                </c:pt>
                <c:pt idx="5">
                  <c:v>تكنولوجيا المعلومات</c:v>
                </c:pt>
                <c:pt idx="6">
                  <c:v>إدارة الأداء</c:v>
                </c:pt>
                <c:pt idx="7">
                  <c:v>المشتريات</c:v>
                </c:pt>
                <c:pt idx="8">
                  <c:v>إدارة البرامج</c:v>
                </c:pt>
                <c:pt idx="9">
                  <c:v>الأمن</c:v>
                </c:pt>
                <c:pt idx="10">
                  <c:v>إدارة الخزانة</c:v>
                </c:pt>
              </c:strCache>
            </c:strRef>
          </c:cat>
          <c:val>
            <c:numRef>
              <c:f>Sheet8!$C$5:$C$16</c:f>
              <c:numCache>
                <c:formatCode>General</c:formatCode>
                <c:ptCount val="11"/>
                <c:pt idx="1">
                  <c:v>1</c:v>
                </c:pt>
              </c:numCache>
            </c:numRef>
          </c:val>
        </c:ser>
        <c:ser>
          <c:idx val="2"/>
          <c:order val="2"/>
          <c:tx>
            <c:strRef>
              <c:f>Sheet8!$D$3:$D$4</c:f>
              <c:strCache>
                <c:ptCount val="1"/>
                <c:pt idx="0">
                  <c:v>متوسطة</c:v>
                </c:pt>
              </c:strCache>
            </c:strRef>
          </c:tx>
          <c:spPr>
            <a:solidFill>
              <a:srgbClr val="FFFF00"/>
            </a:solidFill>
          </c:spPr>
          <c:invertIfNegative val="0"/>
          <c:cat>
            <c:strRef>
              <c:f>Sheet8!$A$5:$A$16</c:f>
              <c:strCache>
                <c:ptCount val="11"/>
                <c:pt idx="0">
                  <c:v>الأخلاقيات</c:v>
                </c:pt>
                <c:pt idx="1">
                  <c:v>الإدارة المالية</c:v>
                </c:pt>
                <c:pt idx="2">
                  <c:v>الموارد البشرية</c:v>
                </c:pt>
                <c:pt idx="3">
                  <c:v>إدارة المعلومات</c:v>
                </c:pt>
                <c:pt idx="4">
                  <c:v>عمليات المراقبة الداخلية</c:v>
                </c:pt>
                <c:pt idx="5">
                  <c:v>تكنولوجيا المعلومات</c:v>
                </c:pt>
                <c:pt idx="6">
                  <c:v>إدارة الأداء</c:v>
                </c:pt>
                <c:pt idx="7">
                  <c:v>المشتريات</c:v>
                </c:pt>
                <c:pt idx="8">
                  <c:v>إدارة البرامج</c:v>
                </c:pt>
                <c:pt idx="9">
                  <c:v>الأمن</c:v>
                </c:pt>
                <c:pt idx="10">
                  <c:v>إدارة الخزانة</c:v>
                </c:pt>
              </c:strCache>
            </c:strRef>
          </c:cat>
          <c:val>
            <c:numRef>
              <c:f>Sheet8!$D$5:$D$16</c:f>
              <c:numCache>
                <c:formatCode>General</c:formatCode>
                <c:ptCount val="11"/>
                <c:pt idx="2">
                  <c:v>4</c:v>
                </c:pt>
                <c:pt idx="3">
                  <c:v>3</c:v>
                </c:pt>
                <c:pt idx="4">
                  <c:v>3</c:v>
                </c:pt>
                <c:pt idx="6">
                  <c:v>4</c:v>
                </c:pt>
                <c:pt idx="7">
                  <c:v>5</c:v>
                </c:pt>
                <c:pt idx="8">
                  <c:v>6</c:v>
                </c:pt>
                <c:pt idx="10">
                  <c:v>1</c:v>
                </c:pt>
              </c:numCache>
            </c:numRef>
          </c:val>
        </c:ser>
        <c:ser>
          <c:idx val="3"/>
          <c:order val="3"/>
          <c:tx>
            <c:strRef>
              <c:f>Sheet8!$E$3:$E$4</c:f>
              <c:strCache>
                <c:ptCount val="1"/>
                <c:pt idx="0">
                  <c:v>عالية جدًا</c:v>
                </c:pt>
              </c:strCache>
            </c:strRef>
          </c:tx>
          <c:spPr>
            <a:solidFill>
              <a:schemeClr val="tx2">
                <a:lumMod val="60000"/>
                <a:lumOff val="40000"/>
              </a:schemeClr>
            </a:solidFill>
          </c:spPr>
          <c:invertIfNegative val="0"/>
          <c:cat>
            <c:strRef>
              <c:f>Sheet8!$A$5:$A$16</c:f>
              <c:strCache>
                <c:ptCount val="11"/>
                <c:pt idx="0">
                  <c:v>الأخلاقيات</c:v>
                </c:pt>
                <c:pt idx="1">
                  <c:v>الإدارة المالية</c:v>
                </c:pt>
                <c:pt idx="2">
                  <c:v>الموارد البشرية</c:v>
                </c:pt>
                <c:pt idx="3">
                  <c:v>إدارة المعلومات</c:v>
                </c:pt>
                <c:pt idx="4">
                  <c:v>عمليات المراقبة الداخلية</c:v>
                </c:pt>
                <c:pt idx="5">
                  <c:v>تكنولوجيا المعلومات</c:v>
                </c:pt>
                <c:pt idx="6">
                  <c:v>إدارة الأداء</c:v>
                </c:pt>
                <c:pt idx="7">
                  <c:v>المشتريات</c:v>
                </c:pt>
                <c:pt idx="8">
                  <c:v>إدارة البرامج</c:v>
                </c:pt>
                <c:pt idx="9">
                  <c:v>الأمن</c:v>
                </c:pt>
                <c:pt idx="10">
                  <c:v>إدارة الخزانة</c:v>
                </c:pt>
              </c:strCache>
            </c:strRef>
          </c:cat>
          <c:val>
            <c:numRef>
              <c:f>Sheet8!$E$5:$E$16</c:f>
              <c:numCache>
                <c:formatCode>General</c:formatCode>
                <c:ptCount val="11"/>
                <c:pt idx="2">
                  <c:v>1</c:v>
                </c:pt>
                <c:pt idx="5">
                  <c:v>2</c:v>
                </c:pt>
                <c:pt idx="9">
                  <c:v>1</c:v>
                </c:pt>
              </c:numCache>
            </c:numRef>
          </c:val>
        </c:ser>
        <c:dLbls>
          <c:showLegendKey val="0"/>
          <c:showVal val="0"/>
          <c:showCatName val="0"/>
          <c:showSerName val="0"/>
          <c:showPercent val="0"/>
          <c:showBubbleSize val="0"/>
        </c:dLbls>
        <c:gapWidth val="150"/>
        <c:overlap val="100"/>
        <c:axId val="38883712"/>
        <c:axId val="38885632"/>
      </c:barChart>
      <c:catAx>
        <c:axId val="38883712"/>
        <c:scaling>
          <c:orientation val="minMax"/>
        </c:scaling>
        <c:delete val="0"/>
        <c:axPos val="b"/>
        <c:title>
          <c:tx>
            <c:rich>
              <a:bodyPr/>
              <a:lstStyle/>
              <a:p>
                <a:pPr>
                  <a:defRPr/>
                </a:pPr>
                <a:r>
                  <a:rPr lang="ar-EG">
                    <a:latin typeface="Arial" pitchFamily="34" charset="0"/>
                    <a:cs typeface="Arial" pitchFamily="34" charset="0"/>
                  </a:rPr>
                  <a:t>الفئة</a:t>
                </a:r>
              </a:p>
              <a:p>
                <a:pPr>
                  <a:defRPr/>
                </a:pPr>
                <a:endParaRPr lang="en-US">
                  <a:latin typeface="Arial" pitchFamily="34" charset="0"/>
                  <a:cs typeface="Arial" pitchFamily="34" charset="0"/>
                </a:endParaRPr>
              </a:p>
            </c:rich>
          </c:tx>
          <c:overlay val="0"/>
        </c:title>
        <c:majorTickMark val="out"/>
        <c:minorTickMark val="none"/>
        <c:tickLblPos val="nextTo"/>
        <c:crossAx val="38885632"/>
        <c:crosses val="autoZero"/>
        <c:auto val="1"/>
        <c:lblAlgn val="ctr"/>
        <c:lblOffset val="100"/>
        <c:noMultiLvlLbl val="0"/>
      </c:catAx>
      <c:valAx>
        <c:axId val="38885632"/>
        <c:scaling>
          <c:orientation val="minMax"/>
        </c:scaling>
        <c:delete val="0"/>
        <c:axPos val="l"/>
        <c:majorGridlines>
          <c:spPr>
            <a:ln>
              <a:noFill/>
            </a:ln>
          </c:spPr>
        </c:majorGridlines>
        <c:title>
          <c:tx>
            <c:rich>
              <a:bodyPr rot="-5400000" vert="horz"/>
              <a:lstStyle/>
              <a:p>
                <a:pPr>
                  <a:defRPr>
                    <a:latin typeface="Arial" pitchFamily="34" charset="0"/>
                    <a:cs typeface="Arial" pitchFamily="34" charset="0"/>
                  </a:defRPr>
                </a:pPr>
                <a:r>
                  <a:rPr lang="ar-EG">
                    <a:latin typeface="Arial" pitchFamily="34" charset="0"/>
                    <a:cs typeface="Arial" pitchFamily="34" charset="0"/>
                  </a:rPr>
                  <a:t>عدد التوصيات</a:t>
                </a:r>
                <a:endParaRPr lang="en-US">
                  <a:latin typeface="Arial" pitchFamily="34" charset="0"/>
                  <a:cs typeface="Arial" pitchFamily="34" charset="0"/>
                </a:endParaRPr>
              </a:p>
            </c:rich>
          </c:tx>
          <c:overlay val="0"/>
        </c:title>
        <c:numFmt formatCode="General" sourceLinked="1"/>
        <c:majorTickMark val="out"/>
        <c:minorTickMark val="none"/>
        <c:tickLblPos val="nextTo"/>
        <c:crossAx val="38883712"/>
        <c:crosses val="autoZero"/>
        <c:crossBetween val="between"/>
      </c:valAx>
    </c:plotArea>
    <c:legend>
      <c:legendPos val="b"/>
      <c:layout>
        <c:manualLayout>
          <c:xMode val="edge"/>
          <c:yMode val="edge"/>
          <c:x val="0.15185472154963681"/>
          <c:y val="9.6854950495049594E-2"/>
          <c:w val="0.59652192628463818"/>
          <c:h val="6.2765511551155131E-2"/>
        </c:manualLayout>
      </c:layout>
      <c:overlay val="1"/>
      <c:txPr>
        <a:bodyPr/>
        <a:lstStyle/>
        <a:p>
          <a:pPr>
            <a:defRPr sz="1200">
              <a:latin typeface="Arial" pitchFamily="34" charset="0"/>
              <a:cs typeface="Arial" pitchFamily="34" charset="0"/>
            </a:defRPr>
          </a:pPr>
          <a:endParaRPr lang="en-US"/>
        </a:p>
      </c:tx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[wo_pbc_21_17_graphs_33276_EN.xlsx]CHART 3 of SAR 2013!PivotTable1</c:name>
    <c:fmtId val="17"/>
  </c:pivotSource>
  <c:chart>
    <c:autoTitleDeleted val="0"/>
    <c:pivotFmts>
      <c:pivotFmt>
        <c:idx val="0"/>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1"/>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2"/>
        <c:marker>
          <c:symbol val="none"/>
        </c:marker>
        <c:dLbl>
          <c:idx val="0"/>
          <c:spPr/>
          <c:txPr>
            <a:bodyPr/>
            <a:lstStyle/>
            <a:p>
              <a:pPr>
                <a:defRPr/>
              </a:pPr>
              <a:endParaRPr lang="en-US"/>
            </a:p>
          </c:txPr>
          <c:showLegendKey val="0"/>
          <c:showVal val="1"/>
          <c:showCatName val="0"/>
          <c:showSerName val="0"/>
          <c:showPercent val="0"/>
          <c:showBubbleSize val="0"/>
        </c:dLbl>
      </c:pivotFmt>
      <c:pivotFmt>
        <c:idx val="3"/>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4"/>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5"/>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6"/>
        <c:marker>
          <c:symbol val="none"/>
        </c:marker>
        <c:dLbl>
          <c:idx val="0"/>
          <c:spPr/>
          <c:txPr>
            <a:bodyPr/>
            <a:lstStyle/>
            <a:p>
              <a:pPr>
                <a:defRPr/>
              </a:pPr>
              <a:endParaRPr lang="en-US"/>
            </a:p>
          </c:txPr>
          <c:showLegendKey val="0"/>
          <c:showVal val="1"/>
          <c:showCatName val="0"/>
          <c:showSerName val="0"/>
          <c:showPercent val="0"/>
          <c:showBubbleSize val="0"/>
        </c:dLbl>
      </c:pivotFmt>
      <c:pivotFmt>
        <c:idx val="7"/>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8"/>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9"/>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10"/>
        <c:marker>
          <c:symbol val="none"/>
        </c:marker>
        <c:dLbl>
          <c:idx val="0"/>
          <c:spPr/>
          <c:txPr>
            <a:bodyPr/>
            <a:lstStyle/>
            <a:p>
              <a:pPr>
                <a:defRPr/>
              </a:pPr>
              <a:endParaRPr lang="en-US"/>
            </a:p>
          </c:txPr>
          <c:showLegendKey val="0"/>
          <c:showVal val="1"/>
          <c:showCatName val="0"/>
          <c:showSerName val="0"/>
          <c:showPercent val="0"/>
          <c:showBubbleSize val="0"/>
        </c:dLbl>
      </c:pivotFmt>
      <c:pivotFmt>
        <c:idx val="11"/>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12"/>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13"/>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14"/>
        <c:marker>
          <c:symbol val="none"/>
        </c:marker>
        <c:dLbl>
          <c:idx val="0"/>
          <c:spPr/>
          <c:txPr>
            <a:bodyPr/>
            <a:lstStyle/>
            <a:p>
              <a:pPr>
                <a:defRPr/>
              </a:pPr>
              <a:endParaRPr lang="en-US"/>
            </a:p>
          </c:txPr>
          <c:showLegendKey val="0"/>
          <c:showVal val="1"/>
          <c:showCatName val="0"/>
          <c:showSerName val="0"/>
          <c:showPercent val="0"/>
          <c:showBubbleSize val="0"/>
        </c:dLbl>
      </c:pivotFmt>
      <c:pivotFmt>
        <c:idx val="15"/>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s>
    <c:plotArea>
      <c:layout/>
      <c:barChart>
        <c:barDir val="col"/>
        <c:grouping val="stacked"/>
        <c:varyColors val="0"/>
        <c:ser>
          <c:idx val="0"/>
          <c:order val="0"/>
          <c:tx>
            <c:strRef>
              <c:f>'CHART 3 of SAR 2013'!$B$3:$B$4</c:f>
              <c:strCache>
                <c:ptCount val="1"/>
                <c:pt idx="0">
                  <c:v>الادعاء لا يستند إلى دليل</c:v>
                </c:pt>
              </c:strCache>
            </c:strRef>
          </c:tx>
          <c:invertIfNegative val="0"/>
          <c:dLbls>
            <c:spPr>
              <a:noFill/>
              <a:ln w="25400">
                <a:noFill/>
              </a:ln>
            </c:spPr>
            <c:txPr>
              <a:bodyPr/>
              <a:lstStyle/>
              <a:p>
                <a:pPr>
                  <a:defRPr/>
                </a:pPr>
                <a:endParaRPr lang="en-US"/>
              </a:p>
            </c:txPr>
            <c:showLegendKey val="0"/>
            <c:showVal val="1"/>
            <c:showCatName val="0"/>
            <c:showSerName val="0"/>
            <c:showPercent val="0"/>
            <c:showBubbleSize val="0"/>
            <c:showLeaderLines val="0"/>
          </c:dLbls>
          <c:cat>
            <c:strRef>
              <c:f>'CHART 3 of SAR 2013'!$A$5:$A$11</c:f>
              <c:strCache>
                <c:ptCount val="6"/>
                <c:pt idx="0">
                  <c:v>2008</c:v>
                </c:pt>
                <c:pt idx="1">
                  <c:v>2009</c:v>
                </c:pt>
                <c:pt idx="2">
                  <c:v>2010</c:v>
                </c:pt>
                <c:pt idx="3">
                  <c:v>2011</c:v>
                </c:pt>
                <c:pt idx="4">
                  <c:v>2012</c:v>
                </c:pt>
                <c:pt idx="5">
                  <c:v>2013</c:v>
                </c:pt>
              </c:strCache>
            </c:strRef>
          </c:cat>
          <c:val>
            <c:numRef>
              <c:f>'CHART 3 of SAR 2013'!$B$5:$B$11</c:f>
              <c:numCache>
                <c:formatCode>General</c:formatCode>
                <c:ptCount val="6"/>
                <c:pt idx="0">
                  <c:v>26</c:v>
                </c:pt>
                <c:pt idx="1">
                  <c:v>11</c:v>
                </c:pt>
                <c:pt idx="2">
                  <c:v>9</c:v>
                </c:pt>
                <c:pt idx="3">
                  <c:v>8</c:v>
                </c:pt>
                <c:pt idx="4">
                  <c:v>18</c:v>
                </c:pt>
                <c:pt idx="5">
                  <c:v>5</c:v>
                </c:pt>
              </c:numCache>
            </c:numRef>
          </c:val>
        </c:ser>
        <c:ser>
          <c:idx val="1"/>
          <c:order val="1"/>
          <c:tx>
            <c:strRef>
              <c:f>'CHART 3 of SAR 2013'!$C$3:$C$4</c:f>
              <c:strCache>
                <c:ptCount val="1"/>
                <c:pt idx="0">
                  <c:v>الادعاء يستند إلى دليل</c:v>
                </c:pt>
              </c:strCache>
            </c:strRef>
          </c:tx>
          <c:invertIfNegative val="0"/>
          <c:dLbls>
            <c:spPr>
              <a:noFill/>
              <a:ln w="25400">
                <a:noFill/>
              </a:ln>
            </c:spPr>
            <c:txPr>
              <a:bodyPr/>
              <a:lstStyle/>
              <a:p>
                <a:pPr>
                  <a:defRPr/>
                </a:pPr>
                <a:endParaRPr lang="en-US"/>
              </a:p>
            </c:txPr>
            <c:showLegendKey val="0"/>
            <c:showVal val="1"/>
            <c:showCatName val="0"/>
            <c:showSerName val="0"/>
            <c:showPercent val="0"/>
            <c:showBubbleSize val="0"/>
            <c:showLeaderLines val="0"/>
          </c:dLbls>
          <c:cat>
            <c:strRef>
              <c:f>'CHART 3 of SAR 2013'!$A$5:$A$11</c:f>
              <c:strCache>
                <c:ptCount val="6"/>
                <c:pt idx="0">
                  <c:v>2008</c:v>
                </c:pt>
                <c:pt idx="1">
                  <c:v>2009</c:v>
                </c:pt>
                <c:pt idx="2">
                  <c:v>2010</c:v>
                </c:pt>
                <c:pt idx="3">
                  <c:v>2011</c:v>
                </c:pt>
                <c:pt idx="4">
                  <c:v>2012</c:v>
                </c:pt>
                <c:pt idx="5">
                  <c:v>2013</c:v>
                </c:pt>
              </c:strCache>
            </c:strRef>
          </c:cat>
          <c:val>
            <c:numRef>
              <c:f>'CHART 3 of SAR 2013'!$C$5:$C$11</c:f>
              <c:numCache>
                <c:formatCode>General</c:formatCode>
                <c:ptCount val="6"/>
                <c:pt idx="0">
                  <c:v>5</c:v>
                </c:pt>
                <c:pt idx="1">
                  <c:v>4</c:v>
                </c:pt>
                <c:pt idx="2">
                  <c:v>4</c:v>
                </c:pt>
                <c:pt idx="3">
                  <c:v>5</c:v>
                </c:pt>
                <c:pt idx="4">
                  <c:v>3</c:v>
                </c:pt>
                <c:pt idx="5">
                  <c:v>1</c:v>
                </c:pt>
              </c:numCache>
            </c:numRef>
          </c:val>
        </c:ser>
        <c:ser>
          <c:idx val="2"/>
          <c:order val="2"/>
          <c:tx>
            <c:strRef>
              <c:f>'CHART 3 of SAR 2013'!$D$3:$D$4</c:f>
              <c:strCache>
                <c:ptCount val="1"/>
                <c:pt idx="0">
                  <c:v>التقييم الأولي</c:v>
                </c:pt>
              </c:strCache>
            </c:strRef>
          </c:tx>
          <c:invertIfNegative val="0"/>
          <c:dLbls>
            <c:txPr>
              <a:bodyPr/>
              <a:lstStyle/>
              <a:p>
                <a:pPr>
                  <a:defRPr/>
                </a:pPr>
                <a:endParaRPr lang="en-US"/>
              </a:p>
            </c:txPr>
            <c:showLegendKey val="0"/>
            <c:showVal val="1"/>
            <c:showCatName val="0"/>
            <c:showSerName val="0"/>
            <c:showPercent val="0"/>
            <c:showBubbleSize val="0"/>
            <c:showLeaderLines val="0"/>
          </c:dLbls>
          <c:cat>
            <c:strRef>
              <c:f>'CHART 3 of SAR 2013'!$A$5:$A$11</c:f>
              <c:strCache>
                <c:ptCount val="6"/>
                <c:pt idx="0">
                  <c:v>2008</c:v>
                </c:pt>
                <c:pt idx="1">
                  <c:v>2009</c:v>
                </c:pt>
                <c:pt idx="2">
                  <c:v>2010</c:v>
                </c:pt>
                <c:pt idx="3">
                  <c:v>2011</c:v>
                </c:pt>
                <c:pt idx="4">
                  <c:v>2012</c:v>
                </c:pt>
                <c:pt idx="5">
                  <c:v>2013</c:v>
                </c:pt>
              </c:strCache>
            </c:strRef>
          </c:cat>
          <c:val>
            <c:numRef>
              <c:f>'CHART 3 of SAR 2013'!$D$5:$D$11</c:f>
              <c:numCache>
                <c:formatCode>General</c:formatCode>
                <c:ptCount val="6"/>
                <c:pt idx="5">
                  <c:v>1</c:v>
                </c:pt>
              </c:numCache>
            </c:numRef>
          </c:val>
        </c:ser>
        <c:ser>
          <c:idx val="3"/>
          <c:order val="3"/>
          <c:tx>
            <c:strRef>
              <c:f>'CHART 3 of SAR 2013'!$E$3:$E$4</c:f>
              <c:strCache>
                <c:ptCount val="1"/>
                <c:pt idx="0">
                  <c:v>المعلقة</c:v>
                </c:pt>
              </c:strCache>
            </c:strRef>
          </c:tx>
          <c:invertIfNegative val="0"/>
          <c:dLbls>
            <c:spPr>
              <a:noFill/>
              <a:ln w="25400">
                <a:noFill/>
              </a:ln>
            </c:spPr>
            <c:txPr>
              <a:bodyPr/>
              <a:lstStyle/>
              <a:p>
                <a:pPr>
                  <a:defRPr/>
                </a:pPr>
                <a:endParaRPr lang="en-US"/>
              </a:p>
            </c:txPr>
            <c:showLegendKey val="0"/>
            <c:showVal val="1"/>
            <c:showCatName val="0"/>
            <c:showSerName val="0"/>
            <c:showPercent val="0"/>
            <c:showBubbleSize val="0"/>
            <c:showLeaderLines val="0"/>
          </c:dLbls>
          <c:cat>
            <c:strRef>
              <c:f>'CHART 3 of SAR 2013'!$A$5:$A$11</c:f>
              <c:strCache>
                <c:ptCount val="6"/>
                <c:pt idx="0">
                  <c:v>2008</c:v>
                </c:pt>
                <c:pt idx="1">
                  <c:v>2009</c:v>
                </c:pt>
                <c:pt idx="2">
                  <c:v>2010</c:v>
                </c:pt>
                <c:pt idx="3">
                  <c:v>2011</c:v>
                </c:pt>
                <c:pt idx="4">
                  <c:v>2012</c:v>
                </c:pt>
                <c:pt idx="5">
                  <c:v>2013</c:v>
                </c:pt>
              </c:strCache>
            </c:strRef>
          </c:cat>
          <c:val>
            <c:numRef>
              <c:f>'CHART 3 of SAR 2013'!$E$5:$E$11</c:f>
              <c:numCache>
                <c:formatCode>General</c:formatCode>
                <c:ptCount val="6"/>
                <c:pt idx="1">
                  <c:v>1</c:v>
                </c:pt>
              </c:numCache>
            </c:numRef>
          </c:val>
        </c:ser>
        <c:dLbls>
          <c:showLegendKey val="0"/>
          <c:showVal val="0"/>
          <c:showCatName val="0"/>
          <c:showSerName val="0"/>
          <c:showPercent val="0"/>
          <c:showBubbleSize val="0"/>
        </c:dLbls>
        <c:gapWidth val="150"/>
        <c:overlap val="100"/>
        <c:axId val="74030080"/>
        <c:axId val="74052352"/>
      </c:barChart>
      <c:catAx>
        <c:axId val="74030080"/>
        <c:scaling>
          <c:orientation val="minMax"/>
        </c:scaling>
        <c:delete val="0"/>
        <c:axPos val="b"/>
        <c:numFmt formatCode="General" sourceLinked="1"/>
        <c:majorTickMark val="out"/>
        <c:minorTickMark val="none"/>
        <c:tickLblPos val="nextTo"/>
        <c:crossAx val="74052352"/>
        <c:crosses val="autoZero"/>
        <c:auto val="0"/>
        <c:lblAlgn val="ctr"/>
        <c:lblOffset val="100"/>
        <c:noMultiLvlLbl val="0"/>
      </c:catAx>
      <c:valAx>
        <c:axId val="74052352"/>
        <c:scaling>
          <c:orientation val="minMax"/>
        </c:scaling>
        <c:delete val="0"/>
        <c:axPos val="l"/>
        <c:majorGridlines/>
        <c:numFmt formatCode="General" sourceLinked="1"/>
        <c:majorTickMark val="out"/>
        <c:minorTickMark val="none"/>
        <c:tickLblPos val="nextTo"/>
        <c:crossAx val="74030080"/>
        <c:crosses val="autoZero"/>
        <c:crossBetween val="between"/>
      </c:valAx>
    </c:plotArea>
    <c:legend>
      <c:legendPos val="b"/>
      <c:overlay val="0"/>
      <c:spPr>
        <a:noFill/>
        <a:ln w="25400">
          <a:noFill/>
        </a:ln>
      </c:sp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175C0-975C-4F37-8CEA-FA4F421E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WO_GA_43_AR</Template>
  <TotalTime>11</TotalTime>
  <Pages>21</Pages>
  <Words>5786</Words>
  <Characters>32086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WO/GA/43/7(Arabic)</vt:lpstr>
    </vt:vector>
  </TitlesOfParts>
  <Company>World Intellectual Property Organization</Company>
  <LinksUpToDate>false</LinksUpToDate>
  <CharactersWithSpaces>37797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WO/GA/43/7(Arabic)</dc:title>
  <dc:creator>من إعداد الأمانة</dc:creator>
  <cp:lastModifiedBy>YOUSSEF Randa</cp:lastModifiedBy>
  <cp:revision>6</cp:revision>
  <cp:lastPrinted>2013-07-18T10:20:00Z</cp:lastPrinted>
  <dcterms:created xsi:type="dcterms:W3CDTF">2013-07-18T10:05:00Z</dcterms:created>
  <dcterms:modified xsi:type="dcterms:W3CDTF">2013-07-18T10:21:00Z</dcterms:modified>
</cp:coreProperties>
</file>