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983389">
            <w:pPr>
              <w:pStyle w:val="DocumentCodeAR"/>
              <w:bidi/>
              <w:rPr>
                <w:rtl/>
              </w:rPr>
            </w:pPr>
            <w:r>
              <w:t>WO/</w:t>
            </w:r>
            <w:r w:rsidR="00983389">
              <w:t>PBC</w:t>
            </w:r>
            <w:r w:rsidR="00100F97">
              <w:t>/</w:t>
            </w:r>
            <w:r>
              <w:t>2</w:t>
            </w:r>
            <w:r w:rsidR="00983389">
              <w:t>0</w:t>
            </w:r>
            <w:r w:rsidR="00161554">
              <w:t>/INF.1</w:t>
            </w:r>
          </w:p>
        </w:tc>
      </w:tr>
      <w:tr w:rsidR="001667B6" w:rsidTr="00BF164F">
        <w:tc>
          <w:tcPr>
            <w:tcW w:w="9571" w:type="dxa"/>
            <w:gridSpan w:val="3"/>
          </w:tcPr>
          <w:p w:rsidR="001667B6" w:rsidRPr="00B6101C" w:rsidRDefault="00B6101C" w:rsidP="00161554">
            <w:pPr>
              <w:pStyle w:val="DocumentLanguageAR"/>
              <w:bidi/>
              <w:rPr>
                <w:rtl/>
              </w:rPr>
            </w:pPr>
            <w:r w:rsidRPr="00B6101C">
              <w:rPr>
                <w:rFonts w:hint="cs"/>
                <w:rtl/>
              </w:rPr>
              <w:t xml:space="preserve">الأصل: </w:t>
            </w:r>
            <w:r w:rsidR="00161554">
              <w:rPr>
                <w:rFonts w:hint="cs"/>
                <w:rtl/>
              </w:rPr>
              <w:t>بالإنكليزية</w:t>
            </w:r>
          </w:p>
        </w:tc>
      </w:tr>
      <w:tr w:rsidR="001667B6" w:rsidTr="00BF164F">
        <w:tc>
          <w:tcPr>
            <w:tcW w:w="9571" w:type="dxa"/>
            <w:gridSpan w:val="3"/>
          </w:tcPr>
          <w:p w:rsidR="001667B6" w:rsidRPr="00B6101C" w:rsidRDefault="00B6101C" w:rsidP="00161554">
            <w:pPr>
              <w:pStyle w:val="DocumentDateAR"/>
              <w:bidi/>
              <w:rPr>
                <w:rtl/>
              </w:rPr>
            </w:pPr>
            <w:r w:rsidRPr="00B6101C">
              <w:rPr>
                <w:rFonts w:hint="cs"/>
                <w:rtl/>
              </w:rPr>
              <w:t xml:space="preserve">التاريخ: </w:t>
            </w:r>
            <w:r w:rsidR="00161554">
              <w:rPr>
                <w:rFonts w:hint="cs"/>
                <w:rtl/>
              </w:rPr>
              <w:t>5</w:t>
            </w:r>
            <w:r w:rsidRPr="00B6101C">
              <w:rPr>
                <w:rFonts w:hint="cs"/>
                <w:rtl/>
              </w:rPr>
              <w:t xml:space="preserve"> </w:t>
            </w:r>
            <w:r w:rsidR="00161554">
              <w:rPr>
                <w:rFonts w:hint="cs"/>
                <w:rtl/>
              </w:rPr>
              <w:t>يونيو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83389">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العشرون</w:t>
      </w:r>
    </w:p>
    <w:p w:rsidR="00D61541" w:rsidRPr="00D61541" w:rsidRDefault="00D61541" w:rsidP="00983389">
      <w:pPr>
        <w:pStyle w:val="MeetingDatesAR"/>
        <w:bidi/>
        <w:rPr>
          <w:rtl/>
        </w:rPr>
      </w:pPr>
      <w:r w:rsidRPr="00D61541">
        <w:rPr>
          <w:rFonts w:hint="cs"/>
          <w:rtl/>
        </w:rPr>
        <w:t xml:space="preserve">جنيف، من </w:t>
      </w:r>
      <w:r w:rsidR="00983389">
        <w:rPr>
          <w:rFonts w:hint="cs"/>
          <w:rtl/>
        </w:rPr>
        <w:t xml:space="preserve">8 </w:t>
      </w:r>
      <w:r w:rsidR="00100F97">
        <w:rPr>
          <w:rFonts w:hint="cs"/>
          <w:rtl/>
        </w:rPr>
        <w:t xml:space="preserve">إلى </w:t>
      </w:r>
      <w:r w:rsidR="00983389">
        <w:rPr>
          <w:rFonts w:hint="cs"/>
          <w:rtl/>
        </w:rPr>
        <w:t>12</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24801" w:rsidP="00FB7EC9">
      <w:pPr>
        <w:pStyle w:val="DocumentTitleAR"/>
        <w:bidi/>
        <w:rPr>
          <w:rtl/>
        </w:rPr>
      </w:pPr>
      <w:r>
        <w:rPr>
          <w:rFonts w:hint="cs"/>
          <w:rtl/>
        </w:rPr>
        <w:t>الوضع المالي والنتائج الأولية لعام 2012 والربع الأول من عام 2013</w:t>
      </w:r>
    </w:p>
    <w:p w:rsidR="00D61541" w:rsidRPr="00D61541" w:rsidRDefault="0042480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2F77FC" w:rsidRDefault="00D4241D" w:rsidP="00530B8C">
      <w:pPr>
        <w:pStyle w:val="NumberedParaAR"/>
      </w:pPr>
      <w:r>
        <w:rPr>
          <w:rFonts w:hint="cs"/>
          <w:rtl/>
        </w:rPr>
        <w:t xml:space="preserve">توفر هذه الوثيقة الأرقام الأولية </w:t>
      </w:r>
      <w:r w:rsidR="00530B8C">
        <w:rPr>
          <w:rFonts w:hint="cs"/>
          <w:rtl/>
        </w:rPr>
        <w:t xml:space="preserve">حتى </w:t>
      </w:r>
      <w:r>
        <w:rPr>
          <w:rFonts w:hint="cs"/>
          <w:rtl/>
        </w:rPr>
        <w:t xml:space="preserve">نهاية عام 2012، التي ستخضع للتدقيق ويصدر بشأنها، في دورة لجنة البرنامج والميزانية في سبتمبر 2013، تقرير رسمي بعنوان البيانات المالية المدققة لعام 2012. ولتزويد الدول الأعضاء بمزيد من التفاصيل حول وضع المنظمة المالي تعرض الوثيقة أيضا تلك المعلومات </w:t>
      </w:r>
      <w:r w:rsidR="00530B8C">
        <w:rPr>
          <w:rFonts w:hint="cs"/>
          <w:rtl/>
        </w:rPr>
        <w:t>حتى</w:t>
      </w:r>
      <w:r>
        <w:rPr>
          <w:rFonts w:hint="cs"/>
          <w:rtl/>
        </w:rPr>
        <w:t xml:space="preserve"> نهاية الربع الأول من عام 2013.</w:t>
      </w:r>
    </w:p>
    <w:p w:rsidR="00D4241D" w:rsidRDefault="00D4241D" w:rsidP="00D4241D">
      <w:pPr>
        <w:pStyle w:val="NumberedParaAR"/>
      </w:pPr>
      <w:r>
        <w:rPr>
          <w:rFonts w:hint="cs"/>
          <w:rtl/>
        </w:rPr>
        <w:t>كما تزوّد الوثيقة الدول الأعضاء بمعلومات أساسية فيما يخص البند 5 من جدول الأعمال ("اقتراح مشروع البرنامج والميزانية للثنائية 2014-2015").</w:t>
      </w:r>
    </w:p>
    <w:p w:rsidR="002B76B9" w:rsidRDefault="002B76B9" w:rsidP="000739BA">
      <w:pPr>
        <w:pStyle w:val="NumberedParaAR"/>
      </w:pPr>
      <w:r>
        <w:rPr>
          <w:rFonts w:hint="cs"/>
          <w:rtl/>
        </w:rPr>
        <w:t xml:space="preserve">ويجدر التذكير بأنّ البيانات المالية للويبو تُعد، منذ عام 2010، بناء على المعايير المحاسبية الدولية للقطاع العام في حين تَواصل إعداد ميزانية المنظمة على أساس الاستحقاق المعدل ("على أساس الميزانية")، طبقا </w:t>
      </w:r>
      <w:r w:rsidR="000739BA">
        <w:rPr>
          <w:rFonts w:hint="cs"/>
          <w:rtl/>
        </w:rPr>
        <w:t>ل</w:t>
      </w:r>
      <w:r>
        <w:rPr>
          <w:rFonts w:hint="cs"/>
          <w:rtl/>
        </w:rPr>
        <w:t xml:space="preserve">نظام </w:t>
      </w:r>
      <w:r w:rsidR="000739BA">
        <w:rPr>
          <w:rFonts w:hint="cs"/>
          <w:rtl/>
        </w:rPr>
        <w:t>الويبو</w:t>
      </w:r>
      <w:r>
        <w:rPr>
          <w:rFonts w:hint="cs"/>
          <w:rtl/>
        </w:rPr>
        <w:t xml:space="preserve"> المالي ولائحته</w:t>
      </w:r>
      <w:r w:rsidR="000739BA">
        <w:rPr>
          <w:rFonts w:hint="cs"/>
          <w:rtl/>
        </w:rPr>
        <w:t>. وتبيّن الجداول الواردة أدناه كلا من الإيرادات والنفقات على أساس ا</w:t>
      </w:r>
      <w:r w:rsidR="002A0675">
        <w:rPr>
          <w:rFonts w:hint="cs"/>
          <w:rtl/>
        </w:rPr>
        <w:t>لاستحقاق المعدل، وال</w:t>
      </w:r>
      <w:r w:rsidR="000739BA">
        <w:rPr>
          <w:rFonts w:hint="cs"/>
          <w:rtl/>
        </w:rPr>
        <w:t xml:space="preserve">تسويات </w:t>
      </w:r>
      <w:r w:rsidR="002A0675">
        <w:rPr>
          <w:rFonts w:hint="cs"/>
          <w:rtl/>
        </w:rPr>
        <w:t xml:space="preserve">ذات الصلة </w:t>
      </w:r>
      <w:r w:rsidR="000739BA">
        <w:rPr>
          <w:rFonts w:hint="cs"/>
          <w:rtl/>
        </w:rPr>
        <w:t>بناء على المعايير المحاسبية الدولية للقطاع العام.</w:t>
      </w:r>
    </w:p>
    <w:p w:rsidR="00CB6F0A" w:rsidRDefault="000739BA" w:rsidP="00B768C4">
      <w:pPr>
        <w:pStyle w:val="NumberedParaAR"/>
      </w:pPr>
      <w:r>
        <w:rPr>
          <w:rFonts w:hint="cs"/>
          <w:rtl/>
        </w:rPr>
        <w:t>ويورد الجدول 1 عرض</w:t>
      </w:r>
      <w:r w:rsidR="00107758">
        <w:rPr>
          <w:rFonts w:hint="cs"/>
          <w:rtl/>
        </w:rPr>
        <w:t>ا شاملا لنتائج الويبو الأولية فيما يخص العام المنتهي في 31 ديسمبر 2012 وا</w:t>
      </w:r>
      <w:r>
        <w:rPr>
          <w:rFonts w:hint="cs"/>
          <w:rtl/>
        </w:rPr>
        <w:t xml:space="preserve">لفترة </w:t>
      </w:r>
      <w:r w:rsidR="00CB6F0A">
        <w:rPr>
          <w:rFonts w:hint="cs"/>
          <w:rtl/>
        </w:rPr>
        <w:t xml:space="preserve">التراكمية الممتدة من </w:t>
      </w:r>
      <w:r>
        <w:rPr>
          <w:rFonts w:hint="cs"/>
          <w:rtl/>
        </w:rPr>
        <w:t>1</w:t>
      </w:r>
      <w:r>
        <w:rPr>
          <w:rFonts w:hint="eastAsia"/>
          <w:rtl/>
        </w:rPr>
        <w:t> </w:t>
      </w:r>
      <w:r w:rsidR="00CB6F0A">
        <w:rPr>
          <w:rFonts w:hint="cs"/>
          <w:rtl/>
        </w:rPr>
        <w:t xml:space="preserve">يناير 2012 إلى </w:t>
      </w:r>
      <w:r>
        <w:rPr>
          <w:rFonts w:hint="cs"/>
          <w:rtl/>
        </w:rPr>
        <w:t xml:space="preserve">31 مارس 2013 (15 شهرا). كما يورد الجدول أرقاما عن مستويات أنشطة التسجيل </w:t>
      </w:r>
      <w:r w:rsidR="00CB6F0A">
        <w:rPr>
          <w:rFonts w:hint="cs"/>
          <w:rtl/>
        </w:rPr>
        <w:t xml:space="preserve">المُستحدثة بموجب </w:t>
      </w:r>
      <w:r w:rsidR="00B768C4">
        <w:rPr>
          <w:rFonts w:hint="cs"/>
          <w:rtl/>
        </w:rPr>
        <w:t>أنظمة معاهدة التعاون بشأن البراءات</w:t>
      </w:r>
      <w:r w:rsidR="00CB6F0A">
        <w:rPr>
          <w:rFonts w:hint="cs"/>
          <w:rtl/>
        </w:rPr>
        <w:t xml:space="preserve"> </w:t>
      </w:r>
      <w:r w:rsidR="00530B8C">
        <w:rPr>
          <w:rFonts w:hint="cs"/>
          <w:rtl/>
        </w:rPr>
        <w:t>و</w:t>
      </w:r>
      <w:r w:rsidR="00CB6F0A">
        <w:rPr>
          <w:rFonts w:hint="cs"/>
          <w:rtl/>
        </w:rPr>
        <w:t>مدريد ولاهاي.</w:t>
      </w:r>
    </w:p>
    <w:p w:rsidR="000739BA" w:rsidRPr="0058246F" w:rsidRDefault="005C6C65" w:rsidP="0002105D">
      <w:pPr>
        <w:pStyle w:val="NumberedParaAR"/>
        <w:keepNext/>
        <w:numPr>
          <w:ilvl w:val="0"/>
          <w:numId w:val="0"/>
        </w:numPr>
        <w:spacing w:after="0"/>
        <w:jc w:val="center"/>
        <w:rPr>
          <w:b/>
          <w:bCs/>
          <w:rtl/>
        </w:rPr>
      </w:pPr>
      <w:r>
        <w:rPr>
          <w:rFonts w:hint="cs"/>
          <w:b/>
          <w:bCs/>
          <w:rtl/>
        </w:rPr>
        <w:lastRenderedPageBreak/>
        <w:t xml:space="preserve">الجدول 1. </w:t>
      </w:r>
      <w:bookmarkStart w:id="2" w:name="_GoBack"/>
      <w:bookmarkEnd w:id="2"/>
      <w:r w:rsidR="00CB6F0A" w:rsidRPr="0058246F">
        <w:rPr>
          <w:rFonts w:hint="cs"/>
          <w:b/>
          <w:bCs/>
          <w:rtl/>
        </w:rPr>
        <w:t xml:space="preserve">النتائج الأولية والمقاييس </w:t>
      </w:r>
      <w:r w:rsidR="0058246F">
        <w:rPr>
          <w:rFonts w:hint="cs"/>
          <w:b/>
          <w:bCs/>
          <w:rtl/>
        </w:rPr>
        <w:t xml:space="preserve">المالية </w:t>
      </w:r>
      <w:r w:rsidR="00CB6F0A" w:rsidRPr="0058246F">
        <w:rPr>
          <w:rFonts w:hint="cs"/>
          <w:b/>
          <w:bCs/>
          <w:rtl/>
        </w:rPr>
        <w:t xml:space="preserve">حتى نهاية عام 2012 ونهاية مارس </w:t>
      </w:r>
      <w:r w:rsidR="0058246F" w:rsidRPr="0058246F">
        <w:rPr>
          <w:rFonts w:hint="cs"/>
          <w:b/>
          <w:bCs/>
          <w:rtl/>
        </w:rPr>
        <w:t>2013</w:t>
      </w:r>
    </w:p>
    <w:p w:rsidR="0058246F" w:rsidRPr="0002105D" w:rsidRDefault="0058246F" w:rsidP="0002105D">
      <w:pPr>
        <w:pStyle w:val="NumberedParaAR"/>
        <w:keepNext/>
        <w:numPr>
          <w:ilvl w:val="0"/>
          <w:numId w:val="0"/>
        </w:numPr>
        <w:jc w:val="center"/>
        <w:rPr>
          <w:i/>
          <w:iCs/>
          <w:sz w:val="32"/>
          <w:szCs w:val="32"/>
          <w:rtl/>
        </w:rPr>
      </w:pPr>
      <w:r w:rsidRPr="0002105D">
        <w:rPr>
          <w:rFonts w:hint="cs"/>
          <w:i/>
          <w:iCs/>
          <w:sz w:val="32"/>
          <w:szCs w:val="32"/>
          <w:rtl/>
        </w:rPr>
        <w:t>(بملايين الفرنكات السويسرية)</w:t>
      </w:r>
    </w:p>
    <w:p w:rsidR="0002105D" w:rsidRPr="00671454" w:rsidRDefault="0076482F" w:rsidP="003E4169">
      <w:pPr>
        <w:bidi/>
        <w:jc w:val="center"/>
        <w:rPr>
          <w:rFonts w:ascii="Arabic Typesetting" w:hAnsi="Arabic Typesetting" w:cs="Arabic Typesetting"/>
          <w:sz w:val="32"/>
          <w:szCs w:val="32"/>
          <w:rtl/>
        </w:rPr>
      </w:pPr>
      <w:r w:rsidRPr="0076482F">
        <w:rPr>
          <w:noProof/>
          <w:szCs w:val="22"/>
          <w:rtl/>
        </w:rPr>
        <w:drawing>
          <wp:inline distT="0" distB="0" distL="0" distR="0" wp14:anchorId="35E6F562" wp14:editId="78608AF6">
            <wp:extent cx="5937006" cy="4506163"/>
            <wp:effectExtent l="0" t="0" r="698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508758"/>
                    </a:xfrm>
                    <a:prstGeom prst="rect">
                      <a:avLst/>
                    </a:prstGeom>
                    <a:noFill/>
                    <a:ln>
                      <a:noFill/>
                    </a:ln>
                  </pic:spPr>
                </pic:pic>
              </a:graphicData>
            </a:graphic>
          </wp:inline>
        </w:drawing>
      </w:r>
    </w:p>
    <w:p w:rsidR="0058246F" w:rsidRDefault="0058246F" w:rsidP="0002105D">
      <w:pPr>
        <w:jc w:val="center"/>
        <w:rPr>
          <w:rFonts w:ascii="Arabic Typesetting" w:hAnsi="Arabic Typesetting" w:cs="Arabic Typesetting"/>
          <w:sz w:val="36"/>
          <w:szCs w:val="36"/>
          <w:rtl/>
        </w:rPr>
      </w:pPr>
      <w:r>
        <w:rPr>
          <w:rtl/>
        </w:rPr>
        <w:br w:type="page"/>
      </w:r>
    </w:p>
    <w:p w:rsidR="0058246F" w:rsidRDefault="0058246F" w:rsidP="002A0675">
      <w:pPr>
        <w:pStyle w:val="NumberedParaAR"/>
      </w:pPr>
      <w:r>
        <w:rPr>
          <w:rFonts w:hint="cs"/>
          <w:rtl/>
        </w:rPr>
        <w:lastRenderedPageBreak/>
        <w:t xml:space="preserve">ويورد الجدول 2 </w:t>
      </w:r>
      <w:r w:rsidR="00107758">
        <w:rPr>
          <w:rFonts w:hint="cs"/>
          <w:rtl/>
        </w:rPr>
        <w:t>عرضا شاملا لوضع الويبو المالي فيما يخص ال</w:t>
      </w:r>
      <w:r>
        <w:rPr>
          <w:rFonts w:hint="cs"/>
          <w:rtl/>
        </w:rPr>
        <w:t>عام المنتهي في 31 ديسمبر</w:t>
      </w:r>
      <w:r w:rsidR="00107758">
        <w:rPr>
          <w:rFonts w:hint="cs"/>
          <w:rtl/>
        </w:rPr>
        <w:t xml:space="preserve"> 2012 وال</w:t>
      </w:r>
      <w:r>
        <w:rPr>
          <w:rFonts w:hint="cs"/>
          <w:rtl/>
        </w:rPr>
        <w:t>فترة التراكمية الممتدة من 1</w:t>
      </w:r>
      <w:r>
        <w:rPr>
          <w:rFonts w:hint="eastAsia"/>
          <w:rtl/>
        </w:rPr>
        <w:t> </w:t>
      </w:r>
      <w:r>
        <w:rPr>
          <w:rFonts w:hint="cs"/>
          <w:rtl/>
        </w:rPr>
        <w:t>يناير 2012 إلى 31 مارس 2013 (15 شهرا). كما يورد الجدول أر</w:t>
      </w:r>
      <w:r w:rsidR="00530B8C">
        <w:rPr>
          <w:rFonts w:hint="cs"/>
          <w:rtl/>
        </w:rPr>
        <w:t>قاما عن النفقات الخاصة بالمشروعات</w:t>
      </w:r>
      <w:r>
        <w:rPr>
          <w:rFonts w:hint="cs"/>
          <w:rtl/>
        </w:rPr>
        <w:t xml:space="preserve"> الممولة من أموال الويبو الاحتياطية </w:t>
      </w:r>
      <w:r w:rsidR="002A0675">
        <w:rPr>
          <w:rFonts w:hint="cs"/>
          <w:rtl/>
        </w:rPr>
        <w:t>مع التسويات ذات الصلة بناء على المعايير</w:t>
      </w:r>
      <w:r w:rsidR="00530B8C">
        <w:rPr>
          <w:rFonts w:hint="cs"/>
          <w:rtl/>
        </w:rPr>
        <w:t xml:space="preserve"> المحاسبية الدولية للقطاع العام</w:t>
      </w:r>
      <w:r w:rsidR="002A0675">
        <w:rPr>
          <w:rFonts w:hint="cs"/>
          <w:rtl/>
        </w:rPr>
        <w:t>.</w:t>
      </w:r>
      <w:r w:rsidR="00DF2DF9">
        <w:rPr>
          <w:rFonts w:hint="cs"/>
          <w:rtl/>
        </w:rPr>
        <w:t xml:space="preserve"> وهناك معلومات أيضا ب</w:t>
      </w:r>
      <w:r w:rsidR="001E2AB7">
        <w:rPr>
          <w:rFonts w:hint="cs"/>
          <w:rtl/>
        </w:rPr>
        <w:t>شأن الأموال الاحتياطية ورؤوس الأم</w:t>
      </w:r>
      <w:r w:rsidR="00DF2DF9">
        <w:rPr>
          <w:rFonts w:hint="cs"/>
          <w:rtl/>
        </w:rPr>
        <w:t>وال العاملة (الاحتياطي).</w:t>
      </w:r>
    </w:p>
    <w:p w:rsidR="00DF2DF9" w:rsidRPr="00DF2DF9" w:rsidRDefault="00DF2DF9" w:rsidP="003504C3">
      <w:pPr>
        <w:pStyle w:val="NumberedParaAR"/>
        <w:keepNext/>
        <w:numPr>
          <w:ilvl w:val="0"/>
          <w:numId w:val="0"/>
        </w:numPr>
        <w:spacing w:after="0"/>
        <w:jc w:val="center"/>
        <w:rPr>
          <w:b/>
          <w:bCs/>
          <w:rtl/>
        </w:rPr>
      </w:pPr>
      <w:r w:rsidRPr="00DF2DF9">
        <w:rPr>
          <w:rFonts w:hint="cs"/>
          <w:b/>
          <w:bCs/>
          <w:rtl/>
        </w:rPr>
        <w:t>الجدول 2. الوضع المالي العام حتى نهاية عام 2012 ونهاية مارس 2013</w:t>
      </w:r>
    </w:p>
    <w:p w:rsidR="00DF2DF9" w:rsidRPr="003504C3" w:rsidRDefault="00DF2DF9" w:rsidP="003504C3">
      <w:pPr>
        <w:pStyle w:val="NumberedParaAR"/>
        <w:keepNext/>
        <w:numPr>
          <w:ilvl w:val="0"/>
          <w:numId w:val="0"/>
        </w:numPr>
        <w:jc w:val="center"/>
        <w:rPr>
          <w:i/>
          <w:iCs/>
          <w:sz w:val="32"/>
          <w:szCs w:val="32"/>
          <w:rtl/>
        </w:rPr>
      </w:pPr>
      <w:r w:rsidRPr="003504C3">
        <w:rPr>
          <w:rFonts w:hint="cs"/>
          <w:i/>
          <w:iCs/>
          <w:sz w:val="32"/>
          <w:szCs w:val="32"/>
          <w:rtl/>
        </w:rPr>
        <w:t>(بملايين الفرنكات السويسرية)</w:t>
      </w:r>
    </w:p>
    <w:p w:rsidR="00755B17" w:rsidRPr="00DF2DF9" w:rsidRDefault="003504C3" w:rsidP="003504C3">
      <w:pPr>
        <w:pStyle w:val="NumberedParaAR"/>
        <w:numPr>
          <w:ilvl w:val="0"/>
          <w:numId w:val="0"/>
        </w:numPr>
        <w:spacing w:after="0" w:line="240" w:lineRule="auto"/>
        <w:jc w:val="center"/>
        <w:rPr>
          <w:b/>
          <w:bCs/>
          <w:rtl/>
        </w:rPr>
      </w:pPr>
      <w:r w:rsidRPr="003504C3">
        <w:rPr>
          <w:noProof/>
          <w:rtl/>
        </w:rPr>
        <w:drawing>
          <wp:inline distT="0" distB="0" distL="0" distR="0" wp14:anchorId="2AC001D2" wp14:editId="231291E8">
            <wp:extent cx="5940425" cy="43329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332975"/>
                    </a:xfrm>
                    <a:prstGeom prst="rect">
                      <a:avLst/>
                    </a:prstGeom>
                    <a:noFill/>
                    <a:ln>
                      <a:noFill/>
                    </a:ln>
                  </pic:spPr>
                </pic:pic>
              </a:graphicData>
            </a:graphic>
          </wp:inline>
        </w:drawing>
      </w:r>
    </w:p>
    <w:p w:rsidR="00DF2DF9" w:rsidRDefault="00DF2DF9">
      <w:pPr>
        <w:rPr>
          <w:rFonts w:ascii="Arabic Typesetting" w:hAnsi="Arabic Typesetting" w:cs="Arabic Typesetting"/>
          <w:sz w:val="36"/>
          <w:szCs w:val="36"/>
          <w:rtl/>
        </w:rPr>
      </w:pPr>
      <w:r>
        <w:rPr>
          <w:rtl/>
        </w:rPr>
        <w:br w:type="page"/>
      </w:r>
    </w:p>
    <w:p w:rsidR="0099615A" w:rsidRDefault="00DF2DF9" w:rsidP="0099615A">
      <w:pPr>
        <w:pStyle w:val="NumberedParaAR"/>
      </w:pPr>
      <w:r>
        <w:rPr>
          <w:rFonts w:hint="cs"/>
          <w:rtl/>
        </w:rPr>
        <w:lastRenderedPageBreak/>
        <w:t xml:space="preserve">ويعرض الجدول 3 الأرقام الخاصة </w:t>
      </w:r>
      <w:r w:rsidR="00107758">
        <w:rPr>
          <w:rFonts w:hint="cs"/>
          <w:rtl/>
        </w:rPr>
        <w:t>بمستوى استخدام الميزانية بحسب كل برنامج فيما يخص العام المنتهي في 31</w:t>
      </w:r>
      <w:r w:rsidR="00107758">
        <w:rPr>
          <w:rFonts w:hint="eastAsia"/>
          <w:rtl/>
        </w:rPr>
        <w:t> </w:t>
      </w:r>
      <w:r w:rsidR="00107758">
        <w:rPr>
          <w:rFonts w:hint="cs"/>
          <w:rtl/>
        </w:rPr>
        <w:t xml:space="preserve">ديسمبر 2012 والفترة التراكمية الممتدة </w:t>
      </w:r>
      <w:r w:rsidR="000A1617">
        <w:rPr>
          <w:rFonts w:hint="cs"/>
          <w:rtl/>
        </w:rPr>
        <w:t>حتى</w:t>
      </w:r>
      <w:r w:rsidR="00107758">
        <w:rPr>
          <w:rFonts w:hint="cs"/>
          <w:rtl/>
        </w:rPr>
        <w:t xml:space="preserve"> 31 مارس 2013. أمّا الجدول 4 فيورد الأرقام الأولية لعام 2012 بحسب كل اتحاد (الاتحادات الممول</w:t>
      </w:r>
      <w:r w:rsidR="00B24099">
        <w:rPr>
          <w:rFonts w:hint="cs"/>
          <w:rtl/>
        </w:rPr>
        <w:t>ة</w:t>
      </w:r>
      <w:r w:rsidR="00107758">
        <w:rPr>
          <w:rFonts w:hint="cs"/>
          <w:rtl/>
        </w:rPr>
        <w:t xml:space="preserve"> من الاشتراك</w:t>
      </w:r>
      <w:r w:rsidR="00284055">
        <w:rPr>
          <w:rFonts w:hint="cs"/>
          <w:rtl/>
        </w:rPr>
        <w:t xml:space="preserve">ات واتحاد </w:t>
      </w:r>
      <w:r w:rsidR="00A97CCD">
        <w:rPr>
          <w:rFonts w:hint="cs"/>
          <w:rtl/>
        </w:rPr>
        <w:t>معاهدة التعاون بشأن البراءات</w:t>
      </w:r>
      <w:r w:rsidR="00284055">
        <w:rPr>
          <w:rFonts w:hint="cs"/>
          <w:rtl/>
        </w:rPr>
        <w:t xml:space="preserve"> </w:t>
      </w:r>
      <w:r w:rsidR="00107758">
        <w:rPr>
          <w:rFonts w:hint="cs"/>
          <w:rtl/>
        </w:rPr>
        <w:t>واتحاد لاهاي واتحاد لشبونة)</w:t>
      </w:r>
    </w:p>
    <w:p w:rsidR="0099615A" w:rsidRPr="0099615A" w:rsidRDefault="0099615A" w:rsidP="0099615A">
      <w:pPr>
        <w:pStyle w:val="NumberedParaAR"/>
        <w:keepNext/>
        <w:numPr>
          <w:ilvl w:val="0"/>
          <w:numId w:val="0"/>
        </w:numPr>
        <w:spacing w:after="0"/>
        <w:jc w:val="center"/>
        <w:rPr>
          <w:b/>
          <w:bCs/>
          <w:rtl/>
        </w:rPr>
      </w:pPr>
      <w:r w:rsidRPr="0099615A">
        <w:rPr>
          <w:rFonts w:hint="cs"/>
          <w:b/>
          <w:bCs/>
          <w:rtl/>
        </w:rPr>
        <w:t xml:space="preserve">الجدول </w:t>
      </w:r>
      <w:r w:rsidR="005C6C65">
        <w:rPr>
          <w:rFonts w:hint="cs"/>
          <w:b/>
          <w:bCs/>
          <w:rtl/>
        </w:rPr>
        <w:t>3.</w:t>
      </w:r>
      <w:r w:rsidRPr="0099615A">
        <w:rPr>
          <w:rFonts w:hint="cs"/>
          <w:b/>
          <w:bCs/>
          <w:rtl/>
        </w:rPr>
        <w:t xml:space="preserve"> نفقات الثنائية 2012/13 بحسب البرامج</w:t>
      </w:r>
    </w:p>
    <w:p w:rsidR="0099615A" w:rsidRPr="0099615A" w:rsidRDefault="00B24099" w:rsidP="0099615A">
      <w:pPr>
        <w:pStyle w:val="NumberedParaAR"/>
        <w:keepNext/>
        <w:numPr>
          <w:ilvl w:val="0"/>
          <w:numId w:val="0"/>
        </w:numPr>
        <w:jc w:val="center"/>
        <w:rPr>
          <w:i/>
          <w:iCs/>
          <w:sz w:val="32"/>
          <w:szCs w:val="32"/>
          <w:rtl/>
        </w:rPr>
      </w:pPr>
      <w:r>
        <w:rPr>
          <w:rFonts w:hint="cs"/>
          <w:i/>
          <w:iCs/>
          <w:sz w:val="32"/>
          <w:szCs w:val="32"/>
          <w:rtl/>
        </w:rPr>
        <w:t>(بآلاف</w:t>
      </w:r>
      <w:r w:rsidR="0099615A" w:rsidRPr="003504C3">
        <w:rPr>
          <w:rFonts w:hint="cs"/>
          <w:i/>
          <w:iCs/>
          <w:sz w:val="32"/>
          <w:szCs w:val="32"/>
          <w:rtl/>
        </w:rPr>
        <w:t xml:space="preserve"> الفرنكات السويسرية)</w:t>
      </w:r>
    </w:p>
    <w:p w:rsidR="0099615A" w:rsidRDefault="00997BF5" w:rsidP="0099615A">
      <w:pPr>
        <w:pStyle w:val="NumberedParaAR"/>
        <w:numPr>
          <w:ilvl w:val="0"/>
          <w:numId w:val="0"/>
        </w:numPr>
        <w:spacing w:line="240" w:lineRule="auto"/>
        <w:rPr>
          <w:rtl/>
        </w:rPr>
      </w:pPr>
      <w:r w:rsidRPr="00997BF5">
        <w:rPr>
          <w:rFonts w:hint="cs"/>
          <w:noProof/>
          <w:rtl/>
        </w:rPr>
        <w:drawing>
          <wp:inline distT="0" distB="0" distL="0" distR="0" wp14:anchorId="1A74491A" wp14:editId="7A25196C">
            <wp:extent cx="5940425" cy="476367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763670"/>
                    </a:xfrm>
                    <a:prstGeom prst="rect">
                      <a:avLst/>
                    </a:prstGeom>
                    <a:noFill/>
                    <a:ln>
                      <a:noFill/>
                    </a:ln>
                  </pic:spPr>
                </pic:pic>
              </a:graphicData>
            </a:graphic>
          </wp:inline>
        </w:drawing>
      </w:r>
    </w:p>
    <w:p w:rsidR="00A644AF" w:rsidRPr="00A644AF" w:rsidRDefault="00A644AF" w:rsidP="00546948">
      <w:pPr>
        <w:pStyle w:val="NumberedParaAR"/>
        <w:keepNext/>
        <w:numPr>
          <w:ilvl w:val="0"/>
          <w:numId w:val="0"/>
        </w:numPr>
        <w:spacing w:after="0"/>
        <w:jc w:val="center"/>
        <w:rPr>
          <w:b/>
          <w:bCs/>
          <w:rtl/>
        </w:rPr>
      </w:pPr>
      <w:r w:rsidRPr="00A644AF">
        <w:rPr>
          <w:b/>
          <w:bCs/>
          <w:rtl/>
        </w:rPr>
        <w:lastRenderedPageBreak/>
        <w:t xml:space="preserve">الجدول </w:t>
      </w:r>
      <w:r>
        <w:rPr>
          <w:rFonts w:hint="cs"/>
          <w:b/>
          <w:bCs/>
          <w:rtl/>
        </w:rPr>
        <w:t>4</w:t>
      </w:r>
      <w:r w:rsidR="005C6C65">
        <w:rPr>
          <w:rFonts w:hint="cs"/>
          <w:b/>
          <w:bCs/>
          <w:rtl/>
        </w:rPr>
        <w:t xml:space="preserve">. </w:t>
      </w:r>
      <w:r>
        <w:rPr>
          <w:rFonts w:hint="cs"/>
          <w:b/>
          <w:bCs/>
          <w:rtl/>
        </w:rPr>
        <w:t>النتائج الأولية</w:t>
      </w:r>
      <w:r w:rsidR="00CF1CF4">
        <w:rPr>
          <w:rFonts w:hint="cs"/>
          <w:b/>
          <w:bCs/>
          <w:rtl/>
        </w:rPr>
        <w:t xml:space="preserve"> </w:t>
      </w:r>
      <w:r w:rsidRPr="00A644AF">
        <w:rPr>
          <w:b/>
          <w:bCs/>
          <w:rtl/>
        </w:rPr>
        <w:t>بحسب البرامج</w:t>
      </w:r>
      <w:r w:rsidR="00546948">
        <w:rPr>
          <w:rFonts w:hint="cs"/>
          <w:b/>
          <w:bCs/>
          <w:rtl/>
        </w:rPr>
        <w:t xml:space="preserve"> حتى نهاية عام 2012</w:t>
      </w:r>
    </w:p>
    <w:p w:rsidR="0099615A" w:rsidRPr="00A644AF" w:rsidRDefault="00546948" w:rsidP="00A644AF">
      <w:pPr>
        <w:pStyle w:val="NumberedParaAR"/>
        <w:keepNext/>
        <w:numPr>
          <w:ilvl w:val="0"/>
          <w:numId w:val="0"/>
        </w:numPr>
        <w:jc w:val="center"/>
        <w:rPr>
          <w:i/>
          <w:iCs/>
          <w:sz w:val="32"/>
          <w:szCs w:val="32"/>
          <w:rtl/>
        </w:rPr>
      </w:pPr>
      <w:r>
        <w:rPr>
          <w:i/>
          <w:iCs/>
          <w:sz w:val="32"/>
          <w:szCs w:val="32"/>
          <w:rtl/>
        </w:rPr>
        <w:t>(ب</w:t>
      </w:r>
      <w:r>
        <w:rPr>
          <w:rFonts w:hint="cs"/>
          <w:i/>
          <w:iCs/>
          <w:sz w:val="32"/>
          <w:szCs w:val="32"/>
          <w:rtl/>
        </w:rPr>
        <w:t>آلاف</w:t>
      </w:r>
      <w:r w:rsidR="00A644AF" w:rsidRPr="00A644AF">
        <w:rPr>
          <w:i/>
          <w:iCs/>
          <w:sz w:val="32"/>
          <w:szCs w:val="32"/>
          <w:rtl/>
        </w:rPr>
        <w:t xml:space="preserve"> الفرنكات السويسرية)</w:t>
      </w:r>
    </w:p>
    <w:p w:rsidR="00A644AF" w:rsidRDefault="00CF1CF4" w:rsidP="00A644AF">
      <w:pPr>
        <w:pStyle w:val="NumberedParaAR"/>
        <w:numPr>
          <w:ilvl w:val="0"/>
          <w:numId w:val="0"/>
        </w:numPr>
        <w:spacing w:line="240" w:lineRule="auto"/>
        <w:rPr>
          <w:rtl/>
        </w:rPr>
      </w:pPr>
      <w:r w:rsidRPr="00CF1CF4">
        <w:rPr>
          <w:rFonts w:hint="cs"/>
          <w:noProof/>
          <w:rtl/>
        </w:rPr>
        <w:drawing>
          <wp:inline distT="0" distB="0" distL="0" distR="0" wp14:anchorId="7C4D402A" wp14:editId="3AA375BB">
            <wp:extent cx="5940425" cy="2298118"/>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298118"/>
                    </a:xfrm>
                    <a:prstGeom prst="rect">
                      <a:avLst/>
                    </a:prstGeom>
                    <a:noFill/>
                    <a:ln>
                      <a:noFill/>
                    </a:ln>
                  </pic:spPr>
                </pic:pic>
              </a:graphicData>
            </a:graphic>
          </wp:inline>
        </w:drawing>
      </w:r>
    </w:p>
    <w:p w:rsidR="00D3363E" w:rsidRDefault="00D3363E">
      <w:pPr>
        <w:rPr>
          <w:rFonts w:ascii="Arabic Typesetting" w:hAnsi="Arabic Typesetting" w:cs="Arabic Typesetting"/>
          <w:sz w:val="36"/>
          <w:szCs w:val="36"/>
          <w:rtl/>
        </w:rPr>
      </w:pPr>
      <w:r>
        <w:rPr>
          <w:rtl/>
        </w:rPr>
        <w:br w:type="page"/>
      </w:r>
    </w:p>
    <w:p w:rsidR="00DF2DF9" w:rsidRDefault="00107758" w:rsidP="00546948">
      <w:pPr>
        <w:pStyle w:val="NumberedParaAR"/>
      </w:pPr>
      <w:r>
        <w:rPr>
          <w:rFonts w:hint="cs"/>
          <w:rtl/>
        </w:rPr>
        <w:lastRenderedPageBreak/>
        <w:t xml:space="preserve">ويورد الجدول </w:t>
      </w:r>
      <w:r w:rsidR="00546948">
        <w:rPr>
          <w:rFonts w:hint="cs"/>
          <w:rtl/>
        </w:rPr>
        <w:t xml:space="preserve">5 </w:t>
      </w:r>
      <w:r>
        <w:rPr>
          <w:rFonts w:hint="cs"/>
          <w:rtl/>
        </w:rPr>
        <w:t xml:space="preserve">عرضا شاملا </w:t>
      </w:r>
      <w:r w:rsidR="0067213C">
        <w:rPr>
          <w:rFonts w:hint="cs"/>
          <w:rtl/>
        </w:rPr>
        <w:t>لموظفي الويبو العاملين (الموظفون المعيّنون في وظائف مصرح بها في الميزانية و</w:t>
      </w:r>
      <w:r w:rsidR="002777B7">
        <w:rPr>
          <w:rFonts w:hint="cs"/>
          <w:rtl/>
        </w:rPr>
        <w:t xml:space="preserve">الموظفون </w:t>
      </w:r>
      <w:r w:rsidR="00546948">
        <w:rPr>
          <w:rFonts w:hint="cs"/>
          <w:rtl/>
        </w:rPr>
        <w:t>العاملون ب</w:t>
      </w:r>
      <w:r w:rsidR="0067213C">
        <w:rPr>
          <w:rFonts w:hint="cs"/>
          <w:rtl/>
        </w:rPr>
        <w:t xml:space="preserve">عقود قصيرة الأجل </w:t>
      </w:r>
      <w:r w:rsidR="001D7D15">
        <w:rPr>
          <w:rFonts w:hint="cs"/>
          <w:rtl/>
        </w:rPr>
        <w:t>و</w:t>
      </w:r>
      <w:r w:rsidR="0067213C">
        <w:rPr>
          <w:rFonts w:hint="cs"/>
          <w:rtl/>
        </w:rPr>
        <w:t>عقود مؤقتة) حتى نهاية عام 2012 وحتى نهاية مارس 2013.</w:t>
      </w:r>
    </w:p>
    <w:p w:rsidR="00CA3DF3" w:rsidRPr="008A18AC" w:rsidRDefault="0067213C" w:rsidP="008A18AC">
      <w:pPr>
        <w:pStyle w:val="NumberedParaAR"/>
        <w:keepNext/>
        <w:numPr>
          <w:ilvl w:val="0"/>
          <w:numId w:val="0"/>
        </w:numPr>
        <w:jc w:val="center"/>
        <w:rPr>
          <w:b/>
          <w:bCs/>
          <w:rtl/>
        </w:rPr>
      </w:pPr>
      <w:r w:rsidRPr="008A18AC">
        <w:rPr>
          <w:rFonts w:hint="cs"/>
          <w:b/>
          <w:bCs/>
          <w:rtl/>
        </w:rPr>
        <w:t xml:space="preserve">الجدول 5. </w:t>
      </w:r>
      <w:r w:rsidR="002777B7" w:rsidRPr="008A18AC">
        <w:rPr>
          <w:rFonts w:hint="cs"/>
          <w:b/>
          <w:bCs/>
          <w:rtl/>
        </w:rPr>
        <w:t>الوظائف و</w:t>
      </w:r>
      <w:r w:rsidR="00CA3DF3" w:rsidRPr="008A18AC">
        <w:rPr>
          <w:rFonts w:hint="cs"/>
          <w:b/>
          <w:bCs/>
          <w:rtl/>
        </w:rPr>
        <w:t>الموظفون العاملون بحسب البرامج</w:t>
      </w:r>
    </w:p>
    <w:p w:rsidR="008A18AC" w:rsidRDefault="008A18AC" w:rsidP="008A18AC">
      <w:pPr>
        <w:pStyle w:val="NumberedParaAR"/>
        <w:numPr>
          <w:ilvl w:val="0"/>
          <w:numId w:val="0"/>
        </w:numPr>
        <w:spacing w:line="240" w:lineRule="auto"/>
        <w:rPr>
          <w:rtl/>
        </w:rPr>
      </w:pPr>
      <w:r w:rsidRPr="008A18AC">
        <w:rPr>
          <w:noProof/>
          <w:rtl/>
        </w:rPr>
        <w:drawing>
          <wp:inline distT="0" distB="0" distL="0" distR="0" wp14:anchorId="2BE8651F" wp14:editId="0D7C161B">
            <wp:extent cx="5940425" cy="5345896"/>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5345896"/>
                    </a:xfrm>
                    <a:prstGeom prst="rect">
                      <a:avLst/>
                    </a:prstGeom>
                    <a:noFill/>
                    <a:ln>
                      <a:noFill/>
                    </a:ln>
                  </pic:spPr>
                </pic:pic>
              </a:graphicData>
            </a:graphic>
          </wp:inline>
        </w:drawing>
      </w:r>
    </w:p>
    <w:p w:rsidR="008A18AC" w:rsidRPr="008A18AC" w:rsidRDefault="008A18AC" w:rsidP="008A18AC">
      <w:pPr>
        <w:pStyle w:val="EndofDocumentAR"/>
        <w:rPr>
          <w:rtl/>
        </w:rPr>
      </w:pPr>
      <w:r>
        <w:rPr>
          <w:rFonts w:hint="cs"/>
          <w:rtl/>
        </w:rPr>
        <w:t>[نهاية الوثيقة]</w:t>
      </w:r>
    </w:p>
    <w:sectPr w:rsidR="008A18AC" w:rsidRPr="008A18AC" w:rsidSect="00EB7752">
      <w:headerReference w:type="default" r:id="rId1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B7" w:rsidRDefault="001E2AB7">
      <w:r>
        <w:separator/>
      </w:r>
    </w:p>
  </w:endnote>
  <w:endnote w:type="continuationSeparator" w:id="0">
    <w:p w:rsidR="001E2AB7" w:rsidRDefault="001E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B7" w:rsidRDefault="001E2AB7" w:rsidP="009622BF">
      <w:pPr>
        <w:bidi/>
      </w:pPr>
      <w:bookmarkStart w:id="0" w:name="OLE_LINK1"/>
      <w:bookmarkStart w:id="1" w:name="OLE_LINK2"/>
      <w:r>
        <w:separator/>
      </w:r>
      <w:bookmarkEnd w:id="0"/>
      <w:bookmarkEnd w:id="1"/>
    </w:p>
  </w:footnote>
  <w:footnote w:type="continuationSeparator" w:id="0">
    <w:p w:rsidR="001E2AB7" w:rsidRDefault="001E2AB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B7" w:rsidRDefault="001E2AB7" w:rsidP="000717BF">
    <w:r>
      <w:t>WO/PBC/20/INF 1</w:t>
    </w:r>
  </w:p>
  <w:p w:rsidR="001E2AB7" w:rsidRDefault="001E2AB7" w:rsidP="00D61541">
    <w:r>
      <w:fldChar w:fldCharType="begin"/>
    </w:r>
    <w:r>
      <w:instrText xml:space="preserve"> PAGE  \* MERGEFORMAT </w:instrText>
    </w:r>
    <w:r>
      <w:fldChar w:fldCharType="separate"/>
    </w:r>
    <w:r w:rsidR="00B03B61">
      <w:rPr>
        <w:noProof/>
      </w:rPr>
      <w:t>6</w:t>
    </w:r>
    <w:r>
      <w:fldChar w:fldCharType="end"/>
    </w:r>
  </w:p>
  <w:p w:rsidR="001E2AB7" w:rsidRDefault="001E2AB7"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54"/>
    <w:rsid w:val="00002CBE"/>
    <w:rsid w:val="00003232"/>
    <w:rsid w:val="000033DA"/>
    <w:rsid w:val="00004911"/>
    <w:rsid w:val="0000579F"/>
    <w:rsid w:val="000074D1"/>
    <w:rsid w:val="000076BD"/>
    <w:rsid w:val="00010481"/>
    <w:rsid w:val="00010671"/>
    <w:rsid w:val="000114E2"/>
    <w:rsid w:val="00013347"/>
    <w:rsid w:val="00013D73"/>
    <w:rsid w:val="000142E1"/>
    <w:rsid w:val="000146BD"/>
    <w:rsid w:val="00014B68"/>
    <w:rsid w:val="0001645D"/>
    <w:rsid w:val="00017A43"/>
    <w:rsid w:val="0002105D"/>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39BA"/>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1617"/>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758"/>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554"/>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D15"/>
    <w:rsid w:val="001E1043"/>
    <w:rsid w:val="001E10E1"/>
    <w:rsid w:val="001E175F"/>
    <w:rsid w:val="001E19F7"/>
    <w:rsid w:val="001E2669"/>
    <w:rsid w:val="001E2AB7"/>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7B7"/>
    <w:rsid w:val="002806F8"/>
    <w:rsid w:val="002810B5"/>
    <w:rsid w:val="00281F4F"/>
    <w:rsid w:val="00284055"/>
    <w:rsid w:val="00286744"/>
    <w:rsid w:val="002909B9"/>
    <w:rsid w:val="00292CEE"/>
    <w:rsid w:val="00292D22"/>
    <w:rsid w:val="0029470D"/>
    <w:rsid w:val="00297B80"/>
    <w:rsid w:val="002A0675"/>
    <w:rsid w:val="002A076C"/>
    <w:rsid w:val="002A1059"/>
    <w:rsid w:val="002A3C9D"/>
    <w:rsid w:val="002A5403"/>
    <w:rsid w:val="002A6C9F"/>
    <w:rsid w:val="002A77F3"/>
    <w:rsid w:val="002B14F0"/>
    <w:rsid w:val="002B1E4D"/>
    <w:rsid w:val="002B1F0F"/>
    <w:rsid w:val="002B53D3"/>
    <w:rsid w:val="002B6202"/>
    <w:rsid w:val="002B76B9"/>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4C3"/>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16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801"/>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0B8C"/>
    <w:rsid w:val="00534AF0"/>
    <w:rsid w:val="00535060"/>
    <w:rsid w:val="00535738"/>
    <w:rsid w:val="005409EB"/>
    <w:rsid w:val="00540F30"/>
    <w:rsid w:val="00541DD2"/>
    <w:rsid w:val="00543A63"/>
    <w:rsid w:val="00543AB5"/>
    <w:rsid w:val="005457CF"/>
    <w:rsid w:val="00545976"/>
    <w:rsid w:val="0054660F"/>
    <w:rsid w:val="00546948"/>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46F"/>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6C65"/>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454"/>
    <w:rsid w:val="00671AED"/>
    <w:rsid w:val="0067213C"/>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6BB4"/>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17"/>
    <w:rsid w:val="00757105"/>
    <w:rsid w:val="00757B82"/>
    <w:rsid w:val="0076281A"/>
    <w:rsid w:val="00762ADE"/>
    <w:rsid w:val="0076365D"/>
    <w:rsid w:val="007642DC"/>
    <w:rsid w:val="0076482F"/>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313"/>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8AC"/>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7B1"/>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615A"/>
    <w:rsid w:val="009975CA"/>
    <w:rsid w:val="00997BF5"/>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4AF"/>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CCD"/>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1"/>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099"/>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469"/>
    <w:rsid w:val="00B64888"/>
    <w:rsid w:val="00B672E3"/>
    <w:rsid w:val="00B675F9"/>
    <w:rsid w:val="00B70849"/>
    <w:rsid w:val="00B72C1C"/>
    <w:rsid w:val="00B73BB7"/>
    <w:rsid w:val="00B751C3"/>
    <w:rsid w:val="00B768C4"/>
    <w:rsid w:val="00B76C0D"/>
    <w:rsid w:val="00B77D0D"/>
    <w:rsid w:val="00B80817"/>
    <w:rsid w:val="00B80AD9"/>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C45"/>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DF3"/>
    <w:rsid w:val="00CA4503"/>
    <w:rsid w:val="00CA5A66"/>
    <w:rsid w:val="00CA651B"/>
    <w:rsid w:val="00CA796A"/>
    <w:rsid w:val="00CB2575"/>
    <w:rsid w:val="00CB3677"/>
    <w:rsid w:val="00CB368F"/>
    <w:rsid w:val="00CB4C42"/>
    <w:rsid w:val="00CB4DFA"/>
    <w:rsid w:val="00CB6F0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1CF4"/>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63E"/>
    <w:rsid w:val="00D3482C"/>
    <w:rsid w:val="00D3664C"/>
    <w:rsid w:val="00D3683A"/>
    <w:rsid w:val="00D379C5"/>
    <w:rsid w:val="00D37C36"/>
    <w:rsid w:val="00D40559"/>
    <w:rsid w:val="00D405B8"/>
    <w:rsid w:val="00D41493"/>
    <w:rsid w:val="00D4200A"/>
    <w:rsid w:val="00D4241D"/>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DF9"/>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3EB2"/>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F403-1176-4351-AE6D-3A9D9B59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WO_PBC_20_AR.dotx</Template>
  <TotalTime>352</TotalTime>
  <Pages>6</Pages>
  <Words>424</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WO/PBC/20/INF 1 (Arabic)</vt:lpstr>
    </vt:vector>
  </TitlesOfParts>
  <Company>World Intellectual Property Organization</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WO/PBC/20/INF 1 (Arabic)</dc:title>
  <dc:creator>وثيقة من إعداد الأمانة</dc:creator>
  <cp:lastModifiedBy>MERZOUK Fawzi</cp:lastModifiedBy>
  <cp:revision>34</cp:revision>
  <cp:lastPrinted>2013-06-21T14:26:00Z</cp:lastPrinted>
  <dcterms:created xsi:type="dcterms:W3CDTF">2013-06-20T07:46:00Z</dcterms:created>
  <dcterms:modified xsi:type="dcterms:W3CDTF">2013-06-21T14:26:00Z</dcterms:modified>
</cp:coreProperties>
</file>