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B20FBE"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B20FBE" w:rsidRDefault="00772E46" w:rsidP="00246E87">
            <w:pPr>
              <w:bidi/>
              <w:spacing w:after="20"/>
              <w:rPr>
                <w:rFonts w:ascii="Arabic Typesetting" w:hAnsi="Arabic Typesetting" w:cs="Arabic Typesetting"/>
                <w:sz w:val="36"/>
                <w:szCs w:val="36"/>
                <w:rtl/>
              </w:rPr>
            </w:pPr>
            <w:r w:rsidRPr="00B20FBE">
              <w:rPr>
                <w:noProof/>
              </w:rPr>
              <w:drawing>
                <wp:inline distT="0" distB="0" distL="0" distR="0" wp14:anchorId="17C1606D" wp14:editId="709CE0F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B20FBE" w:rsidRDefault="001667B6" w:rsidP="001667B6">
            <w:pPr>
              <w:rPr>
                <w:b/>
                <w:bCs/>
                <w:sz w:val="40"/>
                <w:szCs w:val="40"/>
              </w:rPr>
            </w:pPr>
            <w:r w:rsidRPr="00B20FBE">
              <w:rPr>
                <w:b/>
                <w:bCs/>
                <w:sz w:val="40"/>
                <w:szCs w:val="40"/>
              </w:rPr>
              <w:t>A</w:t>
            </w:r>
          </w:p>
        </w:tc>
      </w:tr>
      <w:tr w:rsidR="001667B6" w:rsidRPr="00B20FBE" w:rsidTr="00B6101C">
        <w:trPr>
          <w:trHeight w:val="333"/>
        </w:trPr>
        <w:tc>
          <w:tcPr>
            <w:tcW w:w="9571" w:type="dxa"/>
            <w:gridSpan w:val="3"/>
            <w:tcBorders>
              <w:top w:val="single" w:sz="4" w:space="0" w:color="auto"/>
            </w:tcBorders>
            <w:vAlign w:val="bottom"/>
          </w:tcPr>
          <w:p w:rsidR="00B6101C" w:rsidRPr="00B20FBE" w:rsidRDefault="00772E46" w:rsidP="00DF2F30">
            <w:pPr>
              <w:pStyle w:val="DocumentCodeAR"/>
              <w:bidi/>
            </w:pPr>
            <w:r w:rsidRPr="00B20FBE">
              <w:t>WO/</w:t>
            </w:r>
            <w:r w:rsidR="0059089F" w:rsidRPr="00B20FBE">
              <w:t>GA</w:t>
            </w:r>
            <w:r w:rsidR="00100F97" w:rsidRPr="00B20FBE">
              <w:t>/</w:t>
            </w:r>
            <w:r w:rsidR="009B48E3" w:rsidRPr="00B20FBE">
              <w:t>4</w:t>
            </w:r>
            <w:r w:rsidR="001E574D" w:rsidRPr="00B20FBE">
              <w:t>9</w:t>
            </w:r>
            <w:r w:rsidR="00B6101C" w:rsidRPr="00B20FBE">
              <w:t>/</w:t>
            </w:r>
            <w:r w:rsidR="00DF2F30" w:rsidRPr="00B20FBE">
              <w:t>8</w:t>
            </w:r>
          </w:p>
        </w:tc>
      </w:tr>
      <w:tr w:rsidR="001667B6" w:rsidRPr="00B20FBE" w:rsidTr="00BF164F">
        <w:tc>
          <w:tcPr>
            <w:tcW w:w="9571" w:type="dxa"/>
            <w:gridSpan w:val="3"/>
          </w:tcPr>
          <w:p w:rsidR="001667B6" w:rsidRPr="00B20FBE" w:rsidRDefault="00B6101C" w:rsidP="00DF2F30">
            <w:pPr>
              <w:pStyle w:val="DocumentLanguageAR"/>
              <w:bidi/>
              <w:rPr>
                <w:rtl/>
              </w:rPr>
            </w:pPr>
            <w:r w:rsidRPr="00B20FBE">
              <w:rPr>
                <w:rFonts w:hint="cs"/>
                <w:rtl/>
              </w:rPr>
              <w:t xml:space="preserve">الأصل: </w:t>
            </w:r>
            <w:proofErr w:type="gramStart"/>
            <w:r w:rsidR="00DF2F30" w:rsidRPr="00B20FBE">
              <w:rPr>
                <w:rFonts w:hint="cs"/>
                <w:rtl/>
              </w:rPr>
              <w:t>بالإنكليزية</w:t>
            </w:r>
            <w:proofErr w:type="gramEnd"/>
          </w:p>
        </w:tc>
      </w:tr>
      <w:tr w:rsidR="001667B6" w:rsidRPr="00B20FBE" w:rsidTr="00BF164F">
        <w:tc>
          <w:tcPr>
            <w:tcW w:w="9571" w:type="dxa"/>
            <w:gridSpan w:val="3"/>
          </w:tcPr>
          <w:p w:rsidR="001667B6" w:rsidRPr="00B20FBE" w:rsidRDefault="00B6101C" w:rsidP="00DF2F30">
            <w:pPr>
              <w:pStyle w:val="DocumentDateAR"/>
              <w:bidi/>
              <w:rPr>
                <w:rtl/>
              </w:rPr>
            </w:pPr>
            <w:r w:rsidRPr="00B20FBE">
              <w:rPr>
                <w:rFonts w:hint="cs"/>
                <w:rtl/>
              </w:rPr>
              <w:t xml:space="preserve">التاريخ: </w:t>
            </w:r>
            <w:r w:rsidR="00DF2F30" w:rsidRPr="00B20FBE">
              <w:rPr>
                <w:rFonts w:hint="cs"/>
                <w:rtl/>
              </w:rPr>
              <w:t xml:space="preserve">3 </w:t>
            </w:r>
            <w:proofErr w:type="gramStart"/>
            <w:r w:rsidR="00DF2F30" w:rsidRPr="00B20FBE">
              <w:rPr>
                <w:rFonts w:hint="cs"/>
                <w:rtl/>
              </w:rPr>
              <w:t>يوليو</w:t>
            </w:r>
            <w:proofErr w:type="gramEnd"/>
            <w:r w:rsidRPr="00B20FBE">
              <w:rPr>
                <w:rFonts w:hint="cs"/>
                <w:rtl/>
              </w:rPr>
              <w:t xml:space="preserve"> </w:t>
            </w:r>
            <w:r w:rsidR="001E574D" w:rsidRPr="00B20FBE">
              <w:rPr>
                <w:rFonts w:hint="cs"/>
                <w:rtl/>
              </w:rPr>
              <w:t>2017</w:t>
            </w:r>
          </w:p>
        </w:tc>
      </w:tr>
    </w:tbl>
    <w:p w:rsidR="000F5E56" w:rsidRPr="00B20FBE" w:rsidRDefault="000F5E56" w:rsidP="001667B6">
      <w:pPr>
        <w:bidi/>
        <w:spacing w:line="360" w:lineRule="exact"/>
        <w:rPr>
          <w:rFonts w:ascii="Arabic Typesetting" w:hAnsi="Arabic Typesetting" w:cs="Arabic Typesetting"/>
          <w:sz w:val="36"/>
          <w:szCs w:val="36"/>
          <w:rtl/>
        </w:rPr>
      </w:pPr>
    </w:p>
    <w:p w:rsidR="001667B6" w:rsidRPr="00B20FBE" w:rsidRDefault="001667B6" w:rsidP="001667B6">
      <w:pPr>
        <w:bidi/>
        <w:spacing w:line="360" w:lineRule="exact"/>
        <w:rPr>
          <w:rFonts w:ascii="Arabic Typesetting" w:hAnsi="Arabic Typesetting" w:cs="Arabic Typesetting"/>
          <w:sz w:val="36"/>
          <w:szCs w:val="36"/>
          <w:rtl/>
        </w:rPr>
      </w:pPr>
    </w:p>
    <w:p w:rsidR="00F27305" w:rsidRPr="00B20FBE" w:rsidRDefault="00F27305" w:rsidP="00F27305">
      <w:pPr>
        <w:bidi/>
        <w:spacing w:line="360" w:lineRule="exact"/>
        <w:rPr>
          <w:rFonts w:ascii="Arabic Typesetting" w:hAnsi="Arabic Typesetting" w:cs="Arabic Typesetting"/>
          <w:sz w:val="36"/>
          <w:szCs w:val="36"/>
          <w:rtl/>
        </w:rPr>
      </w:pPr>
    </w:p>
    <w:p w:rsidR="001667B6" w:rsidRPr="00B20FBE" w:rsidRDefault="0059089F" w:rsidP="000D7BA7">
      <w:pPr>
        <w:pStyle w:val="MeetingTitleAR"/>
        <w:bidi/>
        <w:ind w:right="550"/>
        <w:rPr>
          <w:rtl/>
          <w:lang w:val="fr-CH"/>
        </w:rPr>
      </w:pPr>
      <w:r w:rsidRPr="00B20FBE">
        <w:rPr>
          <w:rFonts w:hint="cs"/>
          <w:rtl/>
          <w:lang w:val="fr-CH"/>
        </w:rPr>
        <w:t>الجمعية العامة للويبو</w:t>
      </w:r>
    </w:p>
    <w:p w:rsidR="001667B6" w:rsidRPr="00B20FBE" w:rsidRDefault="001667B6" w:rsidP="001667B6">
      <w:pPr>
        <w:bidi/>
        <w:spacing w:line="360" w:lineRule="exact"/>
        <w:rPr>
          <w:rFonts w:ascii="Arabic Typesetting" w:hAnsi="Arabic Typesetting" w:cs="Arabic Typesetting"/>
          <w:sz w:val="36"/>
          <w:szCs w:val="36"/>
          <w:rtl/>
        </w:rPr>
      </w:pPr>
    </w:p>
    <w:p w:rsidR="001667B6" w:rsidRPr="00B20FBE" w:rsidRDefault="0059089F" w:rsidP="001E574D">
      <w:pPr>
        <w:pStyle w:val="MeetingSessionAR"/>
        <w:bidi/>
        <w:rPr>
          <w:rFonts w:ascii="Cambria Math" w:hAnsi="Cambria Math"/>
          <w:rtl/>
        </w:rPr>
      </w:pPr>
      <w:r w:rsidRPr="00B20FBE">
        <w:rPr>
          <w:rFonts w:ascii="Cambria Math" w:hAnsi="Cambria Math"/>
          <w:rtl/>
        </w:rPr>
        <w:t xml:space="preserve">الدورة </w:t>
      </w:r>
      <w:r w:rsidR="001E574D" w:rsidRPr="00B20FBE">
        <w:rPr>
          <w:rFonts w:ascii="Cambria Math" w:hAnsi="Cambria Math" w:hint="cs"/>
          <w:rtl/>
        </w:rPr>
        <w:t>التاسعة</w:t>
      </w:r>
      <w:r w:rsidR="00F03C3E" w:rsidRPr="00B20FBE">
        <w:rPr>
          <w:rFonts w:ascii="Cambria Math" w:hAnsi="Cambria Math" w:hint="cs"/>
          <w:rtl/>
        </w:rPr>
        <w:t xml:space="preserve"> </w:t>
      </w:r>
      <w:r w:rsidRPr="00B20FBE">
        <w:rPr>
          <w:rFonts w:ascii="Cambria Math" w:hAnsi="Cambria Math"/>
          <w:rtl/>
        </w:rPr>
        <w:t xml:space="preserve">والأربعون (الدورة </w:t>
      </w:r>
      <w:r w:rsidR="001E574D" w:rsidRPr="00B20FBE">
        <w:rPr>
          <w:rFonts w:ascii="Cambria Math" w:hAnsi="Cambria Math" w:hint="cs"/>
          <w:rtl/>
        </w:rPr>
        <w:t>العادية</w:t>
      </w:r>
      <w:r w:rsidR="009B48E3" w:rsidRPr="00B20FBE">
        <w:rPr>
          <w:rFonts w:ascii="Cambria Math" w:hAnsi="Cambria Math" w:hint="cs"/>
          <w:rtl/>
        </w:rPr>
        <w:t xml:space="preserve"> </w:t>
      </w:r>
      <w:r w:rsidR="001E574D" w:rsidRPr="00B20FBE">
        <w:rPr>
          <w:rFonts w:ascii="Cambria Math" w:hAnsi="Cambria Math" w:hint="cs"/>
          <w:rtl/>
        </w:rPr>
        <w:t>الثالثة</w:t>
      </w:r>
      <w:r w:rsidR="00F03C3E" w:rsidRPr="00B20FBE">
        <w:rPr>
          <w:rFonts w:ascii="Cambria Math" w:hAnsi="Cambria Math" w:hint="cs"/>
          <w:rtl/>
        </w:rPr>
        <w:t xml:space="preserve"> </w:t>
      </w:r>
      <w:proofErr w:type="gramStart"/>
      <w:r w:rsidRPr="00B20FBE">
        <w:rPr>
          <w:rFonts w:ascii="Cambria Math" w:hAnsi="Cambria Math"/>
          <w:rtl/>
        </w:rPr>
        <w:t>والعشرون</w:t>
      </w:r>
      <w:proofErr w:type="gramEnd"/>
      <w:r w:rsidRPr="00B20FBE">
        <w:rPr>
          <w:rFonts w:ascii="Cambria Math" w:hAnsi="Cambria Math"/>
          <w:rtl/>
        </w:rPr>
        <w:t>)</w:t>
      </w:r>
    </w:p>
    <w:p w:rsidR="00D61541" w:rsidRPr="00B20FBE" w:rsidRDefault="00D61541" w:rsidP="001E574D">
      <w:pPr>
        <w:pStyle w:val="MeetingDatesAR"/>
        <w:bidi/>
        <w:rPr>
          <w:rtl/>
        </w:rPr>
      </w:pPr>
      <w:r w:rsidRPr="00B20FBE">
        <w:rPr>
          <w:rFonts w:hint="cs"/>
          <w:rtl/>
        </w:rPr>
        <w:t xml:space="preserve">جنيف، </w:t>
      </w:r>
      <w:proofErr w:type="gramStart"/>
      <w:r w:rsidR="00A834F7" w:rsidRPr="00B20FBE">
        <w:rPr>
          <w:rFonts w:hint="cs"/>
          <w:rtl/>
        </w:rPr>
        <w:t>من</w:t>
      </w:r>
      <w:proofErr w:type="gramEnd"/>
      <w:r w:rsidR="00A834F7" w:rsidRPr="00B20FBE">
        <w:rPr>
          <w:rFonts w:hint="cs"/>
          <w:rtl/>
        </w:rPr>
        <w:t xml:space="preserve"> </w:t>
      </w:r>
      <w:r w:rsidR="001E574D" w:rsidRPr="00B20FBE">
        <w:rPr>
          <w:rFonts w:hint="cs"/>
          <w:rtl/>
        </w:rPr>
        <w:t>2 إلى 11 أكتوبر 2017</w:t>
      </w:r>
    </w:p>
    <w:p w:rsidR="00D61541" w:rsidRPr="00B20FBE" w:rsidRDefault="00D61541" w:rsidP="00D61541">
      <w:pPr>
        <w:bidi/>
        <w:spacing w:line="360" w:lineRule="exact"/>
        <w:rPr>
          <w:rFonts w:ascii="Arabic Typesetting" w:hAnsi="Arabic Typesetting" w:cs="Arabic Typesetting"/>
          <w:sz w:val="36"/>
          <w:szCs w:val="36"/>
          <w:rtl/>
        </w:rPr>
      </w:pPr>
    </w:p>
    <w:p w:rsidR="00D61541" w:rsidRPr="00B20FBE" w:rsidRDefault="00D61541" w:rsidP="00D61541">
      <w:pPr>
        <w:bidi/>
        <w:spacing w:line="360" w:lineRule="exact"/>
        <w:rPr>
          <w:rFonts w:ascii="Arabic Typesetting" w:hAnsi="Arabic Typesetting" w:cs="Arabic Typesetting"/>
          <w:sz w:val="36"/>
          <w:szCs w:val="36"/>
          <w:rtl/>
        </w:rPr>
      </w:pPr>
    </w:p>
    <w:p w:rsidR="00D61541" w:rsidRPr="00B20FBE" w:rsidRDefault="00DF2F30" w:rsidP="00FB7EC9">
      <w:pPr>
        <w:pStyle w:val="DocumentTitleAR"/>
        <w:bidi/>
        <w:rPr>
          <w:rtl/>
        </w:rPr>
      </w:pPr>
      <w:r w:rsidRPr="00B20FBE">
        <w:rPr>
          <w:rtl/>
        </w:rPr>
        <w:t>مسائل تتعلق بالدعوة إلى عقد مؤتمر دبلوماسي لاعتماد معاهدة بشأن قانون التصاميم</w:t>
      </w:r>
    </w:p>
    <w:p w:rsidR="00D61541" w:rsidRPr="00B20FBE" w:rsidRDefault="00DF2F30" w:rsidP="00931859">
      <w:pPr>
        <w:pStyle w:val="PreparedbyAR"/>
        <w:bidi/>
        <w:rPr>
          <w:rtl/>
        </w:rPr>
      </w:pPr>
      <w:proofErr w:type="gramStart"/>
      <w:r w:rsidRPr="00B20FBE">
        <w:rPr>
          <w:rtl/>
        </w:rPr>
        <w:t>وثيقة</w:t>
      </w:r>
      <w:proofErr w:type="gramEnd"/>
      <w:r w:rsidRPr="00B20FBE">
        <w:rPr>
          <w:rtl/>
        </w:rPr>
        <w:t xml:space="preserve"> من إعداد الأمانة</w:t>
      </w:r>
    </w:p>
    <w:p w:rsidR="00D61541" w:rsidRPr="00B20FBE" w:rsidRDefault="00DF2F30" w:rsidP="002D293A">
      <w:pPr>
        <w:pStyle w:val="NumberedParaAR"/>
      </w:pPr>
      <w:r w:rsidRPr="00B20FBE">
        <w:rPr>
          <w:rtl/>
        </w:rPr>
        <w:t>وافقت الجمعية العامة للمنظمة العالمية للملكية الفكرية (الويبو)، في دورتها السابعة والأربعين (الدورة ال</w:t>
      </w:r>
      <w:r w:rsidRPr="00B20FBE">
        <w:rPr>
          <w:rFonts w:hint="cs"/>
          <w:rtl/>
        </w:rPr>
        <w:t>عاد</w:t>
      </w:r>
      <w:r w:rsidRPr="00B20FBE">
        <w:rPr>
          <w:rtl/>
        </w:rPr>
        <w:t xml:space="preserve">ية الثانية والعشرين)، المنعقدة في جنيف من 5 إلى 14 أكتوبر 2015، على ما يلي (انظر الفقرة 123 </w:t>
      </w:r>
      <w:r w:rsidRPr="00B20FBE">
        <w:rPr>
          <w:rFonts w:hint="cs"/>
          <w:rtl/>
        </w:rPr>
        <w:t xml:space="preserve">من </w:t>
      </w:r>
      <w:r w:rsidRPr="00B20FBE">
        <w:rPr>
          <w:rtl/>
        </w:rPr>
        <w:t>الوثيقة</w:t>
      </w:r>
      <w:r w:rsidR="002D293A" w:rsidRPr="00B20FBE">
        <w:t> </w:t>
      </w:r>
      <w:r w:rsidRPr="00B20FBE">
        <w:t>WO/GA/47/19</w:t>
      </w:r>
      <w:r w:rsidRPr="00B20FBE">
        <w:rPr>
          <w:rtl/>
        </w:rPr>
        <w:t>)</w:t>
      </w:r>
      <w:r w:rsidRPr="00B20FBE">
        <w:rPr>
          <w:rStyle w:val="FootnoteReference"/>
          <w:rtl/>
        </w:rPr>
        <w:footnoteReference w:id="1"/>
      </w:r>
      <w:r w:rsidRPr="00B20FBE">
        <w:rPr>
          <w:rtl/>
        </w:rPr>
        <w:t>:</w:t>
      </w:r>
    </w:p>
    <w:p w:rsidR="00973758" w:rsidRPr="00B20FBE" w:rsidRDefault="00973758" w:rsidP="00973758">
      <w:pPr>
        <w:pStyle w:val="NormalParaAR"/>
        <w:ind w:left="567"/>
        <w:rPr>
          <w:rtl/>
        </w:rPr>
      </w:pPr>
      <w:r w:rsidRPr="00B20FBE">
        <w:rPr>
          <w:rtl/>
        </w:rPr>
        <w:t>"على أن تتولى لجنة العلامات استكمال نص الاقتراح الأساسي لمعاهدة قانون التصاميم في دورتيها الرابعة والثلاثين والخامسة والثلاثين؛</w:t>
      </w:r>
    </w:p>
    <w:p w:rsidR="00973758" w:rsidRPr="00B20FBE" w:rsidRDefault="00973758" w:rsidP="00973758">
      <w:pPr>
        <w:pStyle w:val="NormalParaAR"/>
        <w:ind w:left="567"/>
        <w:rPr>
          <w:rtl/>
        </w:rPr>
      </w:pPr>
      <w:r w:rsidRPr="00B20FBE">
        <w:rPr>
          <w:rtl/>
        </w:rPr>
        <w:t>"1" على ألا يُدعى إلى الانعقاد مؤتمر دبلوماسي لاعتماد معاهدة قانون التصاميم في نهاية النصف الأول من عام 2017 إلا إذا انتهت المناقشات حول المساعدة التقنية والكشف أثناء دورتي اللجنة الرابعة والثلاثين والخامسة والثلاثين؛</w:t>
      </w:r>
    </w:p>
    <w:p w:rsidR="00973758" w:rsidRPr="00B20FBE" w:rsidRDefault="00973758" w:rsidP="00973758">
      <w:pPr>
        <w:pStyle w:val="NormalParaAR"/>
        <w:ind w:left="567"/>
        <w:rPr>
          <w:rtl/>
        </w:rPr>
      </w:pPr>
      <w:r w:rsidRPr="00B20FBE">
        <w:rPr>
          <w:rtl/>
        </w:rPr>
        <w:t>"2" وعلى أن تتولى لجنة العلامات استكمال نص الاقتراح الأساسي لمعاهدة قانون التصاميم في دورتيها الرابعة والثلاثين والخامسة والثلاثين؛</w:t>
      </w:r>
    </w:p>
    <w:p w:rsidR="00CB79E4" w:rsidRPr="00B20FBE" w:rsidRDefault="00973758" w:rsidP="00973758">
      <w:pPr>
        <w:pStyle w:val="NormalParaAR"/>
        <w:ind w:left="567"/>
      </w:pPr>
      <w:r w:rsidRPr="00B20FBE">
        <w:rPr>
          <w:rtl/>
        </w:rPr>
        <w:t xml:space="preserve">"3" </w:t>
      </w:r>
      <w:proofErr w:type="gramStart"/>
      <w:r w:rsidRPr="00B20FBE">
        <w:rPr>
          <w:rtl/>
        </w:rPr>
        <w:t>وعلى</w:t>
      </w:r>
      <w:proofErr w:type="gramEnd"/>
      <w:r w:rsidRPr="00B20FBE">
        <w:rPr>
          <w:rtl/>
        </w:rPr>
        <w:t xml:space="preserve"> أن يُبت في زمان ومكان انعقاد المؤتمر الدبلوماسي، إن تقرر عقده في نهاية النصف الأول من عام 2017، في لجنة تحضيرية تنعقد بعد الدورة الخامسة والثلاثين مباشرة."</w:t>
      </w:r>
    </w:p>
    <w:p w:rsidR="004B357D" w:rsidRPr="00B20FBE" w:rsidRDefault="00973758" w:rsidP="00973758">
      <w:pPr>
        <w:pStyle w:val="NumberedParaAR"/>
      </w:pPr>
      <w:r w:rsidRPr="00B20FBE">
        <w:rPr>
          <w:rFonts w:hint="cs"/>
          <w:rtl/>
        </w:rPr>
        <w:t>و</w:t>
      </w:r>
      <w:r w:rsidRPr="00B20FBE">
        <w:rPr>
          <w:rtl/>
        </w:rPr>
        <w:t>واصلت اللجنة الدائمة المعنية بقانون العلامات التجارية والتصاميم الصناعية والمؤشرات الجغرافية (اللجنة)، في دورت</w:t>
      </w:r>
      <w:r w:rsidRPr="00B20FBE">
        <w:rPr>
          <w:rFonts w:hint="cs"/>
          <w:rtl/>
        </w:rPr>
        <w:t>يها</w:t>
      </w:r>
      <w:r w:rsidRPr="00B20FBE">
        <w:rPr>
          <w:rtl/>
        </w:rPr>
        <w:t xml:space="preserve"> الرابعة والثلاث</w:t>
      </w:r>
      <w:r w:rsidRPr="00B20FBE">
        <w:rPr>
          <w:rFonts w:hint="cs"/>
          <w:rtl/>
        </w:rPr>
        <w:t>ي</w:t>
      </w:r>
      <w:r w:rsidRPr="00B20FBE">
        <w:rPr>
          <w:rtl/>
        </w:rPr>
        <w:t>ن (من 16 إلى 18 نوفمبر 2015) والخامسة والثلاث</w:t>
      </w:r>
      <w:r w:rsidRPr="00B20FBE">
        <w:rPr>
          <w:rFonts w:hint="cs"/>
          <w:rtl/>
        </w:rPr>
        <w:t>ي</w:t>
      </w:r>
      <w:r w:rsidRPr="00B20FBE">
        <w:rPr>
          <w:rtl/>
        </w:rPr>
        <w:t xml:space="preserve">ن (من 25 إلى 27 أبريل 2016)، المناقشات </w:t>
      </w:r>
      <w:r w:rsidRPr="00B20FBE">
        <w:rPr>
          <w:rtl/>
        </w:rPr>
        <w:lastRenderedPageBreak/>
        <w:t>حول نص الاقتراح الأساسي لمعاهدة قانون التصاميم</w:t>
      </w:r>
      <w:r w:rsidRPr="00B20FBE">
        <w:rPr>
          <w:rFonts w:hint="cs"/>
          <w:rtl/>
        </w:rPr>
        <w:t xml:space="preserve">، </w:t>
      </w:r>
      <w:r w:rsidRPr="00B20FBE">
        <w:rPr>
          <w:rtl/>
        </w:rPr>
        <w:t>بغية وضع صيغة نهائية للنص، وفقا للولاية التي أناطتها الجمعية العامة</w:t>
      </w:r>
      <w:r w:rsidRPr="00B20FBE">
        <w:rPr>
          <w:rFonts w:hint="cs"/>
          <w:rtl/>
        </w:rPr>
        <w:t> </w:t>
      </w:r>
      <w:r w:rsidRPr="00B20FBE">
        <w:rPr>
          <w:rtl/>
        </w:rPr>
        <w:t>للوي</w:t>
      </w:r>
      <w:r w:rsidRPr="00B20FBE">
        <w:rPr>
          <w:rFonts w:hint="cs"/>
          <w:rtl/>
        </w:rPr>
        <w:t>بو.</w:t>
      </w:r>
    </w:p>
    <w:p w:rsidR="009B48E3" w:rsidRPr="00B20FBE" w:rsidRDefault="00973758" w:rsidP="00B9432C">
      <w:pPr>
        <w:pStyle w:val="NumberedParaAR"/>
      </w:pPr>
      <w:proofErr w:type="gramStart"/>
      <w:r w:rsidRPr="00B20FBE">
        <w:rPr>
          <w:rtl/>
        </w:rPr>
        <w:t>وفي</w:t>
      </w:r>
      <w:proofErr w:type="gramEnd"/>
      <w:r w:rsidRPr="00B20FBE">
        <w:rPr>
          <w:rtl/>
        </w:rPr>
        <w:t xml:space="preserve"> نهاية الدورة الخامسة والثلاثين للجنة، خلص الرئيس إلى أن عددا من الوفود رأت أن عمل اللجنة يُعد كافيا لاعتبار الاقتراح الأساسي </w:t>
      </w:r>
      <w:r w:rsidR="00A06B47" w:rsidRPr="00B20FBE">
        <w:rPr>
          <w:rFonts w:hint="cs"/>
          <w:rtl/>
        </w:rPr>
        <w:t xml:space="preserve">(الوارد في الوثيقتين </w:t>
      </w:r>
      <w:r w:rsidR="00A06B47" w:rsidRPr="00B20FBE">
        <w:t>SCT/35/2</w:t>
      </w:r>
      <w:r w:rsidR="00A06B47" w:rsidRPr="00B20FBE">
        <w:rPr>
          <w:rFonts w:hint="cs"/>
          <w:rtl/>
        </w:rPr>
        <w:t xml:space="preserve"> و</w:t>
      </w:r>
      <w:r w:rsidR="00A06B47" w:rsidRPr="00B20FBE">
        <w:t>SCT/35/3</w:t>
      </w:r>
      <w:r w:rsidR="00A06B47" w:rsidRPr="00B20FBE">
        <w:rPr>
          <w:rFonts w:hint="cs"/>
          <w:rtl/>
        </w:rPr>
        <w:t>)</w:t>
      </w:r>
      <w:r w:rsidR="00A06B47" w:rsidRPr="00B20FBE">
        <w:t xml:space="preserve"> </w:t>
      </w:r>
      <w:r w:rsidRPr="00B20FBE">
        <w:rPr>
          <w:rtl/>
        </w:rPr>
        <w:t>مستكملا.</w:t>
      </w:r>
      <w:r w:rsidR="00BD50AF" w:rsidRPr="00B20FBE">
        <w:rPr>
          <w:rFonts w:hint="cs"/>
          <w:rtl/>
        </w:rPr>
        <w:t xml:space="preserve"> </w:t>
      </w:r>
      <w:proofErr w:type="gramStart"/>
      <w:r w:rsidR="00BD50AF" w:rsidRPr="00B20FBE">
        <w:rPr>
          <w:rtl/>
        </w:rPr>
        <w:t>ورأت</w:t>
      </w:r>
      <w:proofErr w:type="gramEnd"/>
      <w:r w:rsidR="00BD50AF" w:rsidRPr="00B20FBE">
        <w:rPr>
          <w:rtl/>
        </w:rPr>
        <w:t xml:space="preserve"> وفود أخرى أن عمل اللجنة يمثّل مبرّرا كافيا لاستكمال الاقتراح الأساسي وأن هناك بضعة عناصر ما زالت تتطلب مزيدا من العمل</w:t>
      </w:r>
      <w:r w:rsidR="00BD50AF" w:rsidRPr="00B20FBE">
        <w:rPr>
          <w:rFonts w:hint="cs"/>
          <w:rtl/>
        </w:rPr>
        <w:t xml:space="preserve">. </w:t>
      </w:r>
      <w:proofErr w:type="gramStart"/>
      <w:r w:rsidR="00BD50AF" w:rsidRPr="00B20FBE">
        <w:rPr>
          <w:rtl/>
        </w:rPr>
        <w:t>ورأت</w:t>
      </w:r>
      <w:proofErr w:type="gramEnd"/>
      <w:r w:rsidR="00BD50AF" w:rsidRPr="00B20FBE">
        <w:rPr>
          <w:rtl/>
        </w:rPr>
        <w:t xml:space="preserve"> وفود أخرى أن عمل اللجنة لا يُعد كافيا لاستكمال الاقتراح الأساسي (انظر الفقرة 7 من الوثيقة </w:t>
      </w:r>
      <w:r w:rsidR="00BD50AF" w:rsidRPr="00B20FBE">
        <w:t>SCT/35/7</w:t>
      </w:r>
      <w:r w:rsidR="00BD50AF" w:rsidRPr="00B20FBE">
        <w:rPr>
          <w:rtl/>
        </w:rPr>
        <w:t>).</w:t>
      </w:r>
    </w:p>
    <w:p w:rsidR="00BD50AF" w:rsidRPr="00B20FBE" w:rsidRDefault="00BD50AF" w:rsidP="00736AE6">
      <w:pPr>
        <w:pStyle w:val="NumberedParaAR"/>
      </w:pPr>
      <w:r w:rsidRPr="00B20FBE">
        <w:rPr>
          <w:rtl/>
        </w:rPr>
        <w:t>وفيما يتعلق بالمس</w:t>
      </w:r>
      <w:r w:rsidRPr="00B20FBE">
        <w:rPr>
          <w:rFonts w:hint="cs"/>
          <w:rtl/>
        </w:rPr>
        <w:t>ألتين</w:t>
      </w:r>
      <w:r w:rsidRPr="00B20FBE">
        <w:rPr>
          <w:rtl/>
        </w:rPr>
        <w:t xml:space="preserve"> ال</w:t>
      </w:r>
      <w:r w:rsidRPr="00B20FBE">
        <w:rPr>
          <w:rFonts w:hint="cs"/>
          <w:rtl/>
        </w:rPr>
        <w:t>ل</w:t>
      </w:r>
      <w:r w:rsidRPr="00B20FBE">
        <w:rPr>
          <w:rtl/>
        </w:rPr>
        <w:t>تي</w:t>
      </w:r>
      <w:r w:rsidRPr="00B20FBE">
        <w:rPr>
          <w:rFonts w:hint="cs"/>
          <w:rtl/>
        </w:rPr>
        <w:t>ن</w:t>
      </w:r>
      <w:r w:rsidRPr="00B20FBE">
        <w:rPr>
          <w:rtl/>
        </w:rPr>
        <w:t xml:space="preserve"> حددته</w:t>
      </w:r>
      <w:r w:rsidRPr="00B20FBE">
        <w:rPr>
          <w:rFonts w:hint="cs"/>
          <w:rtl/>
        </w:rPr>
        <w:t>م</w:t>
      </w:r>
      <w:r w:rsidRPr="00B20FBE">
        <w:rPr>
          <w:rtl/>
        </w:rPr>
        <w:t>ا الجمعية العامة للويبو عام 2015، و</w:t>
      </w:r>
      <w:r w:rsidRPr="00B20FBE">
        <w:rPr>
          <w:rFonts w:hint="cs"/>
          <w:rtl/>
        </w:rPr>
        <w:t xml:space="preserve">هما </w:t>
      </w:r>
      <w:r w:rsidRPr="00B20FBE">
        <w:rPr>
          <w:rtl/>
        </w:rPr>
        <w:t>المساعدة الت</w:t>
      </w:r>
      <w:r w:rsidR="0014388A" w:rsidRPr="00B20FBE">
        <w:rPr>
          <w:rtl/>
        </w:rPr>
        <w:t>قنية وال</w:t>
      </w:r>
      <w:r w:rsidR="0014388A" w:rsidRPr="00B20FBE">
        <w:rPr>
          <w:rFonts w:hint="cs"/>
          <w:rtl/>
        </w:rPr>
        <w:t>كشف</w:t>
      </w:r>
      <w:r w:rsidRPr="00B20FBE">
        <w:rPr>
          <w:rtl/>
        </w:rPr>
        <w:t xml:space="preserve"> (انظر الفقرة</w:t>
      </w:r>
      <w:r w:rsidR="00736AE6" w:rsidRPr="00B20FBE">
        <w:t> </w:t>
      </w:r>
      <w:r w:rsidRPr="00B20FBE">
        <w:rPr>
          <w:rtl/>
        </w:rPr>
        <w:t>1</w:t>
      </w:r>
      <w:r w:rsidRPr="00B20FBE">
        <w:rPr>
          <w:rFonts w:hint="cs"/>
          <w:rtl/>
        </w:rPr>
        <w:t>"1"</w:t>
      </w:r>
      <w:r w:rsidRPr="00B20FBE">
        <w:rPr>
          <w:rtl/>
        </w:rPr>
        <w:t xml:space="preserve"> أعلاه)، ترد في المرفق الأحكام ذات الصلة من الاقتراح الأساسي</w:t>
      </w:r>
      <w:r w:rsidRPr="00B20FBE">
        <w:rPr>
          <w:rFonts w:hint="cs"/>
          <w:rtl/>
        </w:rPr>
        <w:t xml:space="preserve"> لتيسير الرجوع إليها</w:t>
      </w:r>
      <w:r w:rsidRPr="00B20FBE">
        <w:rPr>
          <w:rtl/>
        </w:rPr>
        <w:t>.</w:t>
      </w:r>
    </w:p>
    <w:p w:rsidR="00BD50AF" w:rsidRPr="00B20FBE" w:rsidRDefault="00BD50AF" w:rsidP="00BD50AF">
      <w:pPr>
        <w:pStyle w:val="NumberedParaAR"/>
      </w:pPr>
      <w:r w:rsidRPr="00B20FBE">
        <w:rPr>
          <w:rtl/>
        </w:rPr>
        <w:t>وفي دورتها الثامنة والأربعين (الدورة الاستثنائية السادسة والعشرين) المعقودة في جنيف في الفترة من 3 إلى 11 أكتوبر 2016</w:t>
      </w:r>
      <w:r w:rsidRPr="00B20FBE">
        <w:rPr>
          <w:rFonts w:hint="cs"/>
          <w:rtl/>
        </w:rPr>
        <w:t xml:space="preserve">، قررت </w:t>
      </w:r>
      <w:r w:rsidRPr="00B20FBE">
        <w:rPr>
          <w:rtl/>
        </w:rPr>
        <w:t>الجمعية العامة للويبو ما يلي:</w:t>
      </w:r>
    </w:p>
    <w:p w:rsidR="00BD50AF" w:rsidRPr="00B20FBE" w:rsidRDefault="00BD50AF" w:rsidP="006B210F">
      <w:pPr>
        <w:pStyle w:val="NumberedParaAR"/>
        <w:numPr>
          <w:ilvl w:val="0"/>
          <w:numId w:val="0"/>
        </w:numPr>
        <w:ind w:left="567"/>
        <w:rPr>
          <w:rtl/>
        </w:rPr>
      </w:pPr>
      <w:r w:rsidRPr="00B20FBE">
        <w:rPr>
          <w:rFonts w:hint="cs"/>
          <w:rtl/>
        </w:rPr>
        <w:t>"</w:t>
      </w:r>
      <w:r w:rsidRPr="00B20FBE">
        <w:rPr>
          <w:rtl/>
        </w:rPr>
        <w:t>أنها ستواصل، في دورتها المقبلة في أكتوبر 2017، النظر في الدعوة إلى عقد مؤتمر دبلوماسي بشأن معاهدة قانون التصاميم، يُنظَّم في نهاية النصف الأول من سنة 2018.</w:t>
      </w:r>
      <w:r w:rsidR="006B210F" w:rsidRPr="00B20FBE">
        <w:rPr>
          <w:rFonts w:hint="cs"/>
          <w:rtl/>
        </w:rPr>
        <w:t xml:space="preserve">(انظر </w:t>
      </w:r>
      <w:proofErr w:type="gramStart"/>
      <w:r w:rsidR="006B210F" w:rsidRPr="00B20FBE">
        <w:rPr>
          <w:rFonts w:hint="cs"/>
          <w:rtl/>
        </w:rPr>
        <w:t>الفقرة</w:t>
      </w:r>
      <w:proofErr w:type="gramEnd"/>
      <w:r w:rsidR="006B210F" w:rsidRPr="00B20FBE">
        <w:rPr>
          <w:rFonts w:hint="cs"/>
          <w:rtl/>
        </w:rPr>
        <w:t xml:space="preserve"> 146 من الوثيقة </w:t>
      </w:r>
      <w:r w:rsidR="006B210F" w:rsidRPr="00B20FBE">
        <w:t>WO/GA/48/17</w:t>
      </w:r>
      <w:r w:rsidR="006B210F" w:rsidRPr="00B20FBE">
        <w:rPr>
          <w:rFonts w:hint="cs"/>
          <w:rtl/>
        </w:rPr>
        <w:t>)</w:t>
      </w:r>
      <w:r w:rsidRPr="00B20FBE">
        <w:rPr>
          <w:rFonts w:hint="cs"/>
          <w:rtl/>
        </w:rPr>
        <w:t>"</w:t>
      </w:r>
      <w:r w:rsidR="006B210F" w:rsidRPr="00B20FBE">
        <w:rPr>
          <w:rFonts w:hint="cs"/>
          <w:rtl/>
        </w:rPr>
        <w:t>.</w:t>
      </w:r>
    </w:p>
    <w:p w:rsidR="006B210F" w:rsidRPr="00B20FBE" w:rsidRDefault="006B210F" w:rsidP="006B210F">
      <w:pPr>
        <w:pStyle w:val="NumberedParaAR"/>
      </w:pPr>
      <w:proofErr w:type="gramStart"/>
      <w:r w:rsidRPr="00B20FBE">
        <w:rPr>
          <w:rtl/>
        </w:rPr>
        <w:t>وعقب</w:t>
      </w:r>
      <w:proofErr w:type="gramEnd"/>
      <w:r w:rsidRPr="00B20FBE">
        <w:rPr>
          <w:rtl/>
        </w:rPr>
        <w:t xml:space="preserve"> ذلك القرار، عقدت اللجنة دورتين هما الدورة السادسة والثلاثين </w:t>
      </w:r>
      <w:r w:rsidRPr="00B20FBE">
        <w:rPr>
          <w:rFonts w:hint="cs"/>
          <w:rtl/>
        </w:rPr>
        <w:t>(</w:t>
      </w:r>
      <w:r w:rsidRPr="00B20FBE">
        <w:rPr>
          <w:rtl/>
        </w:rPr>
        <w:t>من 17 إلى 19 أكتوبر 2016</w:t>
      </w:r>
      <w:r w:rsidRPr="00B20FBE">
        <w:rPr>
          <w:rFonts w:hint="cs"/>
          <w:rtl/>
        </w:rPr>
        <w:t>) و</w:t>
      </w:r>
      <w:r w:rsidRPr="00B20FBE">
        <w:rPr>
          <w:rtl/>
        </w:rPr>
        <w:t>الدورة السا</w:t>
      </w:r>
      <w:r w:rsidRPr="00B20FBE">
        <w:rPr>
          <w:rFonts w:hint="cs"/>
          <w:rtl/>
        </w:rPr>
        <w:t>بع</w:t>
      </w:r>
      <w:r w:rsidRPr="00B20FBE">
        <w:rPr>
          <w:rtl/>
        </w:rPr>
        <w:t>ة والثلاثين</w:t>
      </w:r>
      <w:r w:rsidRPr="00B20FBE">
        <w:rPr>
          <w:rFonts w:hint="cs"/>
          <w:rtl/>
        </w:rPr>
        <w:t xml:space="preserve"> (</w:t>
      </w:r>
      <w:r w:rsidR="002D3EDC" w:rsidRPr="00B20FBE">
        <w:rPr>
          <w:rFonts w:hint="cs"/>
          <w:rtl/>
        </w:rPr>
        <w:t>من 27 إلى 30 مارس 2017</w:t>
      </w:r>
      <w:r w:rsidRPr="00B20FBE">
        <w:rPr>
          <w:rFonts w:hint="cs"/>
          <w:rtl/>
        </w:rPr>
        <w:t>)</w:t>
      </w:r>
      <w:r w:rsidR="002D3EDC" w:rsidRPr="00B20FBE">
        <w:rPr>
          <w:rFonts w:hint="cs"/>
          <w:rtl/>
        </w:rPr>
        <w:t>.</w:t>
      </w:r>
    </w:p>
    <w:p w:rsidR="002D3EDC" w:rsidRPr="00B20FBE" w:rsidRDefault="002D3EDC" w:rsidP="002D3EDC">
      <w:pPr>
        <w:pStyle w:val="NumberedParaAR"/>
      </w:pPr>
      <w:r w:rsidRPr="00B20FBE">
        <w:rPr>
          <w:rtl/>
        </w:rPr>
        <w:t>وفي الدورة السادسة والثلاثين للجنة، خلص الرئيس</w:t>
      </w:r>
      <w:r w:rsidRPr="00B20FBE">
        <w:t xml:space="preserve"> </w:t>
      </w:r>
      <w:r w:rsidRPr="00B20FBE">
        <w:rPr>
          <w:rFonts w:hint="cs"/>
          <w:rtl/>
        </w:rPr>
        <w:t xml:space="preserve">إلى </w:t>
      </w:r>
      <w:r w:rsidRPr="00B20FBE">
        <w:rPr>
          <w:rtl/>
        </w:rPr>
        <w:t xml:space="preserve">"أنه ينبغي للجنة، بالرغم من بقاء معاهدة قانون التصاميم مطروحة على جدول أعمالها، الالتزام بقرار الجمعية العامة" </w:t>
      </w:r>
      <w:r w:rsidRPr="00B20FBE">
        <w:rPr>
          <w:rFonts w:hint="cs"/>
          <w:rtl/>
        </w:rPr>
        <w:t>(</w:t>
      </w:r>
      <w:r w:rsidRPr="00B20FBE">
        <w:rPr>
          <w:rtl/>
        </w:rPr>
        <w:t>انظر الفقرت</w:t>
      </w:r>
      <w:r w:rsidRPr="00B20FBE">
        <w:rPr>
          <w:rFonts w:hint="cs"/>
          <w:rtl/>
        </w:rPr>
        <w:t>ين</w:t>
      </w:r>
      <w:r w:rsidRPr="00B20FBE">
        <w:rPr>
          <w:rtl/>
        </w:rPr>
        <w:t xml:space="preserve"> 27 و28</w:t>
      </w:r>
      <w:r w:rsidRPr="00B20FBE">
        <w:rPr>
          <w:rFonts w:hint="cs"/>
          <w:rtl/>
        </w:rPr>
        <w:t xml:space="preserve"> من الوثيقة </w:t>
      </w:r>
      <w:r w:rsidRPr="00B20FBE">
        <w:t>SCT/36/6</w:t>
      </w:r>
      <w:r w:rsidRPr="00B20FBE">
        <w:rPr>
          <w:rtl/>
        </w:rPr>
        <w:t>)</w:t>
      </w:r>
      <w:r w:rsidRPr="00B20FBE">
        <w:rPr>
          <w:rFonts w:hint="cs"/>
          <w:rtl/>
        </w:rPr>
        <w:t>.</w:t>
      </w:r>
    </w:p>
    <w:p w:rsidR="002D3EDC" w:rsidRPr="00B20FBE" w:rsidRDefault="002D3EDC" w:rsidP="00B9432C">
      <w:pPr>
        <w:pStyle w:val="NumberedParaAR"/>
      </w:pPr>
      <w:proofErr w:type="gramStart"/>
      <w:r w:rsidRPr="00B20FBE">
        <w:rPr>
          <w:rtl/>
        </w:rPr>
        <w:t>وفي</w:t>
      </w:r>
      <w:proofErr w:type="gramEnd"/>
      <w:r w:rsidRPr="00B20FBE">
        <w:rPr>
          <w:rtl/>
        </w:rPr>
        <w:t xml:space="preserve"> الدورة </w:t>
      </w:r>
      <w:r w:rsidRPr="00B20FBE">
        <w:rPr>
          <w:rFonts w:hint="cs"/>
          <w:rtl/>
        </w:rPr>
        <w:t>السابعة</w:t>
      </w:r>
      <w:r w:rsidRPr="00B20FBE">
        <w:rPr>
          <w:rtl/>
        </w:rPr>
        <w:t xml:space="preserve"> والثلاثين للجنة</w:t>
      </w:r>
      <w:r w:rsidRPr="00B20FBE">
        <w:rPr>
          <w:rFonts w:hint="cs"/>
          <w:rtl/>
        </w:rPr>
        <w:t>،</w:t>
      </w:r>
      <w:r w:rsidRPr="00B20FBE">
        <w:rPr>
          <w:rtl/>
        </w:rPr>
        <w:t xml:space="preserve"> ذكّر الرئيس بالاستنتاج الذي خلص إليه في الدورة السادسة والثلاثين للجنة </w:t>
      </w:r>
      <w:proofErr w:type="spellStart"/>
      <w:r w:rsidR="00B9432C" w:rsidRPr="00B20FBE">
        <w:rPr>
          <w:rFonts w:hint="cs"/>
          <w:rtl/>
        </w:rPr>
        <w:t>و"</w:t>
      </w:r>
      <w:r w:rsidRPr="00B20FBE">
        <w:rPr>
          <w:rtl/>
        </w:rPr>
        <w:t>شجّع</w:t>
      </w:r>
      <w:proofErr w:type="spellEnd"/>
      <w:r w:rsidRPr="00B20FBE">
        <w:rPr>
          <w:rtl/>
        </w:rPr>
        <w:t xml:space="preserve"> الوفود على استغلال الوقت المتاح حتى الدورة المقبلة للجمعية العامة في أكتوبر 2017 لسدّ الفجوات المتبقية</w:t>
      </w:r>
      <w:r w:rsidR="00B9432C" w:rsidRPr="00B20FBE">
        <w:rPr>
          <w:rFonts w:hint="cs"/>
          <w:rtl/>
        </w:rPr>
        <w:t xml:space="preserve">" (انظر الفقرة 8 من الوثيقة </w:t>
      </w:r>
      <w:r w:rsidR="00B9432C" w:rsidRPr="00B20FBE">
        <w:t>SCT/37/8</w:t>
      </w:r>
      <w:r w:rsidR="00B9432C" w:rsidRPr="00B20FBE">
        <w:rPr>
          <w:rFonts w:hint="cs"/>
          <w:rtl/>
        </w:rPr>
        <w:t>)</w:t>
      </w:r>
      <w:r w:rsidRPr="00B20FBE">
        <w:rPr>
          <w:rtl/>
        </w:rPr>
        <w:t>.</w:t>
      </w:r>
    </w:p>
    <w:p w:rsidR="00B9432C" w:rsidRPr="00B20FBE" w:rsidRDefault="00B9432C" w:rsidP="00252462">
      <w:pPr>
        <w:pStyle w:val="DecisionParaAR"/>
      </w:pPr>
      <w:r w:rsidRPr="00B20FBE">
        <w:rPr>
          <w:rtl/>
        </w:rPr>
        <w:t>إن الجمعية العامة للويبو مدعوة إلى ما</w:t>
      </w:r>
      <w:r w:rsidR="00252462" w:rsidRPr="00B20FBE">
        <w:t> </w:t>
      </w:r>
      <w:r w:rsidRPr="00B20FBE">
        <w:rPr>
          <w:rtl/>
        </w:rPr>
        <w:t>يلي:</w:t>
      </w:r>
    </w:p>
    <w:p w:rsidR="00B9432C" w:rsidRPr="00B20FBE" w:rsidRDefault="00B9432C" w:rsidP="004F6977">
      <w:pPr>
        <w:pStyle w:val="DecisionParaAR"/>
        <w:numPr>
          <w:ilvl w:val="0"/>
          <w:numId w:val="0"/>
        </w:numPr>
        <w:ind w:left="5534"/>
      </w:pPr>
      <w:r w:rsidRPr="00B20FBE">
        <w:rPr>
          <w:rtl/>
        </w:rPr>
        <w:t>"1"</w:t>
      </w:r>
      <w:r w:rsidR="004F6977" w:rsidRPr="00B20FBE">
        <w:tab/>
      </w:r>
      <w:r w:rsidRPr="00B20FBE">
        <w:rPr>
          <w:rtl/>
        </w:rPr>
        <w:t xml:space="preserve">النظر في مضمون </w:t>
      </w:r>
      <w:proofErr w:type="gramStart"/>
      <w:r w:rsidRPr="00B20FBE">
        <w:rPr>
          <w:rtl/>
        </w:rPr>
        <w:t>هذه</w:t>
      </w:r>
      <w:proofErr w:type="gramEnd"/>
      <w:r w:rsidRPr="00B20FBE">
        <w:rPr>
          <w:rtl/>
        </w:rPr>
        <w:t xml:space="preserve"> الوثيقة؛</w:t>
      </w:r>
    </w:p>
    <w:p w:rsidR="00B9432C" w:rsidRPr="00B20FBE" w:rsidRDefault="00B9432C" w:rsidP="00000DDE">
      <w:pPr>
        <w:pStyle w:val="DecisionParaAR"/>
        <w:numPr>
          <w:ilvl w:val="0"/>
          <w:numId w:val="0"/>
        </w:numPr>
        <w:ind w:left="5534"/>
      </w:pPr>
      <w:r w:rsidRPr="00B20FBE">
        <w:rPr>
          <w:rtl/>
        </w:rPr>
        <w:t>"2"</w:t>
      </w:r>
      <w:r w:rsidR="004F6977" w:rsidRPr="00B20FBE">
        <w:tab/>
      </w:r>
      <w:r w:rsidRPr="00B20FBE">
        <w:rPr>
          <w:rtl/>
        </w:rPr>
        <w:t xml:space="preserve">البتّ في الدعوة إلى عقد مؤتمر دبلوماسي لاعتماد معاهدة بشأن قانون التصاميم في نهاية النصف الأول من عام </w:t>
      </w:r>
      <w:r w:rsidR="00000DDE" w:rsidRPr="00B20FBE">
        <w:rPr>
          <w:rFonts w:hint="cs"/>
          <w:rtl/>
        </w:rPr>
        <w:t>2018</w:t>
      </w:r>
      <w:r w:rsidRPr="00B20FBE">
        <w:rPr>
          <w:rtl/>
        </w:rPr>
        <w:t>، في تاريخ ومكان تقرّرهما لجنة تحضيرية.</w:t>
      </w:r>
    </w:p>
    <w:p w:rsidR="00B9432C" w:rsidRPr="00B20FBE" w:rsidRDefault="00B9432C" w:rsidP="00B9432C">
      <w:pPr>
        <w:pStyle w:val="EndofDocumentAR"/>
        <w:rPr>
          <w:rtl/>
        </w:rPr>
        <w:sectPr w:rsidR="00B9432C" w:rsidRPr="00B20FBE" w:rsidSect="00EB7752">
          <w:headerReference w:type="default" r:id="rId10"/>
          <w:footnotePr>
            <w:numFmt w:val="chicago"/>
          </w:footnotePr>
          <w:pgSz w:w="11907" w:h="16840" w:code="9"/>
          <w:pgMar w:top="567" w:right="1418" w:bottom="1418" w:left="1134" w:header="510" w:footer="1021" w:gutter="0"/>
          <w:cols w:space="720"/>
          <w:titlePg/>
          <w:docGrid w:linePitch="299"/>
        </w:sectPr>
      </w:pPr>
      <w:r w:rsidRPr="00B20FBE">
        <w:rPr>
          <w:rFonts w:hint="cs"/>
          <w:rtl/>
        </w:rPr>
        <w:t xml:space="preserve">[يلي ذلك </w:t>
      </w:r>
      <w:proofErr w:type="gramStart"/>
      <w:r w:rsidRPr="00B20FBE">
        <w:rPr>
          <w:rFonts w:hint="cs"/>
          <w:rtl/>
        </w:rPr>
        <w:t>المرفق</w:t>
      </w:r>
      <w:proofErr w:type="gramEnd"/>
      <w:r w:rsidRPr="00B20FBE">
        <w:rPr>
          <w:rFonts w:hint="cs"/>
          <w:rtl/>
        </w:rPr>
        <w:t>]</w:t>
      </w:r>
    </w:p>
    <w:p w:rsidR="00B9432C" w:rsidRPr="00B20FBE" w:rsidRDefault="00B9432C" w:rsidP="0014388A">
      <w:pPr>
        <w:pStyle w:val="NormalParaAR"/>
        <w:jc w:val="center"/>
        <w:rPr>
          <w:u w:val="single"/>
          <w:rtl/>
        </w:rPr>
      </w:pPr>
      <w:r w:rsidRPr="00B20FBE">
        <w:rPr>
          <w:rFonts w:hint="cs"/>
          <w:u w:val="single"/>
          <w:rtl/>
        </w:rPr>
        <w:lastRenderedPageBreak/>
        <w:t>مشروع الأحكام الم</w:t>
      </w:r>
      <w:r w:rsidRPr="00B20FBE">
        <w:rPr>
          <w:u w:val="single"/>
          <w:rtl/>
        </w:rPr>
        <w:t>تعلق</w:t>
      </w:r>
      <w:r w:rsidRPr="00B20FBE">
        <w:rPr>
          <w:rFonts w:hint="cs"/>
          <w:u w:val="single"/>
          <w:rtl/>
        </w:rPr>
        <w:t>ة</w:t>
      </w:r>
      <w:r w:rsidRPr="00B20FBE">
        <w:rPr>
          <w:u w:val="single"/>
          <w:rtl/>
        </w:rPr>
        <w:t xml:space="preserve"> بالمس</w:t>
      </w:r>
      <w:r w:rsidRPr="00B20FBE">
        <w:rPr>
          <w:rFonts w:hint="cs"/>
          <w:u w:val="single"/>
          <w:rtl/>
        </w:rPr>
        <w:t>ألتين</w:t>
      </w:r>
      <w:r w:rsidRPr="00B20FBE">
        <w:rPr>
          <w:u w:val="single"/>
          <w:rtl/>
        </w:rPr>
        <w:t xml:space="preserve"> ال</w:t>
      </w:r>
      <w:r w:rsidRPr="00B20FBE">
        <w:rPr>
          <w:rFonts w:hint="cs"/>
          <w:u w:val="single"/>
          <w:rtl/>
        </w:rPr>
        <w:t>ل</w:t>
      </w:r>
      <w:r w:rsidRPr="00B20FBE">
        <w:rPr>
          <w:u w:val="single"/>
          <w:rtl/>
        </w:rPr>
        <w:t>تي</w:t>
      </w:r>
      <w:r w:rsidRPr="00B20FBE">
        <w:rPr>
          <w:rFonts w:hint="cs"/>
          <w:u w:val="single"/>
          <w:rtl/>
        </w:rPr>
        <w:t>ن</w:t>
      </w:r>
      <w:r w:rsidRPr="00B20FBE">
        <w:rPr>
          <w:u w:val="single"/>
          <w:rtl/>
        </w:rPr>
        <w:t xml:space="preserve"> حددته</w:t>
      </w:r>
      <w:r w:rsidRPr="00B20FBE">
        <w:rPr>
          <w:rFonts w:hint="cs"/>
          <w:u w:val="single"/>
          <w:rtl/>
        </w:rPr>
        <w:t>م</w:t>
      </w:r>
      <w:r w:rsidRPr="00B20FBE">
        <w:rPr>
          <w:u w:val="single"/>
          <w:rtl/>
        </w:rPr>
        <w:t>ا الجمعية العامة للويبو عام 2015، و</w:t>
      </w:r>
      <w:r w:rsidRPr="00B20FBE">
        <w:rPr>
          <w:rFonts w:hint="cs"/>
          <w:u w:val="single"/>
          <w:rtl/>
        </w:rPr>
        <w:t xml:space="preserve">هما </w:t>
      </w:r>
      <w:r w:rsidRPr="00B20FBE">
        <w:rPr>
          <w:u w:val="single"/>
          <w:rtl/>
        </w:rPr>
        <w:t xml:space="preserve">المساعدة التقنية </w:t>
      </w:r>
      <w:r w:rsidR="0014388A" w:rsidRPr="00B20FBE">
        <w:rPr>
          <w:rFonts w:hint="cs"/>
          <w:u w:val="single"/>
          <w:rtl/>
        </w:rPr>
        <w:t>والكشف</w:t>
      </w:r>
      <w:r w:rsidRPr="00B20FBE">
        <w:rPr>
          <w:rFonts w:hint="cs"/>
          <w:u w:val="single"/>
          <w:rtl/>
        </w:rPr>
        <w:t xml:space="preserve"> (</w:t>
      </w:r>
      <w:r w:rsidRPr="00B20FBE">
        <w:rPr>
          <w:u w:val="single"/>
          <w:rtl/>
        </w:rPr>
        <w:t xml:space="preserve">مقتطفات من </w:t>
      </w:r>
      <w:r w:rsidRPr="00B20FBE">
        <w:rPr>
          <w:rFonts w:hint="cs"/>
          <w:u w:val="single"/>
          <w:rtl/>
        </w:rPr>
        <w:t xml:space="preserve">الوثيقتين </w:t>
      </w:r>
      <w:r w:rsidRPr="00B20FBE">
        <w:rPr>
          <w:u w:val="single"/>
        </w:rPr>
        <w:t>SCT/35/2</w:t>
      </w:r>
      <w:r w:rsidRPr="00B20FBE">
        <w:rPr>
          <w:rFonts w:hint="cs"/>
          <w:u w:val="single"/>
          <w:rtl/>
        </w:rPr>
        <w:t xml:space="preserve"> و</w:t>
      </w:r>
      <w:r w:rsidRPr="00B20FBE">
        <w:rPr>
          <w:u w:val="single"/>
        </w:rPr>
        <w:t>SCT/35/3</w:t>
      </w:r>
      <w:r w:rsidRPr="00B20FBE">
        <w:rPr>
          <w:rFonts w:hint="cs"/>
          <w:u w:val="single"/>
          <w:rtl/>
        </w:rPr>
        <w:t>، بما في ذلك الحواشي ذات الصلة)</w:t>
      </w:r>
    </w:p>
    <w:p w:rsidR="00B9432C" w:rsidRPr="00B20FBE" w:rsidRDefault="0014388A" w:rsidP="00B9432C">
      <w:pPr>
        <w:pStyle w:val="NormalParaAR"/>
        <w:rPr>
          <w:u w:val="single"/>
          <w:rtl/>
        </w:rPr>
      </w:pPr>
      <w:r w:rsidRPr="00B20FBE">
        <w:rPr>
          <w:rFonts w:hint="cs"/>
          <w:u w:val="single"/>
          <w:rtl/>
        </w:rPr>
        <w:t>الكشف</w:t>
      </w:r>
    </w:p>
    <w:p w:rsidR="0014388A" w:rsidRPr="00B20FBE" w:rsidRDefault="0014388A" w:rsidP="0014388A">
      <w:pPr>
        <w:pStyle w:val="NormalParaAR"/>
        <w:jc w:val="center"/>
        <w:rPr>
          <w:b/>
          <w:bCs/>
          <w:rtl/>
        </w:rPr>
      </w:pPr>
      <w:r w:rsidRPr="00B20FBE">
        <w:rPr>
          <w:rFonts w:hint="cs"/>
          <w:b/>
          <w:bCs/>
          <w:rtl/>
        </w:rPr>
        <w:t>"[</w:t>
      </w:r>
      <w:r w:rsidRPr="00B20FBE">
        <w:rPr>
          <w:b/>
          <w:bCs/>
          <w:rtl/>
        </w:rPr>
        <w:t xml:space="preserve">المادة </w:t>
      </w:r>
      <w:proofErr w:type="gramStart"/>
      <w:r w:rsidRPr="00B20FBE">
        <w:rPr>
          <w:b/>
          <w:bCs/>
          <w:rtl/>
        </w:rPr>
        <w:t>1(ثانيا)</w:t>
      </w:r>
      <w:r w:rsidRPr="00B20FBE">
        <w:rPr>
          <w:rStyle w:val="FootnoteReference"/>
          <w:b/>
          <w:bCs/>
          <w:rtl/>
        </w:rPr>
        <w:footnoteReference w:id="2"/>
      </w:r>
      <w:r w:rsidRPr="00B20FBE">
        <w:rPr>
          <w:rFonts w:hint="cs"/>
          <w:b/>
          <w:bCs/>
          <w:vertAlign w:val="superscript"/>
          <w:rtl/>
        </w:rPr>
        <w:t>،</w:t>
      </w:r>
      <w:proofErr w:type="gramEnd"/>
      <w:r w:rsidRPr="00B20FBE">
        <w:rPr>
          <w:rStyle w:val="FootnoteReference"/>
          <w:b/>
          <w:bCs/>
          <w:rtl/>
        </w:rPr>
        <w:footnoteReference w:id="3"/>
      </w:r>
      <w:r w:rsidRPr="00B20FBE">
        <w:rPr>
          <w:vertAlign w:val="superscript"/>
        </w:rPr>
        <w:t xml:space="preserve"> </w:t>
      </w:r>
      <w:r w:rsidRPr="00B20FBE">
        <w:rPr>
          <w:vertAlign w:val="superscript"/>
        </w:rPr>
        <w:br/>
      </w:r>
      <w:r w:rsidRPr="00B20FBE">
        <w:rPr>
          <w:b/>
          <w:bCs/>
          <w:rtl/>
        </w:rPr>
        <w:t>مبادئ عامة</w:t>
      </w:r>
    </w:p>
    <w:p w:rsidR="0014388A" w:rsidRPr="00B20FBE" w:rsidRDefault="0014388A" w:rsidP="0014388A">
      <w:pPr>
        <w:pStyle w:val="NormalParaAR"/>
        <w:rPr>
          <w:rtl/>
        </w:rPr>
      </w:pPr>
      <w:r w:rsidRPr="00B20FBE">
        <w:rPr>
          <w:rtl/>
        </w:rPr>
        <w:t>(1)</w:t>
      </w:r>
      <w:r w:rsidRPr="00B20FBE">
        <w:rPr>
          <w:rFonts w:hint="cs"/>
          <w:rtl/>
        </w:rPr>
        <w:tab/>
      </w:r>
      <w:r w:rsidRPr="00B20FBE">
        <w:rPr>
          <w:rtl/>
        </w:rPr>
        <w:t>[ عدم تنظيم قانون التصاميم الصناعية الموضوعي] ليس في هذه المعاهدة أو اللائحة التنفيذية ما يقصد بتفسيره أنه يقتضي أي شيء من شأنه أن يحد من حرية الطرف المتعاقد في أن يقتضي ما يرغب فيه من شروط ترد في القانون الموضوعي المطبق على التصاميم الصناعية.</w:t>
      </w:r>
    </w:p>
    <w:p w:rsidR="0014388A" w:rsidRPr="00B20FBE" w:rsidRDefault="00B64F5B" w:rsidP="0014388A">
      <w:pPr>
        <w:pStyle w:val="NormalParaAR"/>
        <w:rPr>
          <w:rtl/>
        </w:rPr>
      </w:pPr>
      <w:r w:rsidRPr="00B20FBE">
        <w:rPr>
          <w:rtl/>
        </w:rPr>
        <w:t>(2)</w:t>
      </w:r>
      <w:r w:rsidRPr="00B20FBE">
        <w:tab/>
      </w:r>
      <w:r w:rsidR="0014388A" w:rsidRPr="00B20FBE">
        <w:rPr>
          <w:rtl/>
        </w:rPr>
        <w:t>[العلاقة مع معاهدات أخرى] ليس في هذه المعاهدة ما يحد من أية التزامات مترتبة على الأطراف المتعاقدة بعضها تجاه بعض بناء على أية معاهدات أخرى.]</w:t>
      </w:r>
    </w:p>
    <w:p w:rsidR="0014388A" w:rsidRPr="00B20FBE" w:rsidRDefault="0014388A" w:rsidP="0014388A">
      <w:pPr>
        <w:pStyle w:val="NormalParaAR"/>
        <w:jc w:val="center"/>
        <w:rPr>
          <w:b/>
          <w:bCs/>
          <w:rtl/>
        </w:rPr>
      </w:pPr>
      <w:r w:rsidRPr="00B20FBE">
        <w:rPr>
          <w:rFonts w:hint="cs"/>
          <w:b/>
          <w:bCs/>
          <w:rtl/>
        </w:rPr>
        <w:t>"</w:t>
      </w:r>
      <w:proofErr w:type="gramStart"/>
      <w:r w:rsidRPr="00B20FBE">
        <w:rPr>
          <w:b/>
          <w:bCs/>
          <w:rtl/>
        </w:rPr>
        <w:t>المادة</w:t>
      </w:r>
      <w:proofErr w:type="gramEnd"/>
      <w:r w:rsidRPr="00B20FBE">
        <w:rPr>
          <w:b/>
          <w:bCs/>
          <w:rtl/>
        </w:rPr>
        <w:t xml:space="preserve"> 3</w:t>
      </w:r>
      <w:r w:rsidRPr="00B20FBE">
        <w:rPr>
          <w:b/>
          <w:bCs/>
          <w:noProof/>
        </w:rPr>
        <w:br/>
      </w:r>
      <w:r w:rsidRPr="00B20FBE">
        <w:rPr>
          <w:b/>
          <w:bCs/>
          <w:rtl/>
        </w:rPr>
        <w:t>الطلب</w:t>
      </w:r>
    </w:p>
    <w:p w:rsidR="0014388A" w:rsidRPr="00B20FBE" w:rsidRDefault="00B64F5B" w:rsidP="0014388A">
      <w:pPr>
        <w:pStyle w:val="NormalParaAR"/>
        <w:rPr>
          <w:rtl/>
        </w:rPr>
      </w:pPr>
      <w:r w:rsidRPr="00B20FBE">
        <w:rPr>
          <w:rtl/>
        </w:rPr>
        <w:t>(1)</w:t>
      </w:r>
      <w:r w:rsidRPr="00B20FBE">
        <w:tab/>
      </w:r>
      <w:r w:rsidR="0014388A" w:rsidRPr="00B20FBE">
        <w:rPr>
          <w:rtl/>
        </w:rPr>
        <w:t>[</w:t>
      </w:r>
      <w:proofErr w:type="gramStart"/>
      <w:r w:rsidR="0014388A" w:rsidRPr="00B20FBE">
        <w:rPr>
          <w:rtl/>
        </w:rPr>
        <w:t>محتويات</w:t>
      </w:r>
      <w:proofErr w:type="gramEnd"/>
      <w:r w:rsidR="0014388A" w:rsidRPr="00B20FBE">
        <w:rPr>
          <w:rtl/>
        </w:rPr>
        <w:t xml:space="preserve"> الطلب؛ الرسم] (أ) يجوز للطرف المتعاقد أن يقتضي تضمين الطلب بعض البيانات أو العناصر التالية أو جميعها:</w:t>
      </w:r>
    </w:p>
    <w:p w:rsidR="0014388A" w:rsidRPr="00B20FBE" w:rsidRDefault="0014388A" w:rsidP="0014388A">
      <w:pPr>
        <w:pStyle w:val="NormalParaAR"/>
      </w:pPr>
      <w:r w:rsidRPr="00B20FBE">
        <w:t>[…]</w:t>
      </w:r>
    </w:p>
    <w:p w:rsidR="0014388A" w:rsidRPr="00B20FBE" w:rsidRDefault="0014388A" w:rsidP="00B64F5B">
      <w:pPr>
        <w:pStyle w:val="NormalParaAR"/>
        <w:ind w:left="567" w:firstLine="1134"/>
        <w:rPr>
          <w:rtl/>
        </w:rPr>
      </w:pPr>
      <w:r w:rsidRPr="00B20FBE">
        <w:rPr>
          <w:rtl/>
        </w:rPr>
        <w:t>["9" الكشف عن منشأ أو مصدر أشكال التعبير الثقافي التقليدي أو المعارف التقليدية أو الموارد البيولوجية/الوراثية المستخدمة أ</w:t>
      </w:r>
      <w:r w:rsidR="00B93552" w:rsidRPr="00B20FBE">
        <w:rPr>
          <w:rtl/>
        </w:rPr>
        <w:t>و المتضمنة في التصميم الصناعي؛]</w:t>
      </w:r>
      <w:r w:rsidR="00B93552" w:rsidRPr="00B20FBE">
        <w:rPr>
          <w:rFonts w:hint="cs"/>
          <w:vertAlign w:val="superscript"/>
          <w:rtl/>
        </w:rPr>
        <w:t>8</w:t>
      </w:r>
      <w:r w:rsidR="00B93552" w:rsidRPr="00B20FBE">
        <w:rPr>
          <w:rFonts w:hint="cs"/>
          <w:rtl/>
        </w:rPr>
        <w:t>"</w:t>
      </w:r>
    </w:p>
    <w:p w:rsidR="00B93552" w:rsidRPr="00B20FBE" w:rsidRDefault="004A312E" w:rsidP="004A312E">
      <w:pPr>
        <w:pStyle w:val="NormalParaAR"/>
        <w:jc w:val="center"/>
        <w:rPr>
          <w:b/>
          <w:bCs/>
          <w:rtl/>
        </w:rPr>
      </w:pPr>
      <w:r w:rsidRPr="00B20FBE">
        <w:rPr>
          <w:rFonts w:hint="cs"/>
          <w:b/>
          <w:bCs/>
          <w:rtl/>
        </w:rPr>
        <w:t>"</w:t>
      </w:r>
      <w:r w:rsidR="00B93552" w:rsidRPr="00B20FBE">
        <w:rPr>
          <w:b/>
          <w:bCs/>
          <w:rtl/>
        </w:rPr>
        <w:t>القاعدة 2</w:t>
      </w:r>
      <w:r w:rsidRPr="00B20FBE">
        <w:rPr>
          <w:b/>
          <w:bCs/>
          <w:noProof/>
        </w:rPr>
        <w:br/>
      </w:r>
      <w:r w:rsidR="00B93552" w:rsidRPr="00B20FBE">
        <w:rPr>
          <w:b/>
          <w:bCs/>
          <w:rtl/>
        </w:rPr>
        <w:t>التفاصيل المتعلقة بالطلب</w:t>
      </w:r>
    </w:p>
    <w:p w:rsidR="00B93552" w:rsidRPr="00B20FBE" w:rsidRDefault="004A312E" w:rsidP="00B93552">
      <w:pPr>
        <w:pStyle w:val="NormalParaAR"/>
        <w:rPr>
          <w:rtl/>
        </w:rPr>
      </w:pPr>
      <w:r w:rsidRPr="00B20FBE">
        <w:rPr>
          <w:rtl/>
        </w:rPr>
        <w:t>(1)</w:t>
      </w:r>
      <w:r w:rsidRPr="00B20FBE">
        <w:rPr>
          <w:rFonts w:hint="cs"/>
          <w:rtl/>
        </w:rPr>
        <w:tab/>
      </w:r>
      <w:r w:rsidR="00B93552" w:rsidRPr="00B20FBE">
        <w:rPr>
          <w:rtl/>
        </w:rPr>
        <w:t>[</w:t>
      </w:r>
      <w:proofErr w:type="gramStart"/>
      <w:r w:rsidR="00B93552" w:rsidRPr="00B20FBE">
        <w:rPr>
          <w:rtl/>
        </w:rPr>
        <w:t>شروط</w:t>
      </w:r>
      <w:proofErr w:type="gramEnd"/>
      <w:r w:rsidR="00B93552" w:rsidRPr="00B20FBE">
        <w:rPr>
          <w:rtl/>
        </w:rPr>
        <w:t xml:space="preserve"> إضافية بموجب المادة 3] يجوز للطرف المتعاقد أن يقتضي تضمين أي طلب بعض البيانات والعناصر التالية الذكر أو جميعها بالإضافة إلى الشروط المنصوص عليها في المادة 3:</w:t>
      </w:r>
    </w:p>
    <w:p w:rsidR="004A312E" w:rsidRPr="00B20FBE" w:rsidRDefault="004A312E" w:rsidP="004A312E">
      <w:pPr>
        <w:pStyle w:val="NormalParaAR"/>
      </w:pPr>
      <w:r w:rsidRPr="00B20FBE">
        <w:t>[…]</w:t>
      </w:r>
    </w:p>
    <w:p w:rsidR="004A312E" w:rsidRPr="00B20FBE" w:rsidRDefault="004A312E" w:rsidP="00B64F5B">
      <w:pPr>
        <w:pStyle w:val="NormalParaAR"/>
        <w:ind w:left="567" w:firstLine="1134"/>
      </w:pPr>
      <w:r w:rsidRPr="00B20FBE">
        <w:rPr>
          <w:rtl/>
        </w:rPr>
        <w:t>"10"</w:t>
      </w:r>
      <w:r w:rsidRPr="00B20FBE">
        <w:rPr>
          <w:rFonts w:hint="cs"/>
          <w:rtl/>
        </w:rPr>
        <w:tab/>
      </w:r>
      <w:r w:rsidRPr="00B20FBE">
        <w:rPr>
          <w:rtl/>
        </w:rPr>
        <w:t>وبيان أي طلب أو تسجيل سابق أو أية معلومات أخرى يعرفها مودع الطلب يمكن أن يكون لها تأثير في أحقية تسجيل التصميم الصناعي؛</w:t>
      </w:r>
      <w:r w:rsidR="00B64F5B" w:rsidRPr="00B20FBE">
        <w:rPr>
          <w:rFonts w:hint="cs"/>
          <w:rtl/>
          <w:lang w:val="fr-CH"/>
        </w:rPr>
        <w:t>"</w:t>
      </w:r>
    </w:p>
    <w:p w:rsidR="004A312E" w:rsidRPr="00B20FBE" w:rsidRDefault="004A312E">
      <w:pPr>
        <w:rPr>
          <w:rFonts w:ascii="Arabic Typesetting" w:hAnsi="Arabic Typesetting" w:cs="Arabic Typesetting"/>
          <w:sz w:val="36"/>
          <w:szCs w:val="36"/>
          <w:rtl/>
        </w:rPr>
      </w:pPr>
      <w:r w:rsidRPr="00B20FBE">
        <w:rPr>
          <w:rtl/>
        </w:rPr>
        <w:br w:type="page"/>
      </w:r>
    </w:p>
    <w:p w:rsidR="004A312E" w:rsidRPr="00B20FBE" w:rsidRDefault="004A312E" w:rsidP="004A312E">
      <w:pPr>
        <w:pStyle w:val="NormalParaAR"/>
        <w:rPr>
          <w:u w:val="single"/>
        </w:rPr>
      </w:pPr>
      <w:proofErr w:type="gramStart"/>
      <w:r w:rsidRPr="00B20FBE">
        <w:rPr>
          <w:u w:val="single"/>
          <w:rtl/>
        </w:rPr>
        <w:lastRenderedPageBreak/>
        <w:t>المساعدة</w:t>
      </w:r>
      <w:proofErr w:type="gramEnd"/>
      <w:r w:rsidRPr="00B20FBE">
        <w:rPr>
          <w:u w:val="single"/>
          <w:rtl/>
        </w:rPr>
        <w:t xml:space="preserve"> التقنية</w:t>
      </w:r>
    </w:p>
    <w:p w:rsidR="004A312E" w:rsidRPr="00B20FBE" w:rsidRDefault="004A312E" w:rsidP="004A312E">
      <w:pPr>
        <w:pStyle w:val="NormalParaAR"/>
        <w:jc w:val="center"/>
        <w:rPr>
          <w:b/>
          <w:bCs/>
        </w:rPr>
      </w:pPr>
      <w:r w:rsidRPr="00B20FBE">
        <w:rPr>
          <w:rFonts w:hint="cs"/>
          <w:b/>
          <w:bCs/>
          <w:rtl/>
          <w:lang w:val="fr-CH"/>
        </w:rPr>
        <w:t>"[</w:t>
      </w:r>
      <w:r w:rsidRPr="00B20FBE">
        <w:rPr>
          <w:b/>
          <w:bCs/>
          <w:rtl/>
        </w:rPr>
        <w:t xml:space="preserve">المادة 22] </w:t>
      </w:r>
      <w:proofErr w:type="gramStart"/>
      <w:r w:rsidRPr="00B20FBE">
        <w:rPr>
          <w:b/>
          <w:bCs/>
          <w:rtl/>
        </w:rPr>
        <w:t>[قرار]</w:t>
      </w:r>
      <w:r w:rsidRPr="00B20FBE">
        <w:rPr>
          <w:noProof/>
        </w:rPr>
        <w:t xml:space="preserve"> </w:t>
      </w:r>
      <w:r w:rsidRPr="00B20FBE">
        <w:rPr>
          <w:noProof/>
        </w:rPr>
        <w:br/>
      </w:r>
      <w:r w:rsidRPr="00B20FBE">
        <w:rPr>
          <w:b/>
          <w:bCs/>
          <w:rtl/>
        </w:rPr>
        <w:t>المساعدة</w:t>
      </w:r>
      <w:proofErr w:type="gramEnd"/>
      <w:r w:rsidRPr="00B20FBE">
        <w:rPr>
          <w:b/>
          <w:bCs/>
          <w:rtl/>
        </w:rPr>
        <w:t xml:space="preserve"> التقنية وتكوين الكفاءات</w:t>
      </w:r>
    </w:p>
    <w:p w:rsidR="004A312E" w:rsidRPr="00B20FBE" w:rsidRDefault="004A312E" w:rsidP="004A312E">
      <w:pPr>
        <w:pStyle w:val="NormalParaAR"/>
      </w:pPr>
      <w:r w:rsidRPr="00B20FBE">
        <w:rPr>
          <w:rtl/>
        </w:rPr>
        <w:t>[(1)]</w:t>
      </w:r>
      <w:r w:rsidRPr="00B20FBE">
        <w:rPr>
          <w:rFonts w:hint="cs"/>
          <w:rtl/>
        </w:rPr>
        <w:tab/>
      </w:r>
      <w:r w:rsidRPr="00B20FBE">
        <w:rPr>
          <w:rtl/>
        </w:rPr>
        <w:t>[المبادئ] [يتعين على المنظمة، رهن توافر الموارد وبغية تيسير تنفيذ المعاهدة، أن توفّر المساعدة التقنية، لا سيما للبلدان النامية والبلدان الأقل نموا.</w:t>
      </w:r>
      <w:r w:rsidRPr="00B20FBE">
        <w:rPr>
          <w:rFonts w:hint="cs"/>
          <w:rtl/>
        </w:rPr>
        <w:t xml:space="preserve"> </w:t>
      </w:r>
      <w:proofErr w:type="gramStart"/>
      <w:r w:rsidRPr="00B20FBE">
        <w:rPr>
          <w:rtl/>
        </w:rPr>
        <w:t>ويتعين</w:t>
      </w:r>
      <w:proofErr w:type="gramEnd"/>
      <w:r w:rsidRPr="00B20FBE">
        <w:rPr>
          <w:rtl/>
        </w:rPr>
        <w:t xml:space="preserve"> أن تكون تلك المساعدة التقنية</w:t>
      </w:r>
    </w:p>
    <w:p w:rsidR="004A312E" w:rsidRPr="00B20FBE" w:rsidRDefault="004A312E" w:rsidP="004A312E">
      <w:pPr>
        <w:pStyle w:val="NormalParaAR"/>
        <w:ind w:firstLine="1134"/>
      </w:pPr>
      <w:r w:rsidRPr="00B20FBE">
        <w:rPr>
          <w:rtl/>
        </w:rPr>
        <w:t xml:space="preserve">"1" </w:t>
      </w:r>
      <w:proofErr w:type="gramStart"/>
      <w:r w:rsidRPr="00B20FBE">
        <w:rPr>
          <w:rtl/>
        </w:rPr>
        <w:t>موجهةً</w:t>
      </w:r>
      <w:proofErr w:type="gramEnd"/>
      <w:r w:rsidRPr="00B20FBE">
        <w:rPr>
          <w:rtl/>
        </w:rPr>
        <w:t xml:space="preserve"> نحو التنمية وقائمة على الطلب وشفافة وهادفة ومناسبة لتعزيز قدرة البلدان المستفيدة على تنفيذ</w:t>
      </w:r>
      <w:r w:rsidRPr="00B20FBE">
        <w:rPr>
          <w:rFonts w:hint="cs"/>
          <w:rtl/>
        </w:rPr>
        <w:t> </w:t>
      </w:r>
      <w:r w:rsidRPr="00B20FBE">
        <w:rPr>
          <w:rtl/>
        </w:rPr>
        <w:t>المعاهدة؛</w:t>
      </w:r>
    </w:p>
    <w:p w:rsidR="004A312E" w:rsidRPr="00B20FBE" w:rsidRDefault="004A312E" w:rsidP="004A312E">
      <w:pPr>
        <w:pStyle w:val="NormalParaAR"/>
        <w:ind w:firstLine="1134"/>
        <w:rPr>
          <w:rtl/>
        </w:rPr>
      </w:pPr>
      <w:r w:rsidRPr="00B20FBE">
        <w:rPr>
          <w:rtl/>
        </w:rPr>
        <w:t>"2" مراعيةً للأولويات والاحتياجات المحدّدة للبلدان المستفيدة لأغراض تمكين المستخدمين من تحقيق الاستفادة الكاملة من أحكام المعاهدة.</w:t>
      </w:r>
    </w:p>
    <w:p w:rsidR="004A312E" w:rsidRPr="00B20FBE" w:rsidRDefault="004A312E" w:rsidP="004A312E">
      <w:pPr>
        <w:pStyle w:val="NormalParaAR"/>
        <w:rPr>
          <w:rtl/>
        </w:rPr>
      </w:pPr>
      <w:r w:rsidRPr="00B20FBE">
        <w:rPr>
          <w:rtl/>
        </w:rPr>
        <w:t>(2)</w:t>
      </w:r>
      <w:r w:rsidRPr="00B20FBE">
        <w:rPr>
          <w:rFonts w:hint="cs"/>
          <w:rtl/>
        </w:rPr>
        <w:tab/>
      </w:r>
      <w:r w:rsidRPr="00B20FBE">
        <w:rPr>
          <w:rtl/>
        </w:rPr>
        <w:t>[المساعدة التقنية وتكوين الكفاءات] (أ) يتعيّن أن تكون المساعدة التقنية وأنشطة تكوين الكفاءات الموفَّرة بناء على هذه المعاهدة مسخّرة لتنفيذ هذه المعاهدة وأن تشمل</w:t>
      </w:r>
      <w:r w:rsidRPr="00B20FBE">
        <w:rPr>
          <w:rFonts w:hint="cs"/>
          <w:rtl/>
        </w:rPr>
        <w:t xml:space="preserve"> </w:t>
      </w:r>
      <w:r w:rsidRPr="00B20FBE">
        <w:rPr>
          <w:rtl/>
        </w:rPr>
        <w:t xml:space="preserve">ما </w:t>
      </w:r>
      <w:proofErr w:type="gramStart"/>
      <w:r w:rsidRPr="00B20FBE">
        <w:rPr>
          <w:rtl/>
        </w:rPr>
        <w:t>يلي</w:t>
      </w:r>
      <w:r w:rsidR="00480750" w:rsidRPr="00B20FBE">
        <w:rPr>
          <w:rStyle w:val="FootnoteReference"/>
        </w:rPr>
        <w:footnoteReference w:customMarkFollows="1" w:id="4"/>
        <w:t>23</w:t>
      </w:r>
      <w:r w:rsidRPr="00B20FBE">
        <w:rPr>
          <w:rtl/>
        </w:rPr>
        <w:t>،</w:t>
      </w:r>
      <w:proofErr w:type="gramEnd"/>
      <w:r w:rsidRPr="00B20FBE">
        <w:rPr>
          <w:rtl/>
        </w:rPr>
        <w:t xml:space="preserve"> حيثما تُطلب:</w:t>
      </w:r>
    </w:p>
    <w:p w:rsidR="00480750" w:rsidRPr="00B20FBE" w:rsidRDefault="00480750" w:rsidP="00480750">
      <w:pPr>
        <w:pStyle w:val="NormalParaAR"/>
        <w:ind w:firstLine="1134"/>
        <w:rPr>
          <w:rtl/>
        </w:rPr>
      </w:pPr>
      <w:r w:rsidRPr="00B20FBE">
        <w:rPr>
          <w:rtl/>
        </w:rPr>
        <w:t>"1"</w:t>
      </w:r>
      <w:r w:rsidRPr="00B20FBE">
        <w:rPr>
          <w:rFonts w:hint="cs"/>
          <w:rtl/>
        </w:rPr>
        <w:tab/>
      </w:r>
      <w:r w:rsidRPr="00B20FBE">
        <w:rPr>
          <w:rtl/>
        </w:rPr>
        <w:t>إنشاء الإطار القانوني اللازم ومراجعة الممارسات والإجراءات الإدارية للهيئات المعنية بتسجيل</w:t>
      </w:r>
      <w:r w:rsidRPr="00B20FBE">
        <w:rPr>
          <w:rFonts w:hint="cs"/>
          <w:rtl/>
        </w:rPr>
        <w:t> </w:t>
      </w:r>
      <w:r w:rsidRPr="00B20FBE">
        <w:rPr>
          <w:rtl/>
        </w:rPr>
        <w:t>التصاميم،</w:t>
      </w:r>
    </w:p>
    <w:p w:rsidR="00480750" w:rsidRPr="00B20FBE" w:rsidRDefault="00480750" w:rsidP="00480750">
      <w:pPr>
        <w:pStyle w:val="NormalParaAR"/>
        <w:ind w:firstLine="1134"/>
        <w:rPr>
          <w:rtl/>
        </w:rPr>
      </w:pPr>
      <w:r w:rsidRPr="00B20FBE">
        <w:rPr>
          <w:rtl/>
        </w:rPr>
        <w:t>"2"</w:t>
      </w:r>
      <w:r w:rsidRPr="00B20FBE">
        <w:rPr>
          <w:rFonts w:hint="cs"/>
          <w:rtl/>
        </w:rPr>
        <w:tab/>
      </w:r>
      <w:r w:rsidRPr="00B20FBE">
        <w:rPr>
          <w:rtl/>
        </w:rPr>
        <w:t>استحداث ما يلزم من قدرات للمكاتب، بما يشمل إتاحة تدريب الموارد البشرية، [وتوفير الأجهزة والتكنولوجيا الملائمة إضافة إلى البنية التحتية اللازمة]، ودون الاقتصار على ذلك.</w:t>
      </w:r>
    </w:p>
    <w:p w:rsidR="00480750" w:rsidRPr="00B20FBE" w:rsidRDefault="00480750" w:rsidP="00480750">
      <w:pPr>
        <w:pStyle w:val="NormalParaAR"/>
        <w:ind w:firstLine="567"/>
        <w:rPr>
          <w:rtl/>
        </w:rPr>
      </w:pPr>
      <w:r w:rsidRPr="00B20FBE">
        <w:rPr>
          <w:rtl/>
        </w:rPr>
        <w:t>(ب) تقدم المنظمة، رهن [تخصيص و] توافر الموارد، التمويل للأنشطة والتدابير [الخاصة بالويبو] اللازمة لتنفيذ المعاهدة، وفقا للفقرة (2)(أ) و(3)(أ) [والمادة 24(1)(ج)].</w:t>
      </w:r>
      <w:r w:rsidRPr="00B20FBE">
        <w:rPr>
          <w:rFonts w:hint="cs"/>
          <w:rtl/>
        </w:rPr>
        <w:t xml:space="preserve"> </w:t>
      </w:r>
      <w:r w:rsidRPr="00B20FBE">
        <w:rPr>
          <w:rtl/>
        </w:rPr>
        <w:t>[</w:t>
      </w:r>
      <w:proofErr w:type="gramStart"/>
      <w:r w:rsidRPr="00B20FBE">
        <w:rPr>
          <w:rtl/>
        </w:rPr>
        <w:t>وبالإضافة</w:t>
      </w:r>
      <w:proofErr w:type="gramEnd"/>
      <w:r w:rsidRPr="00B20FBE">
        <w:rPr>
          <w:rtl/>
        </w:rPr>
        <w:t xml:space="preserve"> إلى ذلك، تسعى المنظمة إلى إبرام اتفاقات مع المنظمات الدولية المموِّلة والمنظمات الحكومية الدولية وحكومات البلدان المستفيدة بغرض توفير الدعم المالي للمساعدة التقنية طبقا لهذه المعاهدة.]</w:t>
      </w:r>
    </w:p>
    <w:p w:rsidR="00480750" w:rsidRPr="00B20FBE" w:rsidRDefault="00480750" w:rsidP="00480750">
      <w:pPr>
        <w:pStyle w:val="NormalParaAR"/>
        <w:ind w:left="567" w:hanging="567"/>
        <w:rPr>
          <w:rtl/>
        </w:rPr>
      </w:pPr>
      <w:r w:rsidRPr="00B20FBE">
        <w:rPr>
          <w:rtl/>
        </w:rPr>
        <w:t>(3)</w:t>
      </w:r>
      <w:r w:rsidRPr="00B20FBE">
        <w:rPr>
          <w:rFonts w:hint="cs"/>
          <w:rtl/>
        </w:rPr>
        <w:tab/>
      </w:r>
      <w:r w:rsidRPr="00B20FBE">
        <w:rPr>
          <w:rtl/>
        </w:rPr>
        <w:t>[أحكام أخرى]</w:t>
      </w:r>
      <w:r w:rsidRPr="00B20FBE">
        <w:footnoteReference w:customMarkFollows="1" w:id="5"/>
        <w:t>24</w:t>
      </w:r>
      <w:r w:rsidRPr="00B20FBE">
        <w:rPr>
          <w:rtl/>
        </w:rPr>
        <w:t xml:space="preserve"> [(أ) المنظمة العالمية للملكية الفكرية مدعوة بإلحاح إلى الإسراع في إنشاء نظام لمكتبة رقمية تضم التصاميم المسجّلة.</w:t>
      </w:r>
      <w:r w:rsidRPr="00B20FBE">
        <w:rPr>
          <w:rFonts w:hint="cs"/>
          <w:rtl/>
        </w:rPr>
        <w:t xml:space="preserve"> </w:t>
      </w:r>
      <w:r w:rsidRPr="00B20FBE">
        <w:rPr>
          <w:rtl/>
        </w:rPr>
        <w:t>ويتعيّن على الأطراف المتعاقدة أن تسعى إلى الإخطار بمعلومات التصاميم المسجّلة المنشورة من خلال ذلك النظام.</w:t>
      </w:r>
      <w:r w:rsidRPr="00B20FBE">
        <w:rPr>
          <w:rFonts w:hint="cs"/>
          <w:rtl/>
        </w:rPr>
        <w:t xml:space="preserve"> </w:t>
      </w:r>
      <w:proofErr w:type="gramStart"/>
      <w:r w:rsidRPr="00B20FBE">
        <w:rPr>
          <w:rtl/>
        </w:rPr>
        <w:t>ويتعين</w:t>
      </w:r>
      <w:proofErr w:type="gramEnd"/>
      <w:r w:rsidRPr="00B20FBE">
        <w:rPr>
          <w:rtl/>
        </w:rPr>
        <w:t xml:space="preserve"> أن تدعم المنظمة الأطراف المتعاقدة في جهودها من أجل تبادل المعلومات من خلال ذلك</w:t>
      </w:r>
      <w:r w:rsidRPr="00B20FBE">
        <w:rPr>
          <w:rFonts w:hint="cs"/>
          <w:rtl/>
        </w:rPr>
        <w:t> </w:t>
      </w:r>
      <w:r w:rsidRPr="00B20FBE">
        <w:rPr>
          <w:rtl/>
        </w:rPr>
        <w:t>النظام.]</w:t>
      </w:r>
    </w:p>
    <w:p w:rsidR="00480750" w:rsidRPr="00B20FBE" w:rsidRDefault="00480750" w:rsidP="00480750">
      <w:pPr>
        <w:pStyle w:val="NormalParaAR"/>
        <w:ind w:firstLine="567"/>
        <w:rPr>
          <w:rtl/>
        </w:rPr>
      </w:pPr>
      <w:r w:rsidRPr="00B20FBE">
        <w:rPr>
          <w:rtl/>
        </w:rPr>
        <w:t>[(ب) [يتعيّن على] [تُشجَّع] الأطراف المتعاقدة بموجب هذه المعاهدة أن تقيم نظاما لخفض الرسوم لفائدة مبتكري التصاميم [(الأشخاص الطبيعيين والشركات الصغيرة والمتوسطة)].</w:t>
      </w:r>
    </w:p>
    <w:p w:rsidR="00480750" w:rsidRPr="00B93552" w:rsidRDefault="00480750" w:rsidP="00B64F5B">
      <w:pPr>
        <w:pStyle w:val="EndofDocumentAR"/>
      </w:pPr>
      <w:r w:rsidRPr="00B20FBE">
        <w:rPr>
          <w:rFonts w:hint="cs"/>
          <w:rtl/>
        </w:rPr>
        <w:t>[</w:t>
      </w:r>
      <w:r w:rsidR="00B64F5B" w:rsidRPr="00B20FBE">
        <w:rPr>
          <w:rFonts w:hint="cs"/>
          <w:rtl/>
        </w:rPr>
        <w:t xml:space="preserve">نهاية المرفق </w:t>
      </w:r>
      <w:proofErr w:type="gramStart"/>
      <w:r w:rsidR="00B64F5B" w:rsidRPr="00B20FBE">
        <w:rPr>
          <w:rFonts w:hint="cs"/>
          <w:rtl/>
        </w:rPr>
        <w:t>والوثيقة</w:t>
      </w:r>
      <w:proofErr w:type="gramEnd"/>
      <w:r w:rsidRPr="00B20FBE">
        <w:rPr>
          <w:rFonts w:hint="cs"/>
          <w:rtl/>
        </w:rPr>
        <w:t>]</w:t>
      </w:r>
    </w:p>
    <w:sectPr w:rsidR="00480750" w:rsidRPr="00B93552" w:rsidSect="00EB7752">
      <w:headerReference w:type="default" r:id="rId11"/>
      <w:headerReference w:type="first" r:id="rId12"/>
      <w:footnotePr>
        <w:numRestart w:val="eachSect"/>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CF" w:rsidRDefault="004B10CF">
      <w:r>
        <w:separator/>
      </w:r>
    </w:p>
  </w:endnote>
  <w:endnote w:type="continuationSeparator" w:id="0">
    <w:p w:rsidR="004B10CF" w:rsidRDefault="004B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CF" w:rsidRDefault="004B10CF" w:rsidP="009622BF">
      <w:pPr>
        <w:bidi/>
      </w:pPr>
      <w:bookmarkStart w:id="0" w:name="OLE_LINK1"/>
      <w:bookmarkStart w:id="1" w:name="OLE_LINK2"/>
      <w:r>
        <w:separator/>
      </w:r>
      <w:bookmarkEnd w:id="0"/>
      <w:bookmarkEnd w:id="1"/>
    </w:p>
  </w:footnote>
  <w:footnote w:type="continuationSeparator" w:id="0">
    <w:p w:rsidR="004B10CF" w:rsidRDefault="004B10CF" w:rsidP="009622BF">
      <w:pPr>
        <w:bidi/>
      </w:pPr>
      <w:r>
        <w:separator/>
      </w:r>
    </w:p>
  </w:footnote>
  <w:footnote w:id="1">
    <w:p w:rsidR="004B10CF" w:rsidRDefault="004B10CF" w:rsidP="00736AE6">
      <w:pPr>
        <w:pStyle w:val="FootnoteText"/>
      </w:pPr>
      <w:r>
        <w:rPr>
          <w:rStyle w:val="FootnoteReference"/>
        </w:rPr>
        <w:footnoteRef/>
      </w:r>
      <w:r>
        <w:tab/>
      </w:r>
      <w:r>
        <w:rPr>
          <w:rFonts w:hint="cs"/>
          <w:rtl/>
        </w:rPr>
        <w:t>للا</w:t>
      </w:r>
      <w:r w:rsidRPr="00DF2F30">
        <w:rPr>
          <w:rFonts w:hint="cs"/>
          <w:rtl/>
        </w:rPr>
        <w:t>ط</w:t>
      </w:r>
      <w:r>
        <w:rPr>
          <w:rFonts w:hint="cs"/>
          <w:rtl/>
        </w:rPr>
        <w:t>ّ</w:t>
      </w:r>
      <w:r w:rsidRPr="00DF2F30">
        <w:rPr>
          <w:rFonts w:hint="cs"/>
          <w:rtl/>
        </w:rPr>
        <w:t>لاع</w:t>
      </w:r>
      <w:r w:rsidRPr="00DF2F30">
        <w:rPr>
          <w:rtl/>
        </w:rPr>
        <w:t xml:space="preserve"> على سرد مفصل لدورات الجمعية العامة للويبو بشأن عقد مؤتمر دبلوماسي </w:t>
      </w:r>
      <w:r w:rsidRPr="00973758">
        <w:rPr>
          <w:rtl/>
        </w:rPr>
        <w:t>لاعتماد معاهدة بشأن قانون التصاميم</w:t>
      </w:r>
      <w:r>
        <w:rPr>
          <w:rtl/>
        </w:rPr>
        <w:t>، انظر الوثيقة</w:t>
      </w:r>
      <w:r>
        <w:rPr>
          <w:rFonts w:hint="eastAsia"/>
        </w:rPr>
        <w:t> </w:t>
      </w:r>
      <w:r w:rsidRPr="00973758">
        <w:t>WO/GA/47/8</w:t>
      </w:r>
      <w:r>
        <w:rPr>
          <w:rFonts w:hint="cs"/>
          <w:rtl/>
        </w:rPr>
        <w:t>.</w:t>
      </w:r>
    </w:p>
  </w:footnote>
  <w:footnote w:id="2">
    <w:p w:rsidR="004B10CF" w:rsidRDefault="004B10CF">
      <w:pPr>
        <w:pStyle w:val="FootnoteText"/>
      </w:pPr>
      <w:r>
        <w:rPr>
          <w:rStyle w:val="FootnoteReference"/>
        </w:rPr>
        <w:footnoteRef/>
      </w:r>
      <w:r>
        <w:rPr>
          <w:rtl/>
        </w:rPr>
        <w:t xml:space="preserve"> </w:t>
      </w:r>
      <w:r>
        <w:rPr>
          <w:rFonts w:hint="cs"/>
          <w:rtl/>
        </w:rPr>
        <w:tab/>
      </w:r>
      <w:proofErr w:type="gramStart"/>
      <w:r w:rsidRPr="00B93552">
        <w:rPr>
          <w:rtl/>
        </w:rPr>
        <w:t>يستند</w:t>
      </w:r>
      <w:proofErr w:type="gramEnd"/>
      <w:r w:rsidRPr="00B93552">
        <w:rPr>
          <w:rtl/>
        </w:rPr>
        <w:t xml:space="preserve"> نص هذه المادة إلى الاقتراح الذي قدمه الرئيس في الدورة الرابعة والثلاثين للجنة، الوارد في الورقة غير الرسمية للرئيس رقم 1.</w:t>
      </w:r>
    </w:p>
  </w:footnote>
  <w:footnote w:id="3">
    <w:p w:rsidR="004B10CF" w:rsidRDefault="004B10CF">
      <w:pPr>
        <w:pStyle w:val="FootnoteText"/>
        <w:rPr>
          <w:rtl/>
        </w:rPr>
      </w:pPr>
      <w:r>
        <w:rPr>
          <w:rStyle w:val="FootnoteReference"/>
        </w:rPr>
        <w:footnoteRef/>
      </w:r>
      <w:r>
        <w:rPr>
          <w:rtl/>
        </w:rPr>
        <w:t xml:space="preserve"> </w:t>
      </w:r>
      <w:r>
        <w:rPr>
          <w:rFonts w:hint="cs"/>
          <w:rtl/>
        </w:rPr>
        <w:tab/>
      </w:r>
      <w:r w:rsidRPr="00B93552">
        <w:rPr>
          <w:rtl/>
        </w:rPr>
        <w:t>أشارت بعض</w:t>
      </w:r>
      <w:r>
        <w:rPr>
          <w:rtl/>
        </w:rPr>
        <w:t xml:space="preserve"> الوفود إلى أنها لا تؤيد </w:t>
      </w:r>
      <w:r w:rsidRPr="00B93552">
        <w:rPr>
          <w:rtl/>
        </w:rPr>
        <w:t>هذه المادة المقترحة أ</w:t>
      </w:r>
      <w:r>
        <w:rPr>
          <w:rtl/>
        </w:rPr>
        <w:t xml:space="preserve">و البند المقترح </w:t>
      </w:r>
      <w:r>
        <w:rPr>
          <w:rFonts w:hint="cs"/>
          <w:rtl/>
        </w:rPr>
        <w:t>"</w:t>
      </w:r>
      <w:r>
        <w:rPr>
          <w:rtl/>
        </w:rPr>
        <w:t>9</w:t>
      </w:r>
      <w:r>
        <w:rPr>
          <w:rFonts w:hint="cs"/>
          <w:rtl/>
        </w:rPr>
        <w:t>"</w:t>
      </w:r>
      <w:r>
        <w:rPr>
          <w:rtl/>
        </w:rPr>
        <w:t xml:space="preserve"> من المادة 3(1)</w:t>
      </w:r>
      <w:r w:rsidRPr="00B93552">
        <w:rPr>
          <w:rtl/>
        </w:rPr>
        <w:t xml:space="preserve">(أ). </w:t>
      </w:r>
      <w:proofErr w:type="gramStart"/>
      <w:r w:rsidRPr="00B93552">
        <w:rPr>
          <w:rtl/>
        </w:rPr>
        <w:t>وأي</w:t>
      </w:r>
      <w:r>
        <w:rPr>
          <w:rFonts w:hint="cs"/>
          <w:rtl/>
        </w:rPr>
        <w:t>ّ</w:t>
      </w:r>
      <w:r w:rsidRPr="00B93552">
        <w:rPr>
          <w:rtl/>
        </w:rPr>
        <w:t>د</w:t>
      </w:r>
      <w:proofErr w:type="gramEnd"/>
      <w:r w:rsidRPr="00B93552">
        <w:rPr>
          <w:rtl/>
        </w:rPr>
        <w:t xml:space="preserve"> بعض الوفود الاقتراح</w:t>
      </w:r>
      <w:r>
        <w:rPr>
          <w:rtl/>
        </w:rPr>
        <w:t xml:space="preserve"> الوارد في البند </w:t>
      </w:r>
      <w:r>
        <w:rPr>
          <w:rFonts w:hint="cs"/>
          <w:rtl/>
        </w:rPr>
        <w:t>"</w:t>
      </w:r>
      <w:r>
        <w:rPr>
          <w:rtl/>
        </w:rPr>
        <w:t>9</w:t>
      </w:r>
      <w:r>
        <w:rPr>
          <w:rFonts w:hint="cs"/>
          <w:rtl/>
        </w:rPr>
        <w:t>"</w:t>
      </w:r>
      <w:r>
        <w:rPr>
          <w:rtl/>
        </w:rPr>
        <w:t xml:space="preserve"> من المادة</w:t>
      </w:r>
      <w:r>
        <w:rPr>
          <w:rFonts w:hint="cs"/>
          <w:rtl/>
        </w:rPr>
        <w:t>3</w:t>
      </w:r>
      <w:r>
        <w:rPr>
          <w:rtl/>
        </w:rPr>
        <w:t>(1)</w:t>
      </w:r>
      <w:r w:rsidRPr="00B93552">
        <w:rPr>
          <w:rtl/>
        </w:rPr>
        <w:t>(أ).</w:t>
      </w:r>
    </w:p>
    <w:p w:rsidR="004B10CF" w:rsidRDefault="004B10CF" w:rsidP="004B23E0">
      <w:pPr>
        <w:pStyle w:val="FootnoteText"/>
      </w:pPr>
      <w:r w:rsidRPr="00B93552">
        <w:rPr>
          <w:rFonts w:hint="cs"/>
          <w:vertAlign w:val="superscript"/>
          <w:rtl/>
        </w:rPr>
        <w:t>8</w:t>
      </w:r>
      <w:r>
        <w:rPr>
          <w:rFonts w:hint="cs"/>
          <w:rtl/>
        </w:rPr>
        <w:tab/>
      </w:r>
      <w:r w:rsidRPr="00B93552">
        <w:rPr>
          <w:rtl/>
        </w:rPr>
        <w:t>أي</w:t>
      </w:r>
      <w:r>
        <w:rPr>
          <w:rFonts w:hint="cs"/>
          <w:rtl/>
        </w:rPr>
        <w:t>ّ</w:t>
      </w:r>
      <w:r>
        <w:rPr>
          <w:rtl/>
        </w:rPr>
        <w:t xml:space="preserve">د بعض الوفود البند </w:t>
      </w:r>
      <w:r>
        <w:rPr>
          <w:rFonts w:hint="cs"/>
          <w:rtl/>
        </w:rPr>
        <w:t>"</w:t>
      </w:r>
      <w:r>
        <w:rPr>
          <w:rtl/>
        </w:rPr>
        <w:t>9</w:t>
      </w:r>
      <w:r>
        <w:rPr>
          <w:rFonts w:hint="cs"/>
          <w:rtl/>
        </w:rPr>
        <w:t xml:space="preserve">" </w:t>
      </w:r>
      <w:r>
        <w:rPr>
          <w:rtl/>
        </w:rPr>
        <w:t xml:space="preserve">المقترح </w:t>
      </w:r>
      <w:r>
        <w:rPr>
          <w:rFonts w:hint="cs"/>
          <w:rtl/>
        </w:rPr>
        <w:t xml:space="preserve">في </w:t>
      </w:r>
      <w:r>
        <w:rPr>
          <w:rtl/>
        </w:rPr>
        <w:t>المادة 3(1)(أ)</w:t>
      </w:r>
      <w:r>
        <w:rPr>
          <w:rFonts w:hint="cs"/>
          <w:rtl/>
        </w:rPr>
        <w:t xml:space="preserve">، في حين </w:t>
      </w:r>
      <w:r>
        <w:rPr>
          <w:rtl/>
        </w:rPr>
        <w:t xml:space="preserve">لم </w:t>
      </w:r>
      <w:r>
        <w:rPr>
          <w:rFonts w:hint="cs"/>
          <w:rtl/>
        </w:rPr>
        <w:t>ي</w:t>
      </w:r>
      <w:r w:rsidRPr="00B93552">
        <w:rPr>
          <w:rtl/>
        </w:rPr>
        <w:t>ؤيد</w:t>
      </w:r>
      <w:r>
        <w:rPr>
          <w:rFonts w:hint="cs"/>
          <w:rtl/>
        </w:rPr>
        <w:t>ه</w:t>
      </w:r>
      <w:r w:rsidRPr="00B93552">
        <w:rPr>
          <w:rtl/>
        </w:rPr>
        <w:t xml:space="preserve"> </w:t>
      </w:r>
      <w:r>
        <w:rPr>
          <w:rFonts w:hint="cs"/>
          <w:rtl/>
        </w:rPr>
        <w:t>ال</w:t>
      </w:r>
      <w:r>
        <w:rPr>
          <w:rtl/>
        </w:rPr>
        <w:t xml:space="preserve">بعض </w:t>
      </w:r>
      <w:r>
        <w:rPr>
          <w:rFonts w:hint="cs"/>
          <w:rtl/>
        </w:rPr>
        <w:t>الآخر.</w:t>
      </w:r>
    </w:p>
  </w:footnote>
  <w:footnote w:id="4">
    <w:p w:rsidR="004B10CF" w:rsidRDefault="004B10CF">
      <w:pPr>
        <w:pStyle w:val="FootnoteText"/>
      </w:pPr>
      <w:r>
        <w:rPr>
          <w:rStyle w:val="FootnoteReference"/>
        </w:rPr>
        <w:t>23</w:t>
      </w:r>
      <w:r>
        <w:rPr>
          <w:rtl/>
        </w:rPr>
        <w:t xml:space="preserve"> </w:t>
      </w:r>
      <w:r>
        <w:rPr>
          <w:rFonts w:hint="cs"/>
          <w:rtl/>
        </w:rPr>
        <w:tab/>
      </w:r>
      <w:r w:rsidRPr="00480750">
        <w:rPr>
          <w:rtl/>
        </w:rPr>
        <w:t xml:space="preserve">اقترح </w:t>
      </w:r>
      <w:proofErr w:type="gramStart"/>
      <w:r w:rsidRPr="00480750">
        <w:rPr>
          <w:rtl/>
        </w:rPr>
        <w:t>وفد</w:t>
      </w:r>
      <w:proofErr w:type="gramEnd"/>
      <w:r w:rsidRPr="00480750">
        <w:rPr>
          <w:rtl/>
        </w:rPr>
        <w:t xml:space="preserve"> الولايات المتحدة ال</w:t>
      </w:r>
      <w:r>
        <w:rPr>
          <w:rtl/>
        </w:rPr>
        <w:t xml:space="preserve">أمريكية إدراج عبارة "المساعدة </w:t>
      </w:r>
      <w:r>
        <w:rPr>
          <w:rFonts w:hint="cs"/>
          <w:rtl/>
        </w:rPr>
        <w:t>في مجال</w:t>
      </w:r>
      <w:r>
        <w:rPr>
          <w:rtl/>
        </w:rPr>
        <w:t>" بعد كلمة "ت</w:t>
      </w:r>
      <w:r>
        <w:rPr>
          <w:rFonts w:hint="cs"/>
          <w:rtl/>
        </w:rPr>
        <w:t>شمل</w:t>
      </w:r>
      <w:r w:rsidRPr="00480750">
        <w:rPr>
          <w:rtl/>
        </w:rPr>
        <w:t>".</w:t>
      </w:r>
    </w:p>
  </w:footnote>
  <w:footnote w:id="5">
    <w:p w:rsidR="004B10CF" w:rsidRDefault="004B10CF">
      <w:pPr>
        <w:pStyle w:val="FootnoteText"/>
      </w:pPr>
      <w:r>
        <w:rPr>
          <w:rStyle w:val="FootnoteReference"/>
        </w:rPr>
        <w:t>24</w:t>
      </w:r>
      <w:r>
        <w:rPr>
          <w:rtl/>
        </w:rPr>
        <w:t xml:space="preserve"> </w:t>
      </w:r>
      <w:r>
        <w:rPr>
          <w:rFonts w:hint="cs"/>
          <w:rtl/>
        </w:rPr>
        <w:tab/>
      </w:r>
      <w:proofErr w:type="gramStart"/>
      <w:r w:rsidRPr="00B64F5B">
        <w:rPr>
          <w:rtl/>
        </w:rPr>
        <w:t>ر</w:t>
      </w:r>
      <w:r>
        <w:rPr>
          <w:rtl/>
        </w:rPr>
        <w:t>أت</w:t>
      </w:r>
      <w:proofErr w:type="gramEnd"/>
      <w:r>
        <w:rPr>
          <w:rtl/>
        </w:rPr>
        <w:t xml:space="preserve"> بعض الوفود أن موضوع هذ</w:t>
      </w:r>
      <w:r>
        <w:rPr>
          <w:rFonts w:hint="cs"/>
          <w:rtl/>
        </w:rPr>
        <w:t>ا الحكم</w:t>
      </w:r>
      <w:r>
        <w:rPr>
          <w:rtl/>
        </w:rPr>
        <w:t xml:space="preserve"> </w:t>
      </w:r>
      <w:r>
        <w:rPr>
          <w:rFonts w:hint="cs"/>
          <w:rtl/>
        </w:rPr>
        <w:t>أ</w:t>
      </w:r>
      <w:r w:rsidRPr="00B64F5B">
        <w:rPr>
          <w:rtl/>
        </w:rPr>
        <w:t>نسب لقرار. وفض</w:t>
      </w:r>
      <w:r>
        <w:rPr>
          <w:rFonts w:hint="cs"/>
          <w:rtl/>
        </w:rPr>
        <w:t>ّ</w:t>
      </w:r>
      <w:r>
        <w:rPr>
          <w:rtl/>
        </w:rPr>
        <w:t xml:space="preserve">لت </w:t>
      </w:r>
      <w:proofErr w:type="gramStart"/>
      <w:r>
        <w:rPr>
          <w:rtl/>
        </w:rPr>
        <w:t>وفود</w:t>
      </w:r>
      <w:proofErr w:type="gramEnd"/>
      <w:r>
        <w:rPr>
          <w:rtl/>
        </w:rPr>
        <w:t xml:space="preserve"> أخرى إدراج</w:t>
      </w:r>
      <w:r>
        <w:rPr>
          <w:rFonts w:hint="cs"/>
          <w:rtl/>
        </w:rPr>
        <w:t>ه</w:t>
      </w:r>
      <w:r w:rsidRPr="00B64F5B">
        <w:rPr>
          <w:rtl/>
        </w:rPr>
        <w:t xml:space="preserve"> في مادة منفصلة. </w:t>
      </w:r>
      <w:proofErr w:type="gramStart"/>
      <w:r w:rsidRPr="00B64F5B">
        <w:rPr>
          <w:rtl/>
        </w:rPr>
        <w:t>ورأت</w:t>
      </w:r>
      <w:proofErr w:type="gramEnd"/>
      <w:r w:rsidRPr="00B64F5B">
        <w:rPr>
          <w:rtl/>
        </w:rPr>
        <w:t xml:space="preserve"> وفود أخ</w:t>
      </w:r>
      <w:r>
        <w:rPr>
          <w:rtl/>
        </w:rPr>
        <w:t xml:space="preserve">رى أن هذا الحكم لا ينبغي أن </w:t>
      </w:r>
      <w:r>
        <w:rPr>
          <w:rFonts w:hint="cs"/>
          <w:rtl/>
        </w:rPr>
        <w:t>يكون</w:t>
      </w:r>
      <w:r w:rsidRPr="00B64F5B">
        <w:rPr>
          <w:rtl/>
        </w:rPr>
        <w:t xml:space="preserve"> في المعاهدة.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CF" w:rsidRDefault="004B10CF" w:rsidP="0014388A">
    <w:r>
      <w:t>WO/GA/49/</w:t>
    </w:r>
    <w:r w:rsidRPr="00736AE6">
      <w:rPr>
        <w:rFonts w:hint="cs"/>
        <w:sz w:val="24"/>
        <w:szCs w:val="22"/>
        <w:rtl/>
      </w:rPr>
      <w:t>8</w:t>
    </w:r>
  </w:p>
  <w:p w:rsidR="004B10CF" w:rsidRDefault="004B10CF" w:rsidP="00D61541">
    <w:r>
      <w:fldChar w:fldCharType="begin"/>
    </w:r>
    <w:r>
      <w:instrText xml:space="preserve"> PAGE  \* MERGEFORMAT </w:instrText>
    </w:r>
    <w:r>
      <w:fldChar w:fldCharType="separate"/>
    </w:r>
    <w:r w:rsidR="00FA246A">
      <w:rPr>
        <w:noProof/>
      </w:rPr>
      <w:t>2</w:t>
    </w:r>
    <w:r>
      <w:fldChar w:fldCharType="end"/>
    </w:r>
  </w:p>
  <w:p w:rsidR="004B10CF" w:rsidRDefault="004B10C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CF" w:rsidRPr="00B26039" w:rsidRDefault="004B10CF" w:rsidP="00B64F5B">
    <w:r w:rsidRPr="00B26039">
      <w:t>WO/GA/</w:t>
    </w:r>
    <w:r>
      <w:t>49</w:t>
    </w:r>
    <w:r w:rsidRPr="00B26039">
      <w:t>/</w:t>
    </w:r>
    <w:r>
      <w:t>8</w:t>
    </w:r>
  </w:p>
  <w:p w:rsidR="004B10CF" w:rsidRDefault="004B10CF" w:rsidP="00B64F5B">
    <w:r>
      <w:t>Annex</w:t>
    </w:r>
  </w:p>
  <w:p w:rsidR="004B10CF" w:rsidRDefault="004B10CF" w:rsidP="00B64F5B">
    <w:r>
      <w:fldChar w:fldCharType="begin"/>
    </w:r>
    <w:r>
      <w:instrText xml:space="preserve"> PAGE  \* MERGEFORMAT </w:instrText>
    </w:r>
    <w:r>
      <w:fldChar w:fldCharType="separate"/>
    </w:r>
    <w:r w:rsidR="00FA246A">
      <w:rPr>
        <w:noProof/>
      </w:rPr>
      <w:t>4</w:t>
    </w:r>
    <w:r>
      <w:fldChar w:fldCharType="end"/>
    </w:r>
  </w:p>
  <w:p w:rsidR="004B10CF" w:rsidRDefault="004B10CF"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CF" w:rsidRDefault="004B10CF" w:rsidP="00B64F5B">
    <w:r>
      <w:t>WO/GA/49/8</w:t>
    </w:r>
  </w:p>
  <w:p w:rsidR="004B10CF" w:rsidRDefault="004B10CF" w:rsidP="00B64F5B">
    <w:r>
      <w:t>ANNEX</w:t>
    </w:r>
  </w:p>
  <w:p w:rsidR="004B10CF" w:rsidRDefault="004B10CF" w:rsidP="00B64F5B">
    <w:pPr>
      <w:pStyle w:val="Header"/>
    </w:pPr>
    <w:r w:rsidRPr="00614DC7">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30"/>
    <w:rsid w:val="00000D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CEE"/>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388A"/>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462"/>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293A"/>
    <w:rsid w:val="002D3506"/>
    <w:rsid w:val="002D3670"/>
    <w:rsid w:val="002D3EDC"/>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750"/>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2E"/>
    <w:rsid w:val="004A31A2"/>
    <w:rsid w:val="004A48A7"/>
    <w:rsid w:val="004A655D"/>
    <w:rsid w:val="004B01B1"/>
    <w:rsid w:val="004B08D1"/>
    <w:rsid w:val="004B10CF"/>
    <w:rsid w:val="004B10E6"/>
    <w:rsid w:val="004B198F"/>
    <w:rsid w:val="004B23E0"/>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4F6977"/>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AF4"/>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10F"/>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AE6"/>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758"/>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B47"/>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FBE"/>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F5B"/>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552"/>
    <w:rsid w:val="00B93957"/>
    <w:rsid w:val="00B9404A"/>
    <w:rsid w:val="00B9432C"/>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0AF"/>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2F3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46A"/>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rsid w:val="00B64F5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rsid w:val="00B64F5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AF28-AC9E-4B51-A22F-D2A109A5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WO_GA_49_AR.dotx</Template>
  <TotalTime>211</TotalTime>
  <Pages>4</Pages>
  <Words>1003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WO/GA/49/-- (Arabic)</vt:lpstr>
    </vt:vector>
  </TitlesOfParts>
  <Company>World Intellectual Property Organization</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 (Arabic)</dc:title>
  <dc:creator>Basel Alakhras</dc:creator>
  <cp:lastModifiedBy>YOUSSEF Randa</cp:lastModifiedBy>
  <cp:revision>7</cp:revision>
  <cp:lastPrinted>2017-06-02T08:47:00Z</cp:lastPrinted>
  <dcterms:created xsi:type="dcterms:W3CDTF">2017-06-01T11:52:00Z</dcterms:created>
  <dcterms:modified xsi:type="dcterms:W3CDTF">2017-06-02T08:47:00Z</dcterms:modified>
</cp:coreProperties>
</file>