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772E46" w:rsidP="00A834F7">
            <w:pPr>
              <w:pStyle w:val="DocumentCodeAR"/>
              <w:bidi/>
            </w:pPr>
            <w:r>
              <w:t>WO/</w:t>
            </w:r>
            <w:r w:rsidR="0059089F">
              <w:t>GA</w:t>
            </w:r>
            <w:r w:rsidR="00100F97">
              <w:t>/</w:t>
            </w:r>
            <w:r w:rsidR="009B48E3">
              <w:t>48</w:t>
            </w:r>
            <w:r w:rsidR="00B6101C" w:rsidRPr="00B6101C">
              <w:t>/</w:t>
            </w:r>
            <w:r w:rsidR="000658E1">
              <w:t>11</w:t>
            </w:r>
          </w:p>
        </w:tc>
      </w:tr>
      <w:tr w:rsidR="001667B6" w:rsidTr="00BF164F">
        <w:tc>
          <w:tcPr>
            <w:tcW w:w="9571" w:type="dxa"/>
            <w:gridSpan w:val="3"/>
          </w:tcPr>
          <w:p w:rsidR="001667B6" w:rsidRPr="00B6101C" w:rsidRDefault="00B6101C" w:rsidP="00961203">
            <w:pPr>
              <w:pStyle w:val="DocumentLanguageAR"/>
              <w:bidi/>
              <w:rPr>
                <w:rtl/>
              </w:rPr>
            </w:pPr>
            <w:r w:rsidRPr="00B6101C">
              <w:rPr>
                <w:rFonts w:hint="cs"/>
                <w:rtl/>
              </w:rPr>
              <w:t xml:space="preserve">الأصل: </w:t>
            </w:r>
            <w:proofErr w:type="gramStart"/>
            <w:r w:rsidR="00961203">
              <w:rPr>
                <w:rFonts w:hint="cs"/>
                <w:rtl/>
              </w:rPr>
              <w:t>بالإنكليزية</w:t>
            </w:r>
            <w:proofErr w:type="gramEnd"/>
          </w:p>
        </w:tc>
      </w:tr>
      <w:tr w:rsidR="001667B6" w:rsidTr="00BF164F">
        <w:tc>
          <w:tcPr>
            <w:tcW w:w="9571" w:type="dxa"/>
            <w:gridSpan w:val="3"/>
          </w:tcPr>
          <w:p w:rsidR="001667B6" w:rsidRPr="00B6101C" w:rsidRDefault="00B6101C" w:rsidP="000658E1">
            <w:pPr>
              <w:pStyle w:val="DocumentDateAR"/>
              <w:bidi/>
              <w:rPr>
                <w:rtl/>
              </w:rPr>
            </w:pPr>
            <w:r w:rsidRPr="00B6101C">
              <w:rPr>
                <w:rFonts w:hint="cs"/>
                <w:rtl/>
              </w:rPr>
              <w:t xml:space="preserve">التاريخ: </w:t>
            </w:r>
            <w:r w:rsidR="000658E1">
              <w:rPr>
                <w:rFonts w:hint="cs"/>
                <w:rtl/>
              </w:rPr>
              <w:t>20</w:t>
            </w:r>
            <w:r w:rsidRPr="00B6101C">
              <w:rPr>
                <w:rFonts w:hint="cs"/>
                <w:rtl/>
              </w:rPr>
              <w:t xml:space="preserve"> </w:t>
            </w:r>
            <w:proofErr w:type="gramStart"/>
            <w:r w:rsidR="000658E1">
              <w:rPr>
                <w:rFonts w:hint="cs"/>
                <w:rtl/>
              </w:rPr>
              <w:t>سبتمبر</w:t>
            </w:r>
            <w:proofErr w:type="gramEnd"/>
            <w:r w:rsidRPr="00B6101C">
              <w:rPr>
                <w:rFonts w:hint="cs"/>
                <w:rtl/>
              </w:rPr>
              <w:t xml:space="preserve"> </w:t>
            </w:r>
            <w:r w:rsidR="009B48E3">
              <w:rPr>
                <w:rFonts w:hint="cs"/>
                <w:rtl/>
              </w:rPr>
              <w:t>2016</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59089F" w:rsidRDefault="0059089F" w:rsidP="000D7BA7">
      <w:pPr>
        <w:pStyle w:val="MeetingTitleAR"/>
        <w:bidi/>
        <w:ind w:right="550"/>
        <w:rPr>
          <w:rtl/>
          <w:lang w:val="fr-CH"/>
        </w:rPr>
      </w:pPr>
      <w:r>
        <w:rPr>
          <w:rFonts w:hint="cs"/>
          <w:rtl/>
          <w:lang w:val="fr-CH"/>
        </w:rPr>
        <w:t>الجمعية العامة للويبو</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59089F" w:rsidP="009B48E3">
      <w:pPr>
        <w:pStyle w:val="MeetingSessionAR"/>
        <w:bidi/>
        <w:rPr>
          <w:rFonts w:ascii="Cambria Math" w:hAnsi="Cambria Math"/>
          <w:rtl/>
        </w:rPr>
      </w:pPr>
      <w:r w:rsidRPr="0059089F">
        <w:rPr>
          <w:rFonts w:ascii="Cambria Math" w:hAnsi="Cambria Math"/>
          <w:rtl/>
        </w:rPr>
        <w:t xml:space="preserve">الدورة </w:t>
      </w:r>
      <w:r w:rsidR="009B48E3">
        <w:rPr>
          <w:rFonts w:ascii="Cambria Math" w:hAnsi="Cambria Math" w:hint="cs"/>
          <w:rtl/>
        </w:rPr>
        <w:t>الثامنة</w:t>
      </w:r>
      <w:r w:rsidR="00F03C3E">
        <w:rPr>
          <w:rFonts w:ascii="Cambria Math" w:hAnsi="Cambria Math" w:hint="cs"/>
          <w:rtl/>
        </w:rPr>
        <w:t xml:space="preserve"> </w:t>
      </w:r>
      <w:r w:rsidRPr="0059089F">
        <w:rPr>
          <w:rFonts w:ascii="Cambria Math" w:hAnsi="Cambria Math"/>
          <w:rtl/>
        </w:rPr>
        <w:t xml:space="preserve">والأربعون (الدورة </w:t>
      </w:r>
      <w:r w:rsidR="009B48E3">
        <w:rPr>
          <w:rFonts w:ascii="Cambria Math" w:hAnsi="Cambria Math" w:hint="cs"/>
          <w:rtl/>
        </w:rPr>
        <w:t>الاستثنائية السادسة</w:t>
      </w:r>
      <w:r w:rsidR="00F03C3E">
        <w:rPr>
          <w:rFonts w:ascii="Cambria Math" w:hAnsi="Cambria Math" w:hint="cs"/>
          <w:rtl/>
        </w:rPr>
        <w:t xml:space="preserve"> </w:t>
      </w:r>
      <w:proofErr w:type="gramStart"/>
      <w:r w:rsidRPr="0059089F">
        <w:rPr>
          <w:rFonts w:ascii="Cambria Math" w:hAnsi="Cambria Math"/>
          <w:rtl/>
        </w:rPr>
        <w:t>والعشرون</w:t>
      </w:r>
      <w:proofErr w:type="gramEnd"/>
      <w:r w:rsidRPr="0059089F">
        <w:rPr>
          <w:rFonts w:ascii="Cambria Math" w:hAnsi="Cambria Math"/>
          <w:rtl/>
        </w:rPr>
        <w:t>)</w:t>
      </w:r>
    </w:p>
    <w:p w:rsidR="00D61541" w:rsidRPr="00D61541" w:rsidRDefault="00D61541" w:rsidP="009B48E3">
      <w:pPr>
        <w:pStyle w:val="MeetingDatesAR"/>
        <w:bidi/>
        <w:rPr>
          <w:rtl/>
        </w:rPr>
      </w:pPr>
      <w:r w:rsidRPr="00D61541">
        <w:rPr>
          <w:rFonts w:hint="cs"/>
          <w:rtl/>
        </w:rPr>
        <w:t xml:space="preserve">جنيف، </w:t>
      </w:r>
      <w:proofErr w:type="gramStart"/>
      <w:r w:rsidR="00A834F7">
        <w:rPr>
          <w:rFonts w:hint="cs"/>
          <w:rtl/>
        </w:rPr>
        <w:t>من</w:t>
      </w:r>
      <w:proofErr w:type="gramEnd"/>
      <w:r w:rsidR="00A834F7">
        <w:rPr>
          <w:rFonts w:hint="cs"/>
          <w:rtl/>
        </w:rPr>
        <w:t xml:space="preserve"> </w:t>
      </w:r>
      <w:r w:rsidR="009B48E3">
        <w:rPr>
          <w:rFonts w:hint="cs"/>
          <w:rtl/>
        </w:rPr>
        <w:t>3</w:t>
      </w:r>
      <w:r w:rsidR="00A834F7">
        <w:rPr>
          <w:rFonts w:hint="cs"/>
          <w:rtl/>
        </w:rPr>
        <w:t xml:space="preserve"> إلى </w:t>
      </w:r>
      <w:r w:rsidR="009B48E3">
        <w:rPr>
          <w:rFonts w:hint="cs"/>
          <w:rtl/>
        </w:rPr>
        <w:t>11</w:t>
      </w:r>
      <w:r w:rsidR="00A834F7">
        <w:rPr>
          <w:rFonts w:hint="cs"/>
          <w:rtl/>
        </w:rPr>
        <w:t xml:space="preserve"> أكتوبر</w:t>
      </w:r>
      <w:r w:rsidR="00F03C3E">
        <w:rPr>
          <w:rFonts w:hint="cs"/>
          <w:rtl/>
        </w:rPr>
        <w:t xml:space="preserve"> </w:t>
      </w:r>
      <w:r w:rsidR="009B48E3">
        <w:rPr>
          <w:rFonts w:hint="cs"/>
          <w:rtl/>
        </w:rPr>
        <w:t>2016</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2660C0" w:rsidP="00FB7EC9">
      <w:pPr>
        <w:pStyle w:val="DocumentTitleAR"/>
        <w:bidi/>
        <w:rPr>
          <w:rtl/>
        </w:rPr>
      </w:pPr>
      <w:r>
        <w:rPr>
          <w:rFonts w:hint="cs"/>
          <w:rtl/>
        </w:rPr>
        <w:t>تقرير عن اللجنة الاستشارية المعنية بالإنفاذ</w:t>
      </w:r>
    </w:p>
    <w:p w:rsidR="00D61541" w:rsidRPr="00D61541" w:rsidRDefault="00D61541" w:rsidP="00931859">
      <w:pPr>
        <w:pStyle w:val="PreparedbyAR"/>
        <w:bidi/>
        <w:rPr>
          <w:rtl/>
        </w:rPr>
      </w:pPr>
      <w:proofErr w:type="gramStart"/>
      <w:r w:rsidRPr="00D61541">
        <w:rPr>
          <w:rFonts w:hint="cs"/>
          <w:rtl/>
        </w:rPr>
        <w:t>من</w:t>
      </w:r>
      <w:proofErr w:type="gramEnd"/>
      <w:r w:rsidRPr="00D61541">
        <w:rPr>
          <w:rFonts w:hint="cs"/>
          <w:rtl/>
        </w:rPr>
        <w:t xml:space="preserve"> </w:t>
      </w:r>
      <w:r w:rsidRPr="00931859">
        <w:rPr>
          <w:rFonts w:hint="cs"/>
          <w:rtl/>
        </w:rPr>
        <w:t>إعداد</w:t>
      </w:r>
      <w:r w:rsidR="002660C0">
        <w:rPr>
          <w:rFonts w:hint="cs"/>
          <w:rtl/>
        </w:rPr>
        <w:t xml:space="preserve"> الأمانة</w:t>
      </w:r>
    </w:p>
    <w:p w:rsidR="009B48E3" w:rsidRDefault="005349A0" w:rsidP="003E5667">
      <w:pPr>
        <w:pStyle w:val="NumberedParaAR"/>
      </w:pPr>
      <w:r>
        <w:rPr>
          <w:rFonts w:hint="cs"/>
          <w:rtl/>
        </w:rPr>
        <w:t>خلال الفترة قيد البحث، عقدت اللجنة الاستشارية المعنية بالإنفاذ (اللجنة) دورتها العاشرة في الفترة من 23 إلى 25</w:t>
      </w:r>
      <w:r>
        <w:rPr>
          <w:rFonts w:hint="eastAsia"/>
          <w:rtl/>
        </w:rPr>
        <w:t> </w:t>
      </w:r>
      <w:r>
        <w:rPr>
          <w:rFonts w:hint="cs"/>
          <w:rtl/>
        </w:rPr>
        <w:t>نوفمبر</w:t>
      </w:r>
      <w:r>
        <w:rPr>
          <w:rFonts w:hint="eastAsia"/>
          <w:rtl/>
        </w:rPr>
        <w:t> </w:t>
      </w:r>
      <w:r>
        <w:rPr>
          <w:rFonts w:hint="cs"/>
          <w:rtl/>
        </w:rPr>
        <w:t>2015</w:t>
      </w:r>
      <w:r w:rsidR="00B97802">
        <w:rPr>
          <w:rFonts w:hint="cs"/>
          <w:rtl/>
        </w:rPr>
        <w:t xml:space="preserve"> ودورتها الحادية عشرة من 5 إلى 7 سبتمبر 2016</w:t>
      </w:r>
      <w:r w:rsidR="00DF40F8">
        <w:rPr>
          <w:rFonts w:hint="cs"/>
          <w:rtl/>
        </w:rPr>
        <w:t>. وترأست الدورتين</w:t>
      </w:r>
      <w:r w:rsidR="003E5667">
        <w:rPr>
          <w:rFonts w:hint="cs"/>
          <w:rtl/>
        </w:rPr>
        <w:t>، على حد سواء،</w:t>
      </w:r>
      <w:r>
        <w:rPr>
          <w:rFonts w:hint="cs"/>
          <w:rtl/>
        </w:rPr>
        <w:t xml:space="preserve"> السيدة أ</w:t>
      </w:r>
      <w:r w:rsidR="003E5667">
        <w:rPr>
          <w:rFonts w:hint="cs"/>
          <w:rtl/>
        </w:rPr>
        <w:t xml:space="preserve">ماندا </w:t>
      </w:r>
      <w:proofErr w:type="spellStart"/>
      <w:r w:rsidR="003E5667">
        <w:rPr>
          <w:rFonts w:hint="cs"/>
          <w:rtl/>
        </w:rPr>
        <w:t>لوثيرينجين</w:t>
      </w:r>
      <w:proofErr w:type="spellEnd"/>
      <w:r w:rsidR="003E5667">
        <w:rPr>
          <w:rFonts w:hint="cs"/>
          <w:rtl/>
        </w:rPr>
        <w:t xml:space="preserve"> (جنوب أفريقيا).</w:t>
      </w:r>
    </w:p>
    <w:p w:rsidR="003E5667" w:rsidRPr="003E5667" w:rsidRDefault="003E5667" w:rsidP="003E5667">
      <w:pPr>
        <w:pStyle w:val="NumberedParaAR"/>
        <w:numPr>
          <w:ilvl w:val="0"/>
          <w:numId w:val="0"/>
        </w:numPr>
        <w:rPr>
          <w:b/>
          <w:bCs/>
        </w:rPr>
      </w:pPr>
      <w:r w:rsidRPr="003E5667">
        <w:rPr>
          <w:rFonts w:hint="cs"/>
          <w:b/>
          <w:bCs/>
          <w:rtl/>
        </w:rPr>
        <w:t>أولاً.</w:t>
      </w:r>
      <w:r w:rsidRPr="003E5667">
        <w:rPr>
          <w:rFonts w:hint="cs"/>
          <w:b/>
          <w:bCs/>
          <w:rtl/>
        </w:rPr>
        <w:tab/>
        <w:t>الدورة العاشرة للجنة الاستشارية المعنية بالإنفاذ</w:t>
      </w:r>
    </w:p>
    <w:p w:rsidR="005349A0" w:rsidRDefault="005349A0" w:rsidP="005349A0">
      <w:pPr>
        <w:pStyle w:val="NumberedParaAR"/>
      </w:pPr>
      <w:r>
        <w:rPr>
          <w:rFonts w:hint="cs"/>
          <w:rtl/>
        </w:rPr>
        <w:t>تناولت الدورة العاشرة برنامج العمل التالي:</w:t>
      </w:r>
    </w:p>
    <w:p w:rsidR="005349A0" w:rsidRDefault="005349A0" w:rsidP="005349A0">
      <w:pPr>
        <w:pStyle w:val="NumberedParaAR"/>
        <w:numPr>
          <w:ilvl w:val="0"/>
          <w:numId w:val="21"/>
        </w:numPr>
      </w:pPr>
      <w:r w:rsidRPr="005349A0">
        <w:rPr>
          <w:rtl/>
        </w:rPr>
        <w:t xml:space="preserve">ممارسات الأنظمة البديلة لتسوية منازعات الملكية الفكرية وطرق </w:t>
      </w:r>
      <w:proofErr w:type="gramStart"/>
      <w:r w:rsidRPr="005349A0">
        <w:rPr>
          <w:rtl/>
        </w:rPr>
        <w:t>عملها</w:t>
      </w:r>
      <w:proofErr w:type="gramEnd"/>
      <w:r w:rsidR="005B63A0">
        <w:rPr>
          <w:rFonts w:hint="cs"/>
          <w:rtl/>
        </w:rPr>
        <w:t>؛</w:t>
      </w:r>
    </w:p>
    <w:p w:rsidR="005B63A0" w:rsidRDefault="005B63A0" w:rsidP="005B63A0">
      <w:pPr>
        <w:pStyle w:val="NumberedParaAR"/>
        <w:numPr>
          <w:ilvl w:val="0"/>
          <w:numId w:val="21"/>
        </w:numPr>
      </w:pPr>
      <w:r w:rsidRPr="005B63A0">
        <w:rPr>
          <w:rtl/>
        </w:rPr>
        <w:t>‏</w:t>
      </w:r>
      <w:r>
        <w:rPr>
          <w:rFonts w:hint="cs"/>
          <w:rtl/>
        </w:rPr>
        <w:t>و</w:t>
      </w:r>
      <w:r w:rsidRPr="005B63A0">
        <w:rPr>
          <w:rtl/>
        </w:rPr>
        <w:t>الإجراءات أو التدابير الوقائية أو التجارب الناجحة لاستكمال تدابير الإنفاذ الجارية بغية تقليص حجم سوق المنتجات المقلّدة أو المقرصنة</w:t>
      </w:r>
    </w:p>
    <w:p w:rsidR="005B63A0" w:rsidRDefault="0013327E" w:rsidP="0013327E">
      <w:pPr>
        <w:pStyle w:val="NumberedParaAR"/>
      </w:pPr>
      <w:r>
        <w:rPr>
          <w:rFonts w:hint="cs"/>
          <w:rtl/>
        </w:rPr>
        <w:t xml:space="preserve">وتم </w:t>
      </w:r>
      <w:proofErr w:type="gramStart"/>
      <w:r w:rsidR="00ED7F80">
        <w:rPr>
          <w:rFonts w:hint="cs"/>
          <w:rtl/>
        </w:rPr>
        <w:t>تناول</w:t>
      </w:r>
      <w:proofErr w:type="gramEnd"/>
      <w:r w:rsidR="00ED7F80">
        <w:rPr>
          <w:rFonts w:hint="cs"/>
          <w:rtl/>
        </w:rPr>
        <w:t xml:space="preserve"> برنامج العمل استنادا إلى 22</w:t>
      </w:r>
      <w:r>
        <w:rPr>
          <w:rFonts w:hint="eastAsia"/>
          <w:rtl/>
        </w:rPr>
        <w:t> </w:t>
      </w:r>
      <w:r w:rsidR="00ED7F80">
        <w:rPr>
          <w:rFonts w:hint="cs"/>
          <w:rtl/>
        </w:rPr>
        <w:t>عرضا من عروض الخبراء ومناقشتين جماعيتين.</w:t>
      </w:r>
      <w:r w:rsidR="00ED7F80">
        <w:rPr>
          <w:rStyle w:val="FootnoteReference"/>
          <w:rtl/>
        </w:rPr>
        <w:footnoteReference w:id="1"/>
      </w:r>
      <w:r w:rsidR="00ED7F80">
        <w:rPr>
          <w:rFonts w:hint="cs"/>
          <w:rtl/>
        </w:rPr>
        <w:t xml:space="preserve"> واستُهل بند برنامج العمل بشأن "</w:t>
      </w:r>
      <w:r w:rsidR="00ED7F80" w:rsidRPr="00ED7F80">
        <w:rPr>
          <w:rtl/>
        </w:rPr>
        <w:t>ممارسات الأنظمة البديلة لتسوية منازعات الملكية الفكرية وطرق عملها</w:t>
      </w:r>
      <w:r w:rsidR="00ED7F80">
        <w:rPr>
          <w:rFonts w:hint="cs"/>
          <w:rtl/>
        </w:rPr>
        <w:t xml:space="preserve">" بعرضين عن التجارب الوطنية من تقديم </w:t>
      </w:r>
      <w:r w:rsidR="00ED7F80" w:rsidRPr="00ED7F80">
        <w:rPr>
          <w:rtl/>
        </w:rPr>
        <w:t>مركز المصالحة والتحكيم التابع للمديرية الوطنية لحق المؤلف في كولومبيا</w:t>
      </w:r>
      <w:r w:rsidR="00ED7F80">
        <w:rPr>
          <w:rFonts w:hint="cs"/>
          <w:rtl/>
        </w:rPr>
        <w:t xml:space="preserve"> </w:t>
      </w:r>
      <w:r w:rsidR="00ED7F80" w:rsidRPr="00ED7F80">
        <w:rPr>
          <w:rtl/>
        </w:rPr>
        <w:t>وبرنامج الوساطة التابع لمكتب الفلبين للملكية الفكرية</w:t>
      </w:r>
      <w:r w:rsidR="00ED7F80">
        <w:rPr>
          <w:rFonts w:hint="cs"/>
          <w:rtl/>
        </w:rPr>
        <w:t xml:space="preserve">. </w:t>
      </w:r>
      <w:r w:rsidR="00ED7F80" w:rsidRPr="00ED7F80">
        <w:rPr>
          <w:rtl/>
        </w:rPr>
        <w:t xml:space="preserve">وعقب ذلك، </w:t>
      </w:r>
      <w:r w:rsidR="00ED7F80">
        <w:rPr>
          <w:rFonts w:hint="cs"/>
          <w:rtl/>
        </w:rPr>
        <w:t>قُدمت عروض</w:t>
      </w:r>
      <w:r w:rsidR="00ED7F80" w:rsidRPr="00ED7F80">
        <w:rPr>
          <w:rtl/>
        </w:rPr>
        <w:t xml:space="preserve"> </w:t>
      </w:r>
      <w:r w:rsidR="00ED7F80">
        <w:rPr>
          <w:rFonts w:hint="cs"/>
          <w:rtl/>
        </w:rPr>
        <w:t xml:space="preserve">عن </w:t>
      </w:r>
      <w:r w:rsidR="00ED7F80" w:rsidRPr="00ED7F80">
        <w:rPr>
          <w:rtl/>
        </w:rPr>
        <w:t>الإجراء المعجّل لتسوية المنازعات الخاص ب</w:t>
      </w:r>
      <w:r w:rsidR="0040120F">
        <w:rPr>
          <w:rtl/>
        </w:rPr>
        <w:t xml:space="preserve">مركز </w:t>
      </w:r>
      <w:proofErr w:type="spellStart"/>
      <w:r w:rsidR="0040120F">
        <w:rPr>
          <w:rtl/>
        </w:rPr>
        <w:t>باليكسبو</w:t>
      </w:r>
      <w:proofErr w:type="spellEnd"/>
      <w:r w:rsidR="0040120F">
        <w:rPr>
          <w:rtl/>
        </w:rPr>
        <w:t xml:space="preserve"> للمعارض التجارية،</w:t>
      </w:r>
      <w:r w:rsidR="0040120F">
        <w:rPr>
          <w:rFonts w:hint="cs"/>
          <w:rtl/>
        </w:rPr>
        <w:t xml:space="preserve"> وتجربة صربيا في تسوية المنازعات المتعلقة بأسماء الحقول، و</w:t>
      </w:r>
      <w:r w:rsidR="0040120F" w:rsidRPr="0040120F">
        <w:rPr>
          <w:rtl/>
        </w:rPr>
        <w:t xml:space="preserve">عناصر التصميم الخاصة بالسياسة الموحدة لتسوية </w:t>
      </w:r>
      <w:r w:rsidR="0040120F">
        <w:rPr>
          <w:rtl/>
        </w:rPr>
        <w:t>المنازعات المتعلقة بأسماء الحقو</w:t>
      </w:r>
      <w:r w:rsidR="0040120F">
        <w:rPr>
          <w:rFonts w:hint="cs"/>
          <w:rtl/>
        </w:rPr>
        <w:t xml:space="preserve">ل. </w:t>
      </w:r>
      <w:r w:rsidR="0040120F" w:rsidRPr="0040120F">
        <w:rPr>
          <w:rtl/>
        </w:rPr>
        <w:t>وقدمت الأمانة وجهة نظرها في سياق أنشطة مركز الويبو للتحكيم والوساطة.</w:t>
      </w:r>
    </w:p>
    <w:p w:rsidR="00BE37CC" w:rsidRDefault="007B1F68" w:rsidP="007B1F68">
      <w:pPr>
        <w:pStyle w:val="NumberedParaAR"/>
      </w:pPr>
      <w:r>
        <w:rPr>
          <w:rFonts w:hint="cs"/>
          <w:rtl/>
        </w:rPr>
        <w:lastRenderedPageBreak/>
        <w:t>وفيما يخص بند جدول الأعمال عن "</w:t>
      </w:r>
      <w:r w:rsidRPr="007B1F68">
        <w:rPr>
          <w:rtl/>
        </w:rPr>
        <w:t>الإجراءات أو التدابير الوقائية أو التجارب الناجحة لاستكمال تدابير الإنفاذ الجارية بغية تقليص حجم سوق المنتجات المقلّدة أو المقرصنة</w:t>
      </w:r>
      <w:r>
        <w:rPr>
          <w:rFonts w:hint="cs"/>
          <w:rtl/>
        </w:rPr>
        <w:t xml:space="preserve">"، </w:t>
      </w:r>
      <w:r w:rsidRPr="007B1F68">
        <w:rPr>
          <w:rtl/>
        </w:rPr>
        <w:t>استمعت اللجنة إلى عروض في إطار البنود الفرعية بشأن "إذكاء الوعي" و"الأدوات التعليمية للشباب" و"منع التعديات في البيئة الإلكترونية" و"الاستراتيجيات الوطنية لإذكاء الاحترام للملكية الفكرية"، فضلا عن مناقشة جماعية بشأن "التعاون الاستراتيجي".</w:t>
      </w:r>
    </w:p>
    <w:p w:rsidR="007B1F68" w:rsidRDefault="007B1F68" w:rsidP="00A967EB">
      <w:pPr>
        <w:pStyle w:val="NumberedParaAR"/>
      </w:pPr>
      <w:r w:rsidRPr="007B1F68">
        <w:rPr>
          <w:rtl/>
        </w:rPr>
        <w:t>وضمن البند الفرعي بشأن "إذكاء الوعي"، عُرضت ت</w:t>
      </w:r>
      <w:r>
        <w:rPr>
          <w:rtl/>
        </w:rPr>
        <w:t>جربة إقليمية وأربع تجارب وطنية</w:t>
      </w:r>
      <w:r>
        <w:rPr>
          <w:rFonts w:hint="cs"/>
          <w:rtl/>
        </w:rPr>
        <w:t xml:space="preserve">، </w:t>
      </w:r>
      <w:r w:rsidR="00A967EB">
        <w:rPr>
          <w:rFonts w:hint="cs"/>
          <w:rtl/>
        </w:rPr>
        <w:t>وهي</w:t>
      </w:r>
      <w:r>
        <w:rPr>
          <w:rFonts w:hint="cs"/>
          <w:rtl/>
        </w:rPr>
        <w:t xml:space="preserve"> تجارب جامعة الدول العربية، و</w:t>
      </w:r>
      <w:r w:rsidRPr="007B1F68">
        <w:rPr>
          <w:rtl/>
        </w:rPr>
        <w:t>الغرفة التجارية الأمريكية في المكسيك (</w:t>
      </w:r>
      <w:r w:rsidRPr="007B1F68">
        <w:rPr>
          <w:cs/>
        </w:rPr>
        <w:t>‎</w:t>
      </w:r>
      <w:proofErr w:type="spellStart"/>
      <w:r w:rsidRPr="007B1F68">
        <w:t>AmCham</w:t>
      </w:r>
      <w:proofErr w:type="spellEnd"/>
      <w:r w:rsidRPr="007B1F68">
        <w:rPr>
          <w:rtl/>
        </w:rPr>
        <w:t>‏)</w:t>
      </w:r>
      <w:r>
        <w:rPr>
          <w:rFonts w:hint="cs"/>
          <w:rtl/>
        </w:rPr>
        <w:t>، وم</w:t>
      </w:r>
      <w:r w:rsidRPr="007B1F68">
        <w:rPr>
          <w:rtl/>
        </w:rPr>
        <w:t>كتب إسبانيا للبراءات والعلامات التجارية</w:t>
      </w:r>
      <w:r w:rsidR="00A967EB">
        <w:rPr>
          <w:rFonts w:hint="cs"/>
          <w:rtl/>
        </w:rPr>
        <w:t>، و</w:t>
      </w:r>
      <w:r w:rsidR="00A967EB" w:rsidRPr="00A967EB">
        <w:rPr>
          <w:rtl/>
        </w:rPr>
        <w:t>مجلس كينيا لحق المؤلف</w:t>
      </w:r>
      <w:r w:rsidR="00A967EB">
        <w:rPr>
          <w:rFonts w:hint="cs"/>
          <w:rtl/>
        </w:rPr>
        <w:t xml:space="preserve">، </w:t>
      </w:r>
      <w:r>
        <w:rPr>
          <w:rFonts w:hint="cs"/>
          <w:rtl/>
        </w:rPr>
        <w:t>و</w:t>
      </w:r>
      <w:r w:rsidRPr="007B1F68">
        <w:rPr>
          <w:rtl/>
        </w:rPr>
        <w:t>مديرية حماية الملكية الصناعية في الأردن</w:t>
      </w:r>
      <w:r w:rsidR="00A967EB">
        <w:rPr>
          <w:rFonts w:hint="cs"/>
          <w:rtl/>
        </w:rPr>
        <w:t>.</w:t>
      </w:r>
    </w:p>
    <w:p w:rsidR="00A967EB" w:rsidRDefault="00A967EB" w:rsidP="000C36CD">
      <w:pPr>
        <w:pStyle w:val="NumberedParaAR"/>
      </w:pPr>
      <w:r w:rsidRPr="00A967EB">
        <w:rPr>
          <w:rtl/>
        </w:rPr>
        <w:t>وفي إطار البند الفرعي بشأن "الأدوات التعليمية ل</w:t>
      </w:r>
      <w:r>
        <w:rPr>
          <w:rtl/>
        </w:rPr>
        <w:t>لشباب"، عُرضت أربع تجارب وطنية</w:t>
      </w:r>
      <w:r>
        <w:rPr>
          <w:rFonts w:hint="cs"/>
          <w:rtl/>
        </w:rPr>
        <w:t>، وهي تجارب المديرية العامة لمكافحة التقليد</w:t>
      </w:r>
      <w:r w:rsidR="000C36CD">
        <w:rPr>
          <w:rFonts w:hint="cs"/>
          <w:rtl/>
        </w:rPr>
        <w:t xml:space="preserve"> التابعة ل</w:t>
      </w:r>
      <w:r w:rsidRPr="00A967EB">
        <w:rPr>
          <w:rtl/>
        </w:rPr>
        <w:t>مكتب إيطا</w:t>
      </w:r>
      <w:r>
        <w:rPr>
          <w:rtl/>
        </w:rPr>
        <w:t>ليا للبراءات والعلامات التجارية</w:t>
      </w:r>
      <w:r>
        <w:rPr>
          <w:rFonts w:hint="cs"/>
          <w:rtl/>
        </w:rPr>
        <w:t>، و</w:t>
      </w:r>
      <w:r>
        <w:rPr>
          <w:rtl/>
        </w:rPr>
        <w:t>مكتب اليابان للبراءات</w:t>
      </w:r>
      <w:r>
        <w:rPr>
          <w:rFonts w:hint="cs"/>
          <w:rtl/>
        </w:rPr>
        <w:t>، و</w:t>
      </w:r>
      <w:r w:rsidRPr="00A967EB">
        <w:rPr>
          <w:rtl/>
        </w:rPr>
        <w:t>مؤسسة ماليزيا للملكية الفكرية</w:t>
      </w:r>
      <w:r w:rsidR="000C36CD">
        <w:rPr>
          <w:rFonts w:hint="cs"/>
          <w:rtl/>
        </w:rPr>
        <w:t xml:space="preserve"> (</w:t>
      </w:r>
      <w:r w:rsidRPr="00A967EB">
        <w:rPr>
          <w:cs/>
        </w:rPr>
        <w:t>‎</w:t>
      </w:r>
      <w:r w:rsidRPr="00A967EB">
        <w:t xml:space="preserve"> (</w:t>
      </w:r>
      <w:proofErr w:type="spellStart"/>
      <w:r w:rsidRPr="00A967EB">
        <w:t>MyIPO</w:t>
      </w:r>
      <w:proofErr w:type="spellEnd"/>
      <w:r w:rsidRPr="00A967EB">
        <w:rPr>
          <w:rtl/>
        </w:rPr>
        <w:t>)‏</w:t>
      </w:r>
      <w:r w:rsidR="000C36CD">
        <w:rPr>
          <w:rFonts w:hint="cs"/>
          <w:rtl/>
        </w:rPr>
        <w:t>، و</w:t>
      </w:r>
      <w:r w:rsidRPr="00A967EB">
        <w:rPr>
          <w:rtl/>
        </w:rPr>
        <w:t>مكتب المملكة الم</w:t>
      </w:r>
      <w:r w:rsidR="000C36CD">
        <w:rPr>
          <w:rtl/>
        </w:rPr>
        <w:t>تحدة للملكية الفكرية</w:t>
      </w:r>
      <w:r w:rsidR="000C36CD">
        <w:rPr>
          <w:rFonts w:hint="cs"/>
          <w:rtl/>
        </w:rPr>
        <w:t xml:space="preserve">. وتلى ذلك </w:t>
      </w:r>
      <w:r w:rsidR="000C36CD" w:rsidRPr="000C36CD">
        <w:rPr>
          <w:rtl/>
        </w:rPr>
        <w:t xml:space="preserve">عرض </w:t>
      </w:r>
      <w:r w:rsidR="000C36CD">
        <w:rPr>
          <w:rFonts w:hint="cs"/>
          <w:rtl/>
        </w:rPr>
        <w:t>عن م</w:t>
      </w:r>
      <w:r w:rsidR="000C36CD" w:rsidRPr="000C36CD">
        <w:rPr>
          <w:rtl/>
        </w:rPr>
        <w:t>واد الويبو التثقيفية بشأن إذكاء الاحترام لحق المؤلف، وهي مواد أعدت بدعم من وزارة الثقافة والرياضة والسياحة في جمهورية كوريا وتستهدف الشباب ممن تتراوح أعمارهم بين 10 سنوات و15 سنة.</w:t>
      </w:r>
    </w:p>
    <w:p w:rsidR="000C36CD" w:rsidRDefault="003C66B4" w:rsidP="00157908">
      <w:pPr>
        <w:pStyle w:val="NumberedParaAR"/>
      </w:pPr>
      <w:r>
        <w:rPr>
          <w:rtl/>
        </w:rPr>
        <w:t>وأجر</w:t>
      </w:r>
      <w:r>
        <w:rPr>
          <w:rFonts w:hint="cs"/>
          <w:rtl/>
        </w:rPr>
        <w:t>ي</w:t>
      </w:r>
      <w:r w:rsidR="00157908">
        <w:rPr>
          <w:rtl/>
        </w:rPr>
        <w:t>ت</w:t>
      </w:r>
      <w:r w:rsidR="00157908">
        <w:rPr>
          <w:rFonts w:hint="cs"/>
          <w:rtl/>
        </w:rPr>
        <w:t xml:space="preserve"> </w:t>
      </w:r>
      <w:proofErr w:type="gramStart"/>
      <w:r w:rsidR="00157908" w:rsidRPr="00157908">
        <w:rPr>
          <w:rtl/>
        </w:rPr>
        <w:t>مناقشة</w:t>
      </w:r>
      <w:proofErr w:type="gramEnd"/>
      <w:r w:rsidR="00157908" w:rsidRPr="00157908">
        <w:rPr>
          <w:rtl/>
        </w:rPr>
        <w:t xml:space="preserve"> جماعية حول حملات التواصل العام</w:t>
      </w:r>
      <w:r w:rsidR="00157908">
        <w:rPr>
          <w:rtl/>
        </w:rPr>
        <w:t>ة بشأن إذكاء الاحترام ل</w:t>
      </w:r>
      <w:r w:rsidR="00157908">
        <w:rPr>
          <w:rFonts w:hint="cs"/>
          <w:rtl/>
        </w:rPr>
        <w:t>لملكية الفكرية</w:t>
      </w:r>
      <w:r w:rsidR="00157908" w:rsidRPr="00157908">
        <w:rPr>
          <w:rtl/>
        </w:rPr>
        <w:t xml:space="preserve"> وأدوات التوعية الموجهة للشباب. وقُدمت عروض قصيرة من قبل ممثلي سجل كوستاريكا الوطني، والمعهد المكسيكي للملكية الصناعية، ووكالة حكومة جمهورية مولدوفا للملكية الفكرية، ومكتب جمهورية سلوفاكيا للملكية الصناعية، ومفوضية جنوبا أفريقيا للشركات والملكية الفكرية، والمرصد الأوروبي المعني بالتعديات على حقوق الملكية الفكرية.</w:t>
      </w:r>
    </w:p>
    <w:p w:rsidR="00157908" w:rsidRDefault="00DD6283" w:rsidP="003C66B4">
      <w:pPr>
        <w:pStyle w:val="NumberedParaAR"/>
      </w:pPr>
      <w:r w:rsidRPr="00DD6283">
        <w:rPr>
          <w:rtl/>
        </w:rPr>
        <w:t>وفي إطار البند الفرعي بشأن "منع التعديات في البيئة</w:t>
      </w:r>
      <w:r w:rsidR="00F726BF">
        <w:rPr>
          <w:rtl/>
        </w:rPr>
        <w:t xml:space="preserve"> الإلكترونية"، قُدمت ستة عروض</w:t>
      </w:r>
      <w:r w:rsidR="00F726BF">
        <w:rPr>
          <w:rFonts w:hint="cs"/>
          <w:rtl/>
        </w:rPr>
        <w:t>، أولها عرض ل</w:t>
      </w:r>
      <w:r w:rsidRPr="00DD6283">
        <w:rPr>
          <w:rtl/>
        </w:rPr>
        <w:t>أدلة اقتصادية على فعالية تدخلات مختلفة من قبل الحكومات ودوائر الصناعة بغرض مكافحة الق</w:t>
      </w:r>
      <w:r w:rsidR="00F726BF">
        <w:rPr>
          <w:rtl/>
        </w:rPr>
        <w:t xml:space="preserve">رصنة. </w:t>
      </w:r>
      <w:proofErr w:type="gramStart"/>
      <w:r w:rsidR="00F726BF">
        <w:rPr>
          <w:rtl/>
        </w:rPr>
        <w:t>وتلت</w:t>
      </w:r>
      <w:proofErr w:type="gramEnd"/>
      <w:r w:rsidR="00F726BF">
        <w:rPr>
          <w:rtl/>
        </w:rPr>
        <w:t xml:space="preserve"> ذلك ثلاث تجارب وطنية</w:t>
      </w:r>
      <w:r w:rsidR="00F726BF">
        <w:rPr>
          <w:rFonts w:hint="cs"/>
          <w:rtl/>
        </w:rPr>
        <w:t xml:space="preserve">، وهي تجارب </w:t>
      </w:r>
      <w:r w:rsidRPr="00DD6283">
        <w:rPr>
          <w:rtl/>
        </w:rPr>
        <w:t>لجن</w:t>
      </w:r>
      <w:r w:rsidR="00F726BF">
        <w:rPr>
          <w:rtl/>
        </w:rPr>
        <w:t>ة فرنسا الوطنية لمكافحة التقليد</w:t>
      </w:r>
      <w:r w:rsidR="00F726BF">
        <w:rPr>
          <w:rFonts w:hint="cs"/>
          <w:rtl/>
        </w:rPr>
        <w:t>، و</w:t>
      </w:r>
      <w:r w:rsidRPr="00DD6283">
        <w:rPr>
          <w:rtl/>
        </w:rPr>
        <w:t>جمهورية كوريا</w:t>
      </w:r>
      <w:r w:rsidR="00F726BF">
        <w:rPr>
          <w:rFonts w:hint="cs"/>
          <w:rtl/>
        </w:rPr>
        <w:t>، و</w:t>
      </w:r>
      <w:r w:rsidRPr="00DD6283">
        <w:rPr>
          <w:rtl/>
        </w:rPr>
        <w:t xml:space="preserve">وزارة الثقافة في الدانمرك. </w:t>
      </w:r>
      <w:proofErr w:type="gramStart"/>
      <w:r w:rsidRPr="00DD6283">
        <w:rPr>
          <w:rtl/>
        </w:rPr>
        <w:t>وأخيرا</w:t>
      </w:r>
      <w:proofErr w:type="gramEnd"/>
      <w:r w:rsidRPr="00DD6283">
        <w:rPr>
          <w:rtl/>
        </w:rPr>
        <w:t>، عُرضت مبادرتان من مبادرات دوائر الصناعة إحداهما من الاتحاد السويسري لصناعة الساعات (</w:t>
      </w:r>
      <w:r w:rsidRPr="00DD6283">
        <w:rPr>
          <w:cs/>
        </w:rPr>
        <w:t>‎</w:t>
      </w:r>
      <w:r w:rsidRPr="00DD6283">
        <w:t>FHS</w:t>
      </w:r>
      <w:r w:rsidR="00F726BF">
        <w:rPr>
          <w:rtl/>
        </w:rPr>
        <w:t>‏)</w:t>
      </w:r>
      <w:r w:rsidR="00F726BF">
        <w:rPr>
          <w:rFonts w:hint="cs"/>
          <w:rtl/>
        </w:rPr>
        <w:t xml:space="preserve"> </w:t>
      </w:r>
      <w:r w:rsidRPr="00DD6283">
        <w:rPr>
          <w:rtl/>
        </w:rPr>
        <w:t>والأخرى من مكتب الإعلانات التفاعلية (</w:t>
      </w:r>
      <w:r w:rsidRPr="00DD6283">
        <w:rPr>
          <w:cs/>
        </w:rPr>
        <w:t>‎</w:t>
      </w:r>
      <w:r w:rsidRPr="00DD6283">
        <w:t>IAB</w:t>
      </w:r>
      <w:r w:rsidR="00F726BF">
        <w:rPr>
          <w:rtl/>
        </w:rPr>
        <w:t>‏) في بولندا</w:t>
      </w:r>
      <w:r w:rsidR="00F726BF">
        <w:rPr>
          <w:rFonts w:hint="cs"/>
          <w:rtl/>
        </w:rPr>
        <w:t>.</w:t>
      </w:r>
    </w:p>
    <w:p w:rsidR="00F726BF" w:rsidRDefault="00AE6214" w:rsidP="00AE6214">
      <w:pPr>
        <w:pStyle w:val="NumberedParaAR"/>
      </w:pPr>
      <w:r w:rsidRPr="00AE6214">
        <w:rPr>
          <w:rtl/>
        </w:rPr>
        <w:t>وفي إطار البند الفرعي بشأن "الاستراتيجيات الوطنية لإذكاء الاحترام للملكية ا</w:t>
      </w:r>
      <w:r>
        <w:rPr>
          <w:rtl/>
        </w:rPr>
        <w:t>لفكرية"، عُرضت ثلاث تجارب وطنية</w:t>
      </w:r>
      <w:r>
        <w:rPr>
          <w:rFonts w:hint="cs"/>
          <w:rtl/>
        </w:rPr>
        <w:t>، وهي</w:t>
      </w:r>
      <w:r>
        <w:rPr>
          <w:rtl/>
        </w:rPr>
        <w:t xml:space="preserve"> </w:t>
      </w:r>
      <w:r>
        <w:rPr>
          <w:rFonts w:hint="cs"/>
          <w:rtl/>
        </w:rPr>
        <w:t xml:space="preserve">تجارب </w:t>
      </w:r>
      <w:r w:rsidRPr="00AE6214">
        <w:rPr>
          <w:rtl/>
        </w:rPr>
        <w:t>وكالة حكومة جمهورية مولدوفا للملكية الفكرية</w:t>
      </w:r>
      <w:r>
        <w:rPr>
          <w:rFonts w:hint="cs"/>
          <w:rtl/>
        </w:rPr>
        <w:t>، و</w:t>
      </w:r>
      <w:r w:rsidRPr="00AE6214">
        <w:rPr>
          <w:rtl/>
        </w:rPr>
        <w:t>جهاز الشرطة في زامبيا</w:t>
      </w:r>
      <w:r>
        <w:rPr>
          <w:rFonts w:hint="cs"/>
          <w:rtl/>
        </w:rPr>
        <w:t>، و</w:t>
      </w:r>
      <w:r w:rsidRPr="00AE6214">
        <w:rPr>
          <w:rtl/>
        </w:rPr>
        <w:t>مكتب الدان</w:t>
      </w:r>
      <w:r>
        <w:rPr>
          <w:rtl/>
        </w:rPr>
        <w:t>مرك للبراءات والعلامات التجارية</w:t>
      </w:r>
      <w:r>
        <w:rPr>
          <w:rFonts w:hint="cs"/>
          <w:rtl/>
        </w:rPr>
        <w:t>.</w:t>
      </w:r>
    </w:p>
    <w:p w:rsidR="00AE6214" w:rsidRDefault="00AE6214" w:rsidP="00AE6214">
      <w:pPr>
        <w:pStyle w:val="NumberedParaAR"/>
      </w:pPr>
      <w:r w:rsidRPr="00AE6214">
        <w:rPr>
          <w:rtl/>
        </w:rPr>
        <w:t>وفي إطار البند الفرعي بشأن "التعاون الاستراتيجي"، عرضت ست دول أعضاء تجاربها في تحديد سُبل التعاون بين مختلف السلطات الحكومية الوطنية من أجل إذكاء الاحترام للملكية الفكرية، ولا</w:t>
      </w:r>
      <w:r>
        <w:rPr>
          <w:rFonts w:hint="cs"/>
          <w:rtl/>
        </w:rPr>
        <w:t> </w:t>
      </w:r>
      <w:r w:rsidRPr="00AE6214">
        <w:rPr>
          <w:rtl/>
        </w:rPr>
        <w:t>سيما ممثلي مكتب الدانمرك للبراءات والعلامات التجارية، وجهاز الشرطة في زامبيا، ومرصد جمهورية مولدوفا المعني بإنفاذ حقوق الملكية الفكرية، ولجنة فرنسا الوطنية لمكافحة التقليد، ومكتب الفلبين للملكية الفكرية، ومكتب المدعي العام في المكسيك. وقُدمت عروض تقديمية تبرز خصائص كل من مخططات التعاون الوطنية وتلاها نقاش بين المشاركين.</w:t>
      </w:r>
    </w:p>
    <w:p w:rsidR="00AE6214" w:rsidRPr="00FD2044" w:rsidRDefault="00AE6214" w:rsidP="00C05CD9">
      <w:pPr>
        <w:pStyle w:val="NumberedParaAR"/>
      </w:pPr>
      <w:r w:rsidRPr="00AE6214">
        <w:rPr>
          <w:rtl/>
        </w:rPr>
        <w:t xml:space="preserve">‏وأحاطت اللجنة علما بالعرض الذي قدمته الأمانة بشأن أحدث أنشطة الويبو في مجال إذكاء الاحترام للملكية الفكرية، ومنها </w:t>
      </w:r>
      <w:r w:rsidR="001E3D91">
        <w:rPr>
          <w:rFonts w:hint="cs"/>
          <w:rtl/>
        </w:rPr>
        <w:t>خدمات</w:t>
      </w:r>
      <w:r w:rsidRPr="00AE6214">
        <w:rPr>
          <w:rtl/>
        </w:rPr>
        <w:t xml:space="preserve"> المساعدة </w:t>
      </w:r>
      <w:r w:rsidR="001E3D91">
        <w:rPr>
          <w:rFonts w:hint="cs"/>
          <w:rtl/>
        </w:rPr>
        <w:t>التقنية بناء على الطلب، بما يشمل خدمات المساعدة التشريعية، فضلا عن خدمات ال</w:t>
      </w:r>
      <w:r w:rsidRPr="00AE6214">
        <w:rPr>
          <w:rtl/>
        </w:rPr>
        <w:t>تدريب وإذكاء الوعي</w:t>
      </w:r>
      <w:r w:rsidR="001E3D91">
        <w:rPr>
          <w:rFonts w:hint="cs"/>
          <w:rtl/>
        </w:rPr>
        <w:t xml:space="preserve"> لفائدة المسؤولين عن إنفاذ القوانين وأعضاء السلك القضائي</w:t>
      </w:r>
      <w:r w:rsidR="00EE13E0">
        <w:rPr>
          <w:rFonts w:hint="cs"/>
          <w:rtl/>
        </w:rPr>
        <w:t xml:space="preserve">. </w:t>
      </w:r>
      <w:proofErr w:type="gramStart"/>
      <w:r w:rsidR="00EE13E0">
        <w:rPr>
          <w:rFonts w:hint="cs"/>
          <w:rtl/>
        </w:rPr>
        <w:t>وتناول</w:t>
      </w:r>
      <w:proofErr w:type="gramEnd"/>
      <w:r w:rsidR="00EE13E0">
        <w:rPr>
          <w:rFonts w:hint="cs"/>
          <w:rtl/>
        </w:rPr>
        <w:t xml:space="preserve"> العرض أيضا الأنشطة الرامية إلى زيادة </w:t>
      </w:r>
      <w:r w:rsidR="00EE13E0" w:rsidRPr="00EE13E0">
        <w:rPr>
          <w:rtl/>
        </w:rPr>
        <w:t>تعزيز التعاون</w:t>
      </w:r>
      <w:r w:rsidR="00EE13E0">
        <w:rPr>
          <w:rFonts w:hint="cs"/>
          <w:rtl/>
        </w:rPr>
        <w:t xml:space="preserve"> الدولي</w:t>
      </w:r>
      <w:r w:rsidR="00EE13E0" w:rsidRPr="00EE13E0">
        <w:rPr>
          <w:rtl/>
        </w:rPr>
        <w:t xml:space="preserve"> بشكل منهجي وفعال </w:t>
      </w:r>
      <w:r w:rsidR="00EE13E0">
        <w:rPr>
          <w:rFonts w:hint="cs"/>
          <w:rtl/>
        </w:rPr>
        <w:t>مع سائر المنظمات الدولية والمنظمات غير الحكومية والقطاع الخاص.</w:t>
      </w:r>
      <w:r w:rsidR="00EE13E0">
        <w:rPr>
          <w:rStyle w:val="FootnoteReference"/>
          <w:rtl/>
        </w:rPr>
        <w:footnoteReference w:id="2"/>
      </w:r>
      <w:r w:rsidR="00EE13E0">
        <w:rPr>
          <w:rtl/>
        </w:rPr>
        <w:t xml:space="preserve"> </w:t>
      </w:r>
      <w:r w:rsidR="00EE13E0">
        <w:rPr>
          <w:rFonts w:hint="cs"/>
          <w:rtl/>
        </w:rPr>
        <w:t xml:space="preserve">كما أحاطت اللجنة </w:t>
      </w:r>
      <w:r w:rsidR="00EE13E0">
        <w:rPr>
          <w:rFonts w:hint="cs"/>
          <w:rtl/>
        </w:rPr>
        <w:lastRenderedPageBreak/>
        <w:t xml:space="preserve">علما بالعرض الذي قدمته الأمانة بشأن "التقييم الخاص بالهدف الاستراتيجي السادس: التعاون الدولي على إذكاء الاحترام للملكية الفكرية"، </w:t>
      </w:r>
      <w:r w:rsidR="00C05CD9">
        <w:rPr>
          <w:rFonts w:hint="cs"/>
          <w:rtl/>
        </w:rPr>
        <w:t>الذي أجرته شعبة الويبو للرقابة الداخلية، بمساعدة مستشار خارجي مستقل، لتقدير ما إذا كانت الويبو تتناول، من خلال البرنامج</w:t>
      </w:r>
      <w:r w:rsidR="00C05CD9">
        <w:rPr>
          <w:rFonts w:hint="eastAsia"/>
          <w:rtl/>
        </w:rPr>
        <w:t> </w:t>
      </w:r>
      <w:r w:rsidR="00C05CD9">
        <w:rPr>
          <w:rFonts w:hint="cs"/>
          <w:rtl/>
        </w:rPr>
        <w:t>17 أساسا، الأغراض الرئيسية للهدف الاستراتيجي السادس بطريقة شاملة وفعالة، وتقدير مدى وجاهة الأنشطة المُعدة في هذا الصدد.</w:t>
      </w:r>
      <w:r w:rsidR="00C05CD9">
        <w:rPr>
          <w:rStyle w:val="FootnoteReference"/>
          <w:rtl/>
        </w:rPr>
        <w:footnoteReference w:id="3"/>
      </w:r>
    </w:p>
    <w:p w:rsidR="00FD2044" w:rsidRDefault="00FD2044" w:rsidP="00FD2044">
      <w:pPr>
        <w:pStyle w:val="NumberedParaAR"/>
        <w:numPr>
          <w:ilvl w:val="0"/>
          <w:numId w:val="0"/>
        </w:numPr>
      </w:pPr>
      <w:r>
        <w:rPr>
          <w:rFonts w:hint="cs"/>
          <w:rtl/>
          <w:lang w:val="fr-CH" w:bidi="ar-MA"/>
        </w:rPr>
        <w:t>ثانياً.</w:t>
      </w:r>
      <w:r>
        <w:rPr>
          <w:rFonts w:hint="cs"/>
          <w:rtl/>
          <w:lang w:val="fr-CH" w:bidi="ar-MA"/>
        </w:rPr>
        <w:tab/>
      </w:r>
      <w:r w:rsidR="00D4674F">
        <w:rPr>
          <w:rFonts w:hint="cs"/>
          <w:rtl/>
          <w:lang w:val="fr-CH" w:bidi="ar-MA"/>
        </w:rPr>
        <w:t>الدورة الحادية عشرة للجنة الاستشارية المعنية بالإنفاذ</w:t>
      </w:r>
    </w:p>
    <w:p w:rsidR="00C05CD9" w:rsidRDefault="00B15E21" w:rsidP="00C05CD9">
      <w:pPr>
        <w:pStyle w:val="NumberedParaAR"/>
      </w:pPr>
      <w:r>
        <w:rPr>
          <w:rFonts w:hint="cs"/>
          <w:rtl/>
        </w:rPr>
        <w:t xml:space="preserve">تناولت الدورة الحادية </w:t>
      </w:r>
      <w:proofErr w:type="gramStart"/>
      <w:r>
        <w:rPr>
          <w:rFonts w:hint="cs"/>
          <w:rtl/>
        </w:rPr>
        <w:t>عشرة</w:t>
      </w:r>
      <w:proofErr w:type="gramEnd"/>
      <w:r>
        <w:rPr>
          <w:rFonts w:hint="cs"/>
          <w:rtl/>
        </w:rPr>
        <w:t xml:space="preserve"> برنامج العمل التالي</w:t>
      </w:r>
      <w:r w:rsidR="00C05CD9">
        <w:rPr>
          <w:rFonts w:hint="cs"/>
          <w:rtl/>
        </w:rPr>
        <w:t>:</w:t>
      </w:r>
    </w:p>
    <w:p w:rsidR="006756C7" w:rsidRDefault="006756C7" w:rsidP="006756C7">
      <w:pPr>
        <w:pStyle w:val="NumberedParaAR"/>
        <w:numPr>
          <w:ilvl w:val="0"/>
          <w:numId w:val="0"/>
        </w:numPr>
        <w:ind w:left="567"/>
      </w:pPr>
      <w:r>
        <w:rPr>
          <w:rFonts w:hint="cs"/>
          <w:rtl/>
        </w:rPr>
        <w:t>-</w:t>
      </w:r>
      <w:r>
        <w:rPr>
          <w:rtl/>
        </w:rPr>
        <w:tab/>
      </w:r>
      <w:r>
        <w:rPr>
          <w:rFonts w:hint="cs"/>
          <w:rtl/>
        </w:rPr>
        <w:t>تبادل المعلومات حول التجارب الوطنية الخاصة بأنشطة التوعية والحملات الاستراتيجية بوصفها وسيلة لإذكاء الاحترام للملكية الفكرية بين الجمهور عموما والشباب خصوصا، طبقا لأولويات الدول الأعضاء التعليمية وغيرها من الأولويات؛</w:t>
      </w:r>
    </w:p>
    <w:p w:rsidR="006756C7" w:rsidRDefault="006756C7" w:rsidP="006756C7">
      <w:pPr>
        <w:pStyle w:val="NumberedParaAR"/>
        <w:numPr>
          <w:ilvl w:val="0"/>
          <w:numId w:val="0"/>
        </w:numPr>
        <w:ind w:left="567"/>
      </w:pPr>
      <w:r>
        <w:rPr>
          <w:rFonts w:hint="cs"/>
          <w:rtl/>
        </w:rPr>
        <w:t>-</w:t>
      </w:r>
      <w:r>
        <w:rPr>
          <w:rtl/>
        </w:rPr>
        <w:tab/>
      </w:r>
      <w:r>
        <w:rPr>
          <w:rFonts w:hint="cs"/>
          <w:rtl/>
        </w:rPr>
        <w:t>تبادل المعلومات حول التجارب الوطنية الخاصة بالترتيبات المؤسسية بشأن سياسات وأنظمة إنفاذ الملكية الفكرية، بما في ذلك آليات تسوية منازعات الملكية الفكرية بطريقة متوازنة وشاملة وفعالة؛</w:t>
      </w:r>
    </w:p>
    <w:p w:rsidR="006756C7" w:rsidRDefault="006756C7" w:rsidP="006756C7">
      <w:pPr>
        <w:pStyle w:val="NumberedParaAR"/>
        <w:numPr>
          <w:ilvl w:val="0"/>
          <w:numId w:val="0"/>
        </w:numPr>
        <w:ind w:left="567"/>
      </w:pPr>
      <w:r>
        <w:rPr>
          <w:rFonts w:hint="cs"/>
          <w:rtl/>
        </w:rPr>
        <w:t>-</w:t>
      </w:r>
      <w:r>
        <w:rPr>
          <w:rtl/>
        </w:rPr>
        <w:tab/>
      </w:r>
      <w:r>
        <w:rPr>
          <w:rFonts w:hint="cs"/>
          <w:rtl/>
        </w:rPr>
        <w:t>تبادل المعلومات حول التجارب الوطنية الخاصة بالمساعدة التشريعية التي تقدمها الويبو، مع التركيز على صياغة قوانين الإنفاذ الوطنية التي تراعي مواطن المرونة ومستوى التنمية واختلاف التقاليد القانونية واحتمال إساءة استعمال إجراءات الإنفاذ، مع أخذ المصلحة الاجتماعية الأعم في الحسبان وبالتوافق مع أولويات الدول الأعضاء؛</w:t>
      </w:r>
    </w:p>
    <w:p w:rsidR="006756C7" w:rsidRDefault="006756C7" w:rsidP="006756C7">
      <w:pPr>
        <w:pStyle w:val="NumberedParaAR"/>
        <w:numPr>
          <w:ilvl w:val="0"/>
          <w:numId w:val="0"/>
        </w:numPr>
        <w:ind w:left="567"/>
      </w:pPr>
      <w:r>
        <w:rPr>
          <w:rFonts w:hint="cs"/>
          <w:rtl/>
        </w:rPr>
        <w:t>-</w:t>
      </w:r>
      <w:r>
        <w:rPr>
          <w:rtl/>
        </w:rPr>
        <w:tab/>
      </w:r>
      <w:r>
        <w:rPr>
          <w:rFonts w:hint="cs"/>
          <w:rtl/>
        </w:rPr>
        <w:t>تبادل القصص الناجحة بشأن خدمات تكوين الكفاءات وخدمات الدعم المُقدمة من الويبو لأغراض تنفيذ أنشطة التدريب على الصعيدين الوطني والإقليمي لفائدة الوكالات والموظفين الوطنيين طبقا للتوصيات المعنية من جدول أعمال التنمية وولاية اللجنة.</w:t>
      </w:r>
    </w:p>
    <w:p w:rsidR="006D3EB9" w:rsidRDefault="006D3EB9" w:rsidP="00C05CD9">
      <w:pPr>
        <w:pStyle w:val="NumberedParaAR"/>
      </w:pPr>
      <w:r>
        <w:rPr>
          <w:rFonts w:hint="cs"/>
          <w:rtl/>
        </w:rPr>
        <w:t xml:space="preserve">وقد عولج برنامج العمل استناداً </w:t>
      </w:r>
      <w:proofErr w:type="gramStart"/>
      <w:r>
        <w:rPr>
          <w:rFonts w:hint="cs"/>
          <w:rtl/>
        </w:rPr>
        <w:t>إلى</w:t>
      </w:r>
      <w:proofErr w:type="gramEnd"/>
      <w:r>
        <w:rPr>
          <w:rFonts w:hint="cs"/>
          <w:rtl/>
        </w:rPr>
        <w:t xml:space="preserve"> 38 عرضاً للخبراء.</w:t>
      </w:r>
      <w:r w:rsidR="006756C7">
        <w:rPr>
          <w:rStyle w:val="FootnoteReference"/>
          <w:rtl/>
        </w:rPr>
        <w:footnoteReference w:id="4"/>
      </w:r>
    </w:p>
    <w:p w:rsidR="006D3EB9" w:rsidRDefault="006D3EB9" w:rsidP="00427070">
      <w:pPr>
        <w:pStyle w:val="NumberedParaAR"/>
      </w:pPr>
      <w:r>
        <w:rPr>
          <w:rFonts w:hint="cs"/>
          <w:rtl/>
        </w:rPr>
        <w:t xml:space="preserve">وفي </w:t>
      </w:r>
      <w:r w:rsidR="0089234B">
        <w:rPr>
          <w:rFonts w:hint="cs"/>
          <w:rtl/>
        </w:rPr>
        <w:t>إطار برنامج العمل</w:t>
      </w:r>
      <w:r w:rsidR="00F67E6D">
        <w:rPr>
          <w:rFonts w:hint="cs"/>
          <w:rtl/>
        </w:rPr>
        <w:t xml:space="preserve"> بشأن</w:t>
      </w:r>
      <w:r w:rsidR="008F3797">
        <w:rPr>
          <w:rFonts w:hint="cs"/>
          <w:rtl/>
        </w:rPr>
        <w:t xml:space="preserve"> </w:t>
      </w:r>
      <w:r w:rsidR="00F67E6D">
        <w:rPr>
          <w:rFonts w:hint="cs"/>
          <w:rtl/>
        </w:rPr>
        <w:t>"</w:t>
      </w:r>
      <w:r w:rsidR="00F67E6D" w:rsidRPr="00F67E6D">
        <w:rPr>
          <w:rtl/>
        </w:rPr>
        <w:t>‏تبادل المعلومات حول التجارب الوطنية الخاصة بأنشطة التوعية والحملات الاستراتيجية بوصفها وسيلة لإذكاء الاحترام للملكية الفكرية بين الجمهور عموما والشباب خصوصا، طبقا لأولويات الدول الأعضاء التعليمية وغيرها من الأولويات</w:t>
      </w:r>
      <w:r w:rsidR="00F67E6D">
        <w:rPr>
          <w:rFonts w:hint="cs"/>
          <w:rtl/>
        </w:rPr>
        <w:t>"</w:t>
      </w:r>
      <w:r w:rsidR="008F3797">
        <w:rPr>
          <w:rFonts w:hint="cs"/>
          <w:rtl/>
        </w:rPr>
        <w:t>، قُدم</w:t>
      </w:r>
      <w:r w:rsidR="00F67E6D">
        <w:rPr>
          <w:rFonts w:hint="cs"/>
          <w:rtl/>
        </w:rPr>
        <w:t xml:space="preserve"> ما مجموعه</w:t>
      </w:r>
      <w:r w:rsidR="008F3797">
        <w:rPr>
          <w:rFonts w:hint="cs"/>
          <w:rtl/>
        </w:rPr>
        <w:t xml:space="preserve"> 11 عرضاً</w:t>
      </w:r>
      <w:r w:rsidR="00F67E6D">
        <w:rPr>
          <w:rFonts w:hint="cs"/>
          <w:rtl/>
        </w:rPr>
        <w:t xml:space="preserve"> من </w:t>
      </w:r>
      <w:r w:rsidR="00F67E6D" w:rsidRPr="00F67E6D">
        <w:rPr>
          <w:rtl/>
        </w:rPr>
        <w:t>الديوان الوطني</w:t>
      </w:r>
      <w:r w:rsidR="00C82AF2">
        <w:rPr>
          <w:rFonts w:hint="cs"/>
          <w:rtl/>
        </w:rPr>
        <w:t xml:space="preserve"> الجزائري</w:t>
      </w:r>
      <w:r w:rsidR="00F67E6D" w:rsidRPr="00F67E6D">
        <w:rPr>
          <w:rtl/>
        </w:rPr>
        <w:t xml:space="preserve"> لحقوق المؤلف والحقوق المجاورة</w:t>
      </w:r>
      <w:r w:rsidR="00F67E6D">
        <w:rPr>
          <w:rFonts w:hint="cs"/>
          <w:rtl/>
        </w:rPr>
        <w:t xml:space="preserve">، </w:t>
      </w:r>
      <w:r w:rsidR="00485210">
        <w:rPr>
          <w:rFonts w:hint="cs"/>
          <w:rtl/>
        </w:rPr>
        <w:t>و</w:t>
      </w:r>
      <w:r w:rsidR="00485210" w:rsidRPr="00485210">
        <w:rPr>
          <w:rtl/>
        </w:rPr>
        <w:t>الإدارة العامة للجمارك في</w:t>
      </w:r>
      <w:r w:rsidR="00485210">
        <w:rPr>
          <w:rFonts w:hint="cs"/>
          <w:rtl/>
        </w:rPr>
        <w:t xml:space="preserve"> جمهورية</w:t>
      </w:r>
      <w:r w:rsidR="00485210" w:rsidRPr="00485210">
        <w:rPr>
          <w:rtl/>
        </w:rPr>
        <w:t xml:space="preserve"> الصين</w:t>
      </w:r>
      <w:r w:rsidR="00485210">
        <w:rPr>
          <w:rFonts w:hint="cs"/>
          <w:rtl/>
        </w:rPr>
        <w:t xml:space="preserve"> الشعبية</w:t>
      </w:r>
      <w:r w:rsidR="00427070">
        <w:rPr>
          <w:rFonts w:hint="cs"/>
          <w:rtl/>
        </w:rPr>
        <w:t>، و</w:t>
      </w:r>
      <w:r w:rsidR="00427070" w:rsidRPr="00427070">
        <w:rPr>
          <w:rtl/>
        </w:rPr>
        <w:t>المكتب الحكومي للملكية الفكرية في جمهورية الصين الشعبية</w:t>
      </w:r>
      <w:r w:rsidR="00B1695A">
        <w:rPr>
          <w:rFonts w:hint="cs"/>
          <w:rtl/>
        </w:rPr>
        <w:t>، و</w:t>
      </w:r>
      <w:r w:rsidR="00D50C76">
        <w:rPr>
          <w:rFonts w:hint="cs"/>
          <w:rtl/>
        </w:rPr>
        <w:t>منظمة حق المؤلف اليونانية،</w:t>
      </w:r>
      <w:r w:rsidR="00F45C81">
        <w:rPr>
          <w:rFonts w:hint="cs"/>
          <w:rtl/>
        </w:rPr>
        <w:t xml:space="preserve"> والمكتب الهنغاري للملكية الفكرية،</w:t>
      </w:r>
      <w:r w:rsidR="00D50C76">
        <w:rPr>
          <w:rFonts w:hint="cs"/>
          <w:rtl/>
        </w:rPr>
        <w:t xml:space="preserve"> </w:t>
      </w:r>
      <w:r w:rsidR="00804376">
        <w:rPr>
          <w:rFonts w:hint="cs"/>
          <w:rtl/>
        </w:rPr>
        <w:t xml:space="preserve">ومكتب براءات جمهورية لاتفيا، </w:t>
      </w:r>
      <w:r w:rsidR="00D50C76">
        <w:rPr>
          <w:rFonts w:hint="cs"/>
          <w:rtl/>
        </w:rPr>
        <w:t xml:space="preserve">والمديرية الوطنية للملكية الفكرية في باراغواي، ومكتب الملكية الفكرية في الفلبين، ومكتب كوريا للملكية الفكرية، ورابطة سينغال (بولندا)، وجمعية الموسيقيين السويسرية. إضافة إلى ذلك، </w:t>
      </w:r>
      <w:r w:rsidR="00B377C2">
        <w:rPr>
          <w:rFonts w:hint="cs"/>
          <w:rtl/>
        </w:rPr>
        <w:t>قدمت أكاديمية الويبو مبادراتها في التوعية بالملكية</w:t>
      </w:r>
      <w:r w:rsidR="00167D04">
        <w:rPr>
          <w:rFonts w:hint="cs"/>
          <w:rtl/>
        </w:rPr>
        <w:t xml:space="preserve"> الفكرية في صفوف الشباب من خلال </w:t>
      </w:r>
      <w:r w:rsidR="00B377C2">
        <w:rPr>
          <w:rFonts w:hint="cs"/>
          <w:rtl/>
        </w:rPr>
        <w:t>نظام التعليم.</w:t>
      </w:r>
    </w:p>
    <w:p w:rsidR="008F3797" w:rsidRDefault="001C6E2F" w:rsidP="006D751A">
      <w:pPr>
        <w:pStyle w:val="NumberedParaAR"/>
      </w:pPr>
      <w:r>
        <w:rPr>
          <w:rFonts w:hint="cs"/>
          <w:rtl/>
        </w:rPr>
        <w:t xml:space="preserve">وفي إطار برنامج العمل بشأن </w:t>
      </w:r>
      <w:r w:rsidR="006D751A">
        <w:rPr>
          <w:rFonts w:hint="cs"/>
          <w:rtl/>
        </w:rPr>
        <w:t>"</w:t>
      </w:r>
      <w:r w:rsidR="006D751A" w:rsidRPr="006D751A">
        <w:rPr>
          <w:rtl/>
        </w:rPr>
        <w:t>تبادل المعلومات حول التجارب الوطنية الخاصة بالترتيبات المؤسسية بشأن سياسات وأنظمة إنفاذ الملكية الفكرية، بما في ذلك آليات تسوية منازعات الملكية الفكرية بطريقة متوازنة وشاملة وفعالة</w:t>
      </w:r>
      <w:r w:rsidR="006D751A">
        <w:rPr>
          <w:rFonts w:hint="cs"/>
          <w:rtl/>
        </w:rPr>
        <w:t>"، جُمعت العروض تحت ثلاثة بنود فرعية.</w:t>
      </w:r>
    </w:p>
    <w:p w:rsidR="000A60F1" w:rsidRDefault="00AC235C" w:rsidP="00C82AF2">
      <w:pPr>
        <w:pStyle w:val="NumberedParaAR"/>
      </w:pPr>
      <w:r>
        <w:rPr>
          <w:rFonts w:hint="cs"/>
          <w:rtl/>
          <w:lang w:val="fr-CH" w:bidi="ar-MA"/>
        </w:rPr>
        <w:lastRenderedPageBreak/>
        <w:t xml:space="preserve">وتحت البند الفرعي </w:t>
      </w:r>
      <w:r w:rsidRPr="00AC235C">
        <w:rPr>
          <w:rtl/>
          <w:lang w:val="fr-CH" w:bidi="ar-MA"/>
        </w:rPr>
        <w:t>‏</w:t>
      </w:r>
      <w:r>
        <w:rPr>
          <w:rFonts w:hint="cs"/>
          <w:rtl/>
          <w:lang w:val="fr-CH" w:bidi="ar-MA"/>
        </w:rPr>
        <w:t>"</w:t>
      </w:r>
      <w:r>
        <w:rPr>
          <w:rtl/>
          <w:lang w:val="fr-CH" w:bidi="ar-MA"/>
        </w:rPr>
        <w:t xml:space="preserve">وظائف الإنفاذ </w:t>
      </w:r>
      <w:r>
        <w:rPr>
          <w:rFonts w:hint="cs"/>
          <w:rtl/>
          <w:lang w:val="fr-CH" w:bidi="ar-MA"/>
        </w:rPr>
        <w:t>ل</w:t>
      </w:r>
      <w:r w:rsidRPr="00AC235C">
        <w:rPr>
          <w:rtl/>
          <w:lang w:val="fr-CH" w:bidi="ar-MA"/>
        </w:rPr>
        <w:t>مكاتب الملكية الفكرية الوطنية</w:t>
      </w:r>
      <w:r>
        <w:rPr>
          <w:rFonts w:hint="cs"/>
          <w:rtl/>
          <w:lang w:val="fr-CH" w:bidi="ar-MA"/>
        </w:rPr>
        <w:t xml:space="preserve">"، </w:t>
      </w:r>
      <w:r w:rsidR="00C82AF2">
        <w:rPr>
          <w:rFonts w:hint="cs"/>
          <w:rtl/>
          <w:lang w:val="fr-CH" w:bidi="ar-MA"/>
        </w:rPr>
        <w:t xml:space="preserve">تمت مشاطرة التجارب من جانب كل من </w:t>
      </w:r>
      <w:r w:rsidR="00C82AF2" w:rsidRPr="00427070">
        <w:rPr>
          <w:rtl/>
        </w:rPr>
        <w:t>المكتب الحكومي للملكية الفكرية في جمهورية الصين الشعبية</w:t>
      </w:r>
      <w:r w:rsidR="00C82AF2">
        <w:rPr>
          <w:rFonts w:hint="cs"/>
          <w:rtl/>
        </w:rPr>
        <w:t>، و</w:t>
      </w:r>
      <w:r w:rsidR="00C82AF2" w:rsidRPr="00C82AF2">
        <w:rPr>
          <w:rtl/>
        </w:rPr>
        <w:t>هيئة الإشراف على الصناعة والتجارة في كولومبيا</w:t>
      </w:r>
      <w:r w:rsidR="00AF061E">
        <w:rPr>
          <w:rFonts w:hint="cs"/>
          <w:rtl/>
        </w:rPr>
        <w:t>، والمديرية الوطنية للملكية الفكرية في باراغواي، ومكتب الملكية الفكرية في الفلبين.</w:t>
      </w:r>
    </w:p>
    <w:p w:rsidR="00362BCC" w:rsidRDefault="00362BCC" w:rsidP="00F0180C">
      <w:pPr>
        <w:pStyle w:val="NumberedParaAR"/>
      </w:pPr>
      <w:r>
        <w:rPr>
          <w:rFonts w:hint="cs"/>
          <w:rtl/>
        </w:rPr>
        <w:t xml:space="preserve">وتحت البند الفرعي بشأن "تنسيق عملية إنفاذ الملكية الفكرية على المستوى الوطني"، </w:t>
      </w:r>
      <w:r w:rsidR="00E465F2">
        <w:rPr>
          <w:rFonts w:hint="cs"/>
          <w:rtl/>
        </w:rPr>
        <w:t xml:space="preserve">تمت مشاطرة التجارب من جانب </w:t>
      </w:r>
      <w:r w:rsidR="008F5704">
        <w:rPr>
          <w:rFonts w:hint="cs"/>
          <w:rtl/>
        </w:rPr>
        <w:t>دائرة الشؤون العالمية بكندا، و</w:t>
      </w:r>
      <w:r w:rsidR="008F5704" w:rsidRPr="008F5704">
        <w:rPr>
          <w:rtl/>
        </w:rPr>
        <w:t>المرك</w:t>
      </w:r>
      <w:r w:rsidR="008F5704">
        <w:rPr>
          <w:rtl/>
        </w:rPr>
        <w:t>ز الوطني للملكية الفكرية لجورجي</w:t>
      </w:r>
      <w:r w:rsidR="008F5704">
        <w:rPr>
          <w:rFonts w:hint="cs"/>
          <w:rtl/>
        </w:rPr>
        <w:t>ا، و</w:t>
      </w:r>
      <w:r w:rsidR="002E334B">
        <w:rPr>
          <w:rFonts w:hint="cs"/>
          <w:rtl/>
        </w:rPr>
        <w:t>وزارة السياسات الصناعية والتطوير بالهند، والمديرية العامة</w:t>
      </w:r>
      <w:r w:rsidR="00F0180C">
        <w:rPr>
          <w:rFonts w:hint="cs"/>
          <w:rtl/>
        </w:rPr>
        <w:t xml:space="preserve"> </w:t>
      </w:r>
      <w:r w:rsidR="00F0180C" w:rsidRPr="00F0180C">
        <w:rPr>
          <w:rtl/>
        </w:rPr>
        <w:t>لمكافحة التقليد – مكتب إيطاليا للبراءات والعلامات التجارية</w:t>
      </w:r>
      <w:r w:rsidR="00F0180C">
        <w:rPr>
          <w:rFonts w:hint="cs"/>
          <w:rtl/>
        </w:rPr>
        <w:t>، و</w:t>
      </w:r>
      <w:r w:rsidR="00F0180C" w:rsidRPr="00F0180C">
        <w:rPr>
          <w:rtl/>
        </w:rPr>
        <w:t>المنظمة الباكستانية للملكية الفكرية</w:t>
      </w:r>
      <w:r w:rsidR="00F0180C">
        <w:rPr>
          <w:rFonts w:hint="cs"/>
          <w:rtl/>
        </w:rPr>
        <w:t>، والمعهد البرتغالي للملكية الصناعية، ومعهد التدريب والدراسات القضائية</w:t>
      </w:r>
      <w:r w:rsidR="002846D3">
        <w:rPr>
          <w:rFonts w:hint="cs"/>
          <w:rtl/>
        </w:rPr>
        <w:t xml:space="preserve"> في الإمارات العربية المتحدة، </w:t>
      </w:r>
      <w:r w:rsidR="00D21FBE">
        <w:rPr>
          <w:rFonts w:hint="cs"/>
          <w:rtl/>
        </w:rPr>
        <w:t>ومركز تنسيق حقوق الملكية الفكرية في الولايات المتحدة الأمريكية.</w:t>
      </w:r>
    </w:p>
    <w:p w:rsidR="00FF7AA8" w:rsidRDefault="00411FC4" w:rsidP="005D59FD">
      <w:pPr>
        <w:pStyle w:val="NumberedParaAR"/>
      </w:pPr>
      <w:r>
        <w:rPr>
          <w:rFonts w:hint="cs"/>
          <w:rtl/>
        </w:rPr>
        <w:t xml:space="preserve">وتحت </w:t>
      </w:r>
      <w:r w:rsidR="00345CB5">
        <w:rPr>
          <w:rFonts w:hint="cs"/>
          <w:rtl/>
        </w:rPr>
        <w:t>البند الفرعي المعنون "</w:t>
      </w:r>
      <w:r w:rsidR="00176C1B">
        <w:rPr>
          <w:rtl/>
        </w:rPr>
        <w:t xml:space="preserve">آليات </w:t>
      </w:r>
      <w:r w:rsidR="00BC5956" w:rsidRPr="00BC5956">
        <w:rPr>
          <w:rtl/>
        </w:rPr>
        <w:t>تسوية منازعات الملكية الفكرية بطريقة متوازنة وشاملة وفعالة</w:t>
      </w:r>
      <w:r w:rsidR="00345CB5">
        <w:rPr>
          <w:rFonts w:hint="cs"/>
          <w:rtl/>
        </w:rPr>
        <w:t>"</w:t>
      </w:r>
      <w:r w:rsidR="001A3313">
        <w:rPr>
          <w:rFonts w:hint="cs"/>
          <w:rtl/>
        </w:rPr>
        <w:t xml:space="preserve">، تمت مشاطرة التجارب الوطنية من جانب </w:t>
      </w:r>
      <w:r w:rsidR="004B10C8">
        <w:rPr>
          <w:rFonts w:hint="cs"/>
          <w:rtl/>
        </w:rPr>
        <w:t xml:space="preserve">مكتب الملكية الفكرية في باكستان، والمعهد البرتغالي للملكية الصناعية، والمحكمة العليا للاتحاد الروسي، </w:t>
      </w:r>
      <w:r w:rsidR="00FF4C1B">
        <w:rPr>
          <w:rFonts w:hint="cs"/>
          <w:rtl/>
        </w:rPr>
        <w:t xml:space="preserve">ومحكمة الاستئناف العليا في جنوب أفريقيا، </w:t>
      </w:r>
      <w:r w:rsidR="00641C54">
        <w:rPr>
          <w:rFonts w:hint="cs"/>
          <w:rtl/>
        </w:rPr>
        <w:t>و</w:t>
      </w:r>
      <w:r w:rsidR="00641C54" w:rsidRPr="00641C54">
        <w:rPr>
          <w:rtl/>
        </w:rPr>
        <w:t>محكمة تايلند المركزية للملكية الفكرية والتجارة الدولية</w:t>
      </w:r>
      <w:r w:rsidR="00641C54">
        <w:rPr>
          <w:rFonts w:hint="cs"/>
          <w:rtl/>
        </w:rPr>
        <w:t>، ومحكمة شؤون الملكية الفكرية في انكلترا وويلز.</w:t>
      </w:r>
      <w:r w:rsidR="00AA5F3D">
        <w:rPr>
          <w:rFonts w:hint="cs"/>
          <w:rtl/>
        </w:rPr>
        <w:t xml:space="preserve"> إضافة إلى ذلك، </w:t>
      </w:r>
      <w:r w:rsidR="00AC226C">
        <w:rPr>
          <w:rFonts w:hint="cs"/>
          <w:rtl/>
        </w:rPr>
        <w:t xml:space="preserve">قدم </w:t>
      </w:r>
      <w:r w:rsidR="009C1073">
        <w:rPr>
          <w:rFonts w:hint="cs"/>
          <w:rtl/>
        </w:rPr>
        <w:t xml:space="preserve">المراقبون عرضين عن </w:t>
      </w:r>
      <w:r w:rsidR="009C1073" w:rsidRPr="009C1073">
        <w:rPr>
          <w:rtl/>
        </w:rPr>
        <w:t>المحاكم المتخصصة في الملكية الفكرية واختصاصاتها:</w:t>
      </w:r>
      <w:r w:rsidR="009C1073">
        <w:rPr>
          <w:rFonts w:hint="cs"/>
          <w:rtl/>
        </w:rPr>
        <w:t xml:space="preserve"> </w:t>
      </w:r>
      <w:r w:rsidR="005D59FD">
        <w:rPr>
          <w:rFonts w:hint="cs"/>
          <w:rtl/>
        </w:rPr>
        <w:t xml:space="preserve">عن </w:t>
      </w:r>
      <w:r w:rsidR="005D59FD" w:rsidRPr="005D59FD">
        <w:rPr>
          <w:rtl/>
        </w:rPr>
        <w:t>تقرير أعدته غرفة التجارة الدولية (</w:t>
      </w:r>
      <w:r w:rsidR="005D59FD" w:rsidRPr="005D59FD">
        <w:rPr>
          <w:cs/>
        </w:rPr>
        <w:t>‎</w:t>
      </w:r>
      <w:r w:rsidR="005D59FD" w:rsidRPr="005D59FD">
        <w:t>ICC</w:t>
      </w:r>
      <w:r w:rsidR="005D59FD" w:rsidRPr="005D59FD">
        <w:rPr>
          <w:rtl/>
        </w:rPr>
        <w:t>‏) في أبريل 2016، و</w:t>
      </w:r>
      <w:r w:rsidR="005D59FD">
        <w:rPr>
          <w:rFonts w:hint="cs"/>
          <w:rtl/>
        </w:rPr>
        <w:t xml:space="preserve">عن </w:t>
      </w:r>
      <w:r w:rsidR="005D59FD">
        <w:rPr>
          <w:rtl/>
        </w:rPr>
        <w:t>المقال الر</w:t>
      </w:r>
      <w:r w:rsidR="005D59FD">
        <w:rPr>
          <w:rFonts w:hint="cs"/>
          <w:rtl/>
        </w:rPr>
        <w:t>ائد</w:t>
      </w:r>
      <w:r w:rsidR="005D59FD" w:rsidRPr="005D59FD">
        <w:rPr>
          <w:rtl/>
        </w:rPr>
        <w:t xml:space="preserve"> للأستاذ جاك دي </w:t>
      </w:r>
      <w:proofErr w:type="spellStart"/>
      <w:r w:rsidR="005D59FD" w:rsidRPr="005D59FD">
        <w:rPr>
          <w:rtl/>
        </w:rPr>
        <w:t>ويرا</w:t>
      </w:r>
      <w:proofErr w:type="spellEnd"/>
      <w:r w:rsidR="005D59FD" w:rsidRPr="005D59FD">
        <w:rPr>
          <w:rtl/>
        </w:rPr>
        <w:t xml:space="preserve"> (جامعة جنيف) في دراسة مشتركة لمركز الدراسات الدولية للملكية الفكرية (</w:t>
      </w:r>
      <w:r w:rsidR="005D59FD" w:rsidRPr="005D59FD">
        <w:rPr>
          <w:cs/>
        </w:rPr>
        <w:t>‎</w:t>
      </w:r>
      <w:r w:rsidR="005D59FD" w:rsidRPr="005D59FD">
        <w:t>CEIPI</w:t>
      </w:r>
      <w:r w:rsidR="005D59FD" w:rsidRPr="005D59FD">
        <w:rPr>
          <w:rtl/>
        </w:rPr>
        <w:t>‏) والمركز الدولي للتجارة والتنمية المستدامة (</w:t>
      </w:r>
      <w:r w:rsidR="005D59FD" w:rsidRPr="005D59FD">
        <w:rPr>
          <w:cs/>
        </w:rPr>
        <w:t>‎</w:t>
      </w:r>
      <w:r w:rsidR="005D59FD" w:rsidRPr="005D59FD">
        <w:t>ICTSD</w:t>
      </w:r>
      <w:r w:rsidR="005D59FD" w:rsidRPr="005D59FD">
        <w:rPr>
          <w:rtl/>
        </w:rPr>
        <w:t>‏)، نُشرت في مارس 2016.</w:t>
      </w:r>
    </w:p>
    <w:p w:rsidR="0053251C" w:rsidRDefault="0053251C" w:rsidP="00D57B1F">
      <w:pPr>
        <w:pStyle w:val="NumberedParaAR"/>
      </w:pPr>
      <w:r>
        <w:rPr>
          <w:rFonts w:hint="cs"/>
          <w:rtl/>
        </w:rPr>
        <w:t xml:space="preserve">وتحت برنامج العمل الخاص </w:t>
      </w:r>
      <w:r w:rsidR="005F27CE">
        <w:rPr>
          <w:rFonts w:hint="cs"/>
          <w:rtl/>
        </w:rPr>
        <w:t>"</w:t>
      </w:r>
      <w:r>
        <w:rPr>
          <w:rFonts w:hint="cs"/>
          <w:rtl/>
        </w:rPr>
        <w:t>ب</w:t>
      </w:r>
      <w:r w:rsidR="00562106" w:rsidRPr="00562106">
        <w:rPr>
          <w:rtl/>
        </w:rPr>
        <w:t>تبادل المعلومات حول التجارب الوطنية الخاصة بالمساعدة التشريعية التي تقدمها الويبو، مع التركيز على صياغة قوانين الإنفاذ الوطنية التي تراعي مواطن المرونة ومستوى التنمية واختلاف التقاليد القانونية واحتمال إساءة استعمال إجراءات الإنفاذ، مع أخذ المصلحة الاجتماعية الأعم في الحسبان وبا</w:t>
      </w:r>
      <w:r w:rsidR="005F27CE">
        <w:rPr>
          <w:rtl/>
        </w:rPr>
        <w:t>لتوافق مع أولويات الدول الأعضاء</w:t>
      </w:r>
      <w:r w:rsidR="005F27CE">
        <w:rPr>
          <w:rFonts w:hint="cs"/>
          <w:rtl/>
        </w:rPr>
        <w:t>"</w:t>
      </w:r>
      <w:r w:rsidR="00562106">
        <w:rPr>
          <w:rFonts w:hint="cs"/>
          <w:rtl/>
        </w:rPr>
        <w:t xml:space="preserve">، </w:t>
      </w:r>
      <w:r w:rsidR="005F27CE">
        <w:rPr>
          <w:rFonts w:hint="cs"/>
          <w:rtl/>
        </w:rPr>
        <w:t>لم تقدم الدول الأعضاء أي عروض. وجرت المناقشة بمداخلة من وفد شيلي، متحدثاً باسم مجموعة بلدان أمريكا اللاتينية والكاريبي</w:t>
      </w:r>
      <w:r w:rsidR="00685AB5">
        <w:rPr>
          <w:rFonts w:hint="cs"/>
          <w:rtl/>
        </w:rPr>
        <w:t xml:space="preserve">، </w:t>
      </w:r>
      <w:r w:rsidR="00B442D6">
        <w:rPr>
          <w:rFonts w:hint="cs"/>
          <w:rtl/>
        </w:rPr>
        <w:t xml:space="preserve">الذي طلب من الأمانة أن تعد للدورة الثانية عشرة للجنة الإنفاذ وثيقة عن المساعدة التشريعية </w:t>
      </w:r>
      <w:r w:rsidR="00D578EB">
        <w:rPr>
          <w:rFonts w:hint="cs"/>
          <w:rtl/>
        </w:rPr>
        <w:t>المقدمة في مجال إنفاذ الملكية الفكرية.</w:t>
      </w:r>
      <w:r w:rsidR="00BE1D77">
        <w:rPr>
          <w:rFonts w:hint="cs"/>
          <w:rtl/>
        </w:rPr>
        <w:t xml:space="preserve"> ووافقت الأمانة على إعداد وثيقة إعلامية</w:t>
      </w:r>
      <w:r w:rsidR="00205C58">
        <w:rPr>
          <w:rFonts w:hint="cs"/>
          <w:rtl/>
        </w:rPr>
        <w:t xml:space="preserve"> تبين العملية التي تقدم بها المساعدة التشريعية، والإطار القانوني الذي تستند إليه</w:t>
      </w:r>
      <w:r w:rsidR="00807EA8">
        <w:rPr>
          <w:rFonts w:hint="cs"/>
          <w:rtl/>
        </w:rPr>
        <w:t xml:space="preserve"> (</w:t>
      </w:r>
      <w:r w:rsidR="00D57B1F" w:rsidRPr="00D57B1F">
        <w:rPr>
          <w:rtl/>
        </w:rPr>
        <w:t>الجزء الثالث من اتفاق جوانب حقوق الملكية الفكرية المتصلة بالتجارة (اتفاق تريبس)</w:t>
      </w:r>
      <w:r w:rsidR="00807EA8">
        <w:rPr>
          <w:rFonts w:hint="cs"/>
          <w:rtl/>
        </w:rPr>
        <w:t>)</w:t>
      </w:r>
      <w:r w:rsidR="00144BD7">
        <w:rPr>
          <w:rFonts w:hint="cs"/>
          <w:rtl/>
        </w:rPr>
        <w:t>، والمبادئ السارية في هذا الصدد.</w:t>
      </w:r>
    </w:p>
    <w:p w:rsidR="00144BD7" w:rsidRDefault="005B6BBB" w:rsidP="006677B4">
      <w:pPr>
        <w:pStyle w:val="NumberedParaAR"/>
      </w:pPr>
      <w:r>
        <w:rPr>
          <w:rFonts w:hint="cs"/>
          <w:rtl/>
        </w:rPr>
        <w:t>وتحت برنامج العمل المتعلق "بتبادل</w:t>
      </w:r>
      <w:r w:rsidRPr="005B6BBB">
        <w:rPr>
          <w:rtl/>
        </w:rPr>
        <w:t xml:space="preserve"> القصص الناجحة بشأن خدمات تكوين الكفاءات وخدمات الدعم المُقدمة من الويبو لأغراض تنفيذ أنشطة التدريب على الصعيدين الوطني والإقليمي لفائدة الوكالات والموظفين الوطنيين طبقا للتوصيات المعنية من أجندة التنمية وولاية اللجنة</w:t>
      </w:r>
      <w:r w:rsidR="004E0731">
        <w:rPr>
          <w:rFonts w:hint="cs"/>
          <w:rtl/>
        </w:rPr>
        <w:t>"</w:t>
      </w:r>
      <w:r>
        <w:rPr>
          <w:rFonts w:hint="cs"/>
          <w:rtl/>
        </w:rPr>
        <w:t xml:space="preserve">، </w:t>
      </w:r>
      <w:r w:rsidR="00ED441D">
        <w:rPr>
          <w:rFonts w:hint="cs"/>
          <w:rtl/>
        </w:rPr>
        <w:t xml:space="preserve">عرضت الأمانة أنشطتها الخاصة ببناء القدرات والتدريب في مجال بناء احترام الملكية الفكرية. وأعقب ذلك عروض من </w:t>
      </w:r>
      <w:r w:rsidR="00124B3F" w:rsidRPr="00124B3F">
        <w:rPr>
          <w:rtl/>
        </w:rPr>
        <w:t>مفوضية جنوبا أفريقيا للشركات والملكية الفكرية</w:t>
      </w:r>
      <w:r w:rsidR="006677B4">
        <w:rPr>
          <w:rFonts w:hint="cs"/>
          <w:rtl/>
        </w:rPr>
        <w:t xml:space="preserve">، </w:t>
      </w:r>
      <w:r w:rsidR="006677B4" w:rsidRPr="006677B4">
        <w:rPr>
          <w:rtl/>
        </w:rPr>
        <w:t>والمنظمة الإقليمية الأفريقية للملكية الفكرية</w:t>
      </w:r>
      <w:r w:rsidR="006677B4">
        <w:rPr>
          <w:rFonts w:hint="cs"/>
          <w:rtl/>
        </w:rPr>
        <w:t>، و</w:t>
      </w:r>
      <w:r w:rsidR="006677B4" w:rsidRPr="006677B4">
        <w:rPr>
          <w:rtl/>
        </w:rPr>
        <w:t xml:space="preserve">القاضي لويس </w:t>
      </w:r>
      <w:proofErr w:type="spellStart"/>
      <w:r w:rsidR="006677B4" w:rsidRPr="006677B4">
        <w:rPr>
          <w:rtl/>
        </w:rPr>
        <w:t>هارمز</w:t>
      </w:r>
      <w:proofErr w:type="spellEnd"/>
      <w:r w:rsidR="006677B4" w:rsidRPr="006677B4">
        <w:rPr>
          <w:rtl/>
        </w:rPr>
        <w:t>، النائب السابق لرئيس محكمة الاستئناف العليا في جنوب أفريقيا</w:t>
      </w:r>
      <w:r w:rsidR="006677B4">
        <w:rPr>
          <w:rFonts w:hint="cs"/>
          <w:rtl/>
        </w:rPr>
        <w:t xml:space="preserve"> ومستشار الويبو. إضافة إلى ذلك، عرضت وفود كل من الأردن والسلفادور وعمان واليابان</w:t>
      </w:r>
      <w:r w:rsidR="001275CD">
        <w:rPr>
          <w:rFonts w:hint="cs"/>
          <w:rtl/>
        </w:rPr>
        <w:t xml:space="preserve"> تجاربها القطرية الخاصة إزاء أنشطة الويبو المتعلقة ببناء القدرات في مجال بناء احترام الملكية الفكرية.</w:t>
      </w:r>
    </w:p>
    <w:p w:rsidR="001275CD" w:rsidRDefault="00164352" w:rsidP="00164352">
      <w:pPr>
        <w:pStyle w:val="NumberedParaAR"/>
      </w:pPr>
      <w:r>
        <w:rPr>
          <w:rFonts w:hint="cs"/>
          <w:rtl/>
        </w:rPr>
        <w:t>و</w:t>
      </w:r>
      <w:r w:rsidRPr="00164352">
        <w:rPr>
          <w:rtl/>
        </w:rPr>
        <w:t>أحاطت اللجنة علما بالعرض الذي قدمته الأمانة بشأن أنشطة الويبو الأخيرة في مجال إذكاء الاحترام للملكية الفكرية</w:t>
      </w:r>
      <w:r>
        <w:rPr>
          <w:rFonts w:hint="cs"/>
          <w:rtl/>
        </w:rPr>
        <w:t xml:space="preserve">، </w:t>
      </w:r>
      <w:r w:rsidRPr="00164352">
        <w:rPr>
          <w:rtl/>
        </w:rPr>
        <w:t>استرشادا</w:t>
      </w:r>
      <w:r>
        <w:rPr>
          <w:rFonts w:hint="cs"/>
          <w:rtl/>
        </w:rPr>
        <w:t>ً</w:t>
      </w:r>
      <w:r w:rsidRPr="00164352">
        <w:rPr>
          <w:rtl/>
        </w:rPr>
        <w:t xml:space="preserve"> بالبرنام</w:t>
      </w:r>
      <w:r>
        <w:rPr>
          <w:rtl/>
        </w:rPr>
        <w:t xml:space="preserve">ج والميزانية </w:t>
      </w:r>
      <w:r w:rsidRPr="00164352">
        <w:rPr>
          <w:rtl/>
        </w:rPr>
        <w:t>والتوصية 45 من جدول أعمال التنمية وهدف الويبو الاستراتيجي السادس وهو "التعاون الدولي على إذكاء الاحترام للملكية الفكرية"</w:t>
      </w:r>
      <w:r w:rsidR="001A539A">
        <w:rPr>
          <w:rFonts w:hint="cs"/>
          <w:rtl/>
        </w:rPr>
        <w:t>.</w:t>
      </w:r>
      <w:r w:rsidR="0081714D">
        <w:rPr>
          <w:rStyle w:val="FootnoteReference"/>
          <w:rtl/>
        </w:rPr>
        <w:footnoteReference w:id="5"/>
      </w:r>
    </w:p>
    <w:p w:rsidR="006D3EB9" w:rsidRDefault="00E63068" w:rsidP="00E63068">
      <w:pPr>
        <w:pStyle w:val="NumberedParaAR"/>
        <w:rPr>
          <w:rtl/>
        </w:rPr>
      </w:pPr>
      <w:proofErr w:type="gramStart"/>
      <w:r w:rsidRPr="00E63068">
        <w:rPr>
          <w:rtl/>
        </w:rPr>
        <w:lastRenderedPageBreak/>
        <w:t>وفيما</w:t>
      </w:r>
      <w:proofErr w:type="gramEnd"/>
      <w:r w:rsidRPr="00E63068">
        <w:rPr>
          <w:rtl/>
        </w:rPr>
        <w:t xml:space="preserve"> يخص العمل المقبل للجنة، اتفقت هذه الأخيرة على</w:t>
      </w:r>
      <w:r>
        <w:rPr>
          <w:rFonts w:hint="cs"/>
          <w:rtl/>
          <w:lang w:val="fr-CH" w:bidi="ar-MA"/>
        </w:rPr>
        <w:t xml:space="preserve"> أن تواصل النظر، في دورتها الثانية عشرة، في برنامج العمل المتفق عليه في الدورة العاشرة، على النحو الوارد في الفقرة 12 أعلاه.</w:t>
      </w:r>
    </w:p>
    <w:p w:rsidR="00263E28" w:rsidRPr="00684351" w:rsidRDefault="00263E28" w:rsidP="009D4AAB">
      <w:pPr>
        <w:pStyle w:val="DecisionParaAR"/>
        <w:spacing w:after="480"/>
      </w:pPr>
      <w:r w:rsidRPr="00684351">
        <w:rPr>
          <w:rFonts w:hint="cs"/>
          <w:rtl/>
        </w:rPr>
        <w:t>إن الجمعية العامة للويبو مدعوة إل</w:t>
      </w:r>
      <w:r w:rsidR="00E63068" w:rsidRPr="00684351">
        <w:rPr>
          <w:rFonts w:hint="cs"/>
          <w:rtl/>
        </w:rPr>
        <w:t>ى الإحاطة علما</w:t>
      </w:r>
      <w:r w:rsidR="00564126" w:rsidRPr="00684351">
        <w:rPr>
          <w:rFonts w:hint="cs"/>
          <w:rtl/>
        </w:rPr>
        <w:t>ً</w:t>
      </w:r>
      <w:r w:rsidRPr="00684351">
        <w:rPr>
          <w:rFonts w:hint="cs"/>
          <w:rtl/>
        </w:rPr>
        <w:t xml:space="preserve"> "</w:t>
      </w:r>
      <w:r w:rsidR="00E63068" w:rsidRPr="00684351">
        <w:rPr>
          <w:rFonts w:hint="cs"/>
          <w:rtl/>
        </w:rPr>
        <w:t>بال</w:t>
      </w:r>
      <w:r w:rsidRPr="00684351">
        <w:rPr>
          <w:rFonts w:hint="cs"/>
          <w:rtl/>
        </w:rPr>
        <w:t>تقرير عن اللجنة الاستشارية المعنية بالإنفاذ" (الوثيقة</w:t>
      </w:r>
      <w:r w:rsidRPr="00684351">
        <w:rPr>
          <w:rFonts w:hint="eastAsia"/>
          <w:rtl/>
        </w:rPr>
        <w:t> </w:t>
      </w:r>
      <w:r w:rsidRPr="00684351">
        <w:t>WO/GA/48/11</w:t>
      </w:r>
      <w:r w:rsidRPr="00684351">
        <w:rPr>
          <w:rFonts w:hint="cs"/>
          <w:rtl/>
        </w:rPr>
        <w:t>).</w:t>
      </w:r>
    </w:p>
    <w:p w:rsidR="00263E28" w:rsidRPr="00A834F7" w:rsidRDefault="00263E28" w:rsidP="00263E28">
      <w:pPr>
        <w:pStyle w:val="EndofDocumentAR"/>
      </w:pPr>
      <w:r>
        <w:rPr>
          <w:rFonts w:hint="cs"/>
          <w:rtl/>
        </w:rPr>
        <w:t>[</w:t>
      </w:r>
      <w:proofErr w:type="gramStart"/>
      <w:r>
        <w:rPr>
          <w:rFonts w:hint="cs"/>
          <w:rtl/>
        </w:rPr>
        <w:t>نهاية</w:t>
      </w:r>
      <w:proofErr w:type="gramEnd"/>
      <w:r>
        <w:rPr>
          <w:rFonts w:hint="cs"/>
          <w:rtl/>
        </w:rPr>
        <w:t xml:space="preserve"> الوثيقة]</w:t>
      </w:r>
    </w:p>
    <w:sectPr w:rsidR="00263E28" w:rsidRPr="00A834F7" w:rsidSect="00EB7752">
      <w:headerReference w:type="default" r:id="rId10"/>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095" w:rsidRDefault="00E52095">
      <w:r>
        <w:separator/>
      </w:r>
    </w:p>
  </w:endnote>
  <w:endnote w:type="continuationSeparator" w:id="0">
    <w:p w:rsidR="00E52095" w:rsidRDefault="00E52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095" w:rsidRDefault="00E52095" w:rsidP="009622BF">
      <w:pPr>
        <w:bidi/>
      </w:pPr>
      <w:bookmarkStart w:id="0" w:name="OLE_LINK1"/>
      <w:bookmarkStart w:id="1" w:name="OLE_LINK2"/>
      <w:r>
        <w:separator/>
      </w:r>
      <w:bookmarkEnd w:id="0"/>
      <w:bookmarkEnd w:id="1"/>
    </w:p>
  </w:footnote>
  <w:footnote w:type="continuationSeparator" w:id="0">
    <w:p w:rsidR="00E52095" w:rsidRDefault="00E52095" w:rsidP="009622BF">
      <w:pPr>
        <w:bidi/>
      </w:pPr>
      <w:r>
        <w:separator/>
      </w:r>
    </w:p>
  </w:footnote>
  <w:footnote w:id="1">
    <w:p w:rsidR="00ED7F80" w:rsidRDefault="00ED7F80" w:rsidP="00ED7F80">
      <w:pPr>
        <w:pStyle w:val="FootnoteText"/>
      </w:pPr>
      <w:r>
        <w:rPr>
          <w:rStyle w:val="FootnoteReference"/>
        </w:rPr>
        <w:footnoteRef/>
      </w:r>
      <w:r>
        <w:rPr>
          <w:rFonts w:hint="cs"/>
          <w:rtl/>
        </w:rPr>
        <w:tab/>
        <w:t xml:space="preserve">الوثائق </w:t>
      </w:r>
      <w:proofErr w:type="gramStart"/>
      <w:r>
        <w:rPr>
          <w:rFonts w:hint="cs"/>
          <w:rtl/>
        </w:rPr>
        <w:t>من</w:t>
      </w:r>
      <w:proofErr w:type="gramEnd"/>
      <w:r>
        <w:rPr>
          <w:rFonts w:hint="cs"/>
          <w:rtl/>
        </w:rPr>
        <w:t xml:space="preserve"> </w:t>
      </w:r>
      <w:r w:rsidRPr="00ED7F80">
        <w:rPr>
          <w:lang w:val="es-ES_tradnl"/>
        </w:rPr>
        <w:t>WIPO/ACE/10/4</w:t>
      </w:r>
      <w:r>
        <w:rPr>
          <w:rFonts w:hint="cs"/>
          <w:rtl/>
          <w:lang w:val="es-ES_tradnl"/>
        </w:rPr>
        <w:t xml:space="preserve"> إلى </w:t>
      </w:r>
      <w:r w:rsidRPr="00ED7F80">
        <w:rPr>
          <w:lang w:val="es-ES_tradnl"/>
        </w:rPr>
        <w:t>WIPO/ACE/10/25</w:t>
      </w:r>
      <w:r>
        <w:rPr>
          <w:rFonts w:hint="cs"/>
          <w:rtl/>
          <w:lang w:val="es-ES_tradnl"/>
        </w:rPr>
        <w:t>.</w:t>
      </w:r>
    </w:p>
  </w:footnote>
  <w:footnote w:id="2">
    <w:p w:rsidR="00EE13E0" w:rsidRDefault="00EE13E0" w:rsidP="00EE13E0">
      <w:pPr>
        <w:pStyle w:val="FootnoteText"/>
      </w:pPr>
      <w:r>
        <w:rPr>
          <w:rStyle w:val="FootnoteReference"/>
        </w:rPr>
        <w:footnoteRef/>
      </w:r>
      <w:r>
        <w:rPr>
          <w:rFonts w:hint="cs"/>
          <w:rtl/>
        </w:rPr>
        <w:tab/>
        <w:t>الوثيقة</w:t>
      </w:r>
      <w:r>
        <w:rPr>
          <w:rFonts w:hint="eastAsia"/>
          <w:rtl/>
        </w:rPr>
        <w:t> </w:t>
      </w:r>
      <w:r w:rsidRPr="00EE13E0">
        <w:rPr>
          <w:lang w:val="es-ES_tradnl"/>
        </w:rPr>
        <w:t>WIPO/ACE/10/2</w:t>
      </w:r>
      <w:r>
        <w:rPr>
          <w:rFonts w:hint="cs"/>
          <w:rtl/>
          <w:lang w:val="es-ES_tradnl"/>
        </w:rPr>
        <w:t>.</w:t>
      </w:r>
    </w:p>
  </w:footnote>
  <w:footnote w:id="3">
    <w:p w:rsidR="00C05CD9" w:rsidRPr="00C05CD9" w:rsidRDefault="00C05CD9" w:rsidP="000A60F1">
      <w:pPr>
        <w:pStyle w:val="FootnoteText"/>
      </w:pPr>
      <w:r>
        <w:rPr>
          <w:rStyle w:val="FootnoteReference"/>
        </w:rPr>
        <w:footnoteRef/>
      </w:r>
      <w:r>
        <w:rPr>
          <w:rFonts w:hint="cs"/>
          <w:rtl/>
        </w:rPr>
        <w:tab/>
      </w:r>
      <w:proofErr w:type="gramStart"/>
      <w:r>
        <w:rPr>
          <w:rFonts w:hint="cs"/>
          <w:rtl/>
        </w:rPr>
        <w:t>متاح</w:t>
      </w:r>
      <w:proofErr w:type="gramEnd"/>
      <w:r>
        <w:rPr>
          <w:rFonts w:hint="cs"/>
          <w:rtl/>
        </w:rPr>
        <w:t xml:space="preserve"> على الرابط التالي: </w:t>
      </w:r>
      <w:hyperlink r:id="rId1" w:history="1">
        <w:r w:rsidR="000A60F1" w:rsidRPr="00D17458">
          <w:rPr>
            <w:rStyle w:val="Hyperlink"/>
          </w:rPr>
          <w:t>http://www.wipo.int/export/sites/www/about-wipo/en/oversight/iaod/evaluation/pdf/‌evaluation_‌strategic_‌goal_vi.pdf</w:t>
        </w:r>
      </w:hyperlink>
    </w:p>
  </w:footnote>
  <w:footnote w:id="4">
    <w:p w:rsidR="006756C7" w:rsidRDefault="006756C7" w:rsidP="006756C7">
      <w:pPr>
        <w:pStyle w:val="FootnoteText"/>
      </w:pPr>
      <w:r>
        <w:rPr>
          <w:rStyle w:val="FootnoteReference"/>
        </w:rPr>
        <w:footnoteRef/>
      </w:r>
      <w:r>
        <w:rPr>
          <w:rFonts w:hint="cs"/>
          <w:rtl/>
        </w:rPr>
        <w:tab/>
        <w:t xml:space="preserve">الوثائق </w:t>
      </w:r>
      <w:proofErr w:type="gramStart"/>
      <w:r>
        <w:rPr>
          <w:rFonts w:hint="cs"/>
          <w:rtl/>
        </w:rPr>
        <w:t>من</w:t>
      </w:r>
      <w:proofErr w:type="gramEnd"/>
      <w:r>
        <w:rPr>
          <w:rFonts w:hint="cs"/>
          <w:rtl/>
        </w:rPr>
        <w:t xml:space="preserve"> </w:t>
      </w:r>
      <w:r w:rsidRPr="00ED7F80">
        <w:rPr>
          <w:lang w:val="es-ES_tradnl"/>
        </w:rPr>
        <w:t>WIPO/ACE/1</w:t>
      </w:r>
      <w:r>
        <w:rPr>
          <w:lang w:val="es-ES_tradnl"/>
        </w:rPr>
        <w:t>1</w:t>
      </w:r>
      <w:r w:rsidRPr="00ED7F80">
        <w:rPr>
          <w:lang w:val="es-ES_tradnl"/>
        </w:rPr>
        <w:t>/4</w:t>
      </w:r>
      <w:r>
        <w:rPr>
          <w:rFonts w:hint="cs"/>
          <w:rtl/>
          <w:lang w:val="es-ES_tradnl"/>
        </w:rPr>
        <w:t xml:space="preserve"> إلى </w:t>
      </w:r>
      <w:r w:rsidRPr="00ED7F80">
        <w:rPr>
          <w:lang w:val="es-ES_tradnl"/>
        </w:rPr>
        <w:t>WIPO/ACE/1</w:t>
      </w:r>
      <w:r>
        <w:rPr>
          <w:lang w:val="es-ES_tradnl"/>
        </w:rPr>
        <w:t>1</w:t>
      </w:r>
      <w:r w:rsidRPr="00ED7F80">
        <w:rPr>
          <w:lang w:val="es-ES_tradnl"/>
        </w:rPr>
        <w:t>/</w:t>
      </w:r>
      <w:r>
        <w:rPr>
          <w:lang w:val="es-ES_tradnl"/>
        </w:rPr>
        <w:t>10</w:t>
      </w:r>
      <w:r>
        <w:rPr>
          <w:rFonts w:hint="cs"/>
          <w:rtl/>
          <w:lang w:val="es-ES_tradnl"/>
        </w:rPr>
        <w:t>.</w:t>
      </w:r>
    </w:p>
  </w:footnote>
  <w:footnote w:id="5">
    <w:p w:rsidR="0081714D" w:rsidRDefault="0081714D" w:rsidP="0081714D">
      <w:pPr>
        <w:pStyle w:val="FootnoteText"/>
      </w:pPr>
      <w:r>
        <w:rPr>
          <w:rStyle w:val="FootnoteReference"/>
        </w:rPr>
        <w:footnoteRef/>
      </w:r>
      <w:r>
        <w:rPr>
          <w:rFonts w:hint="cs"/>
          <w:rtl/>
        </w:rPr>
        <w:tab/>
        <w:t>الوثيقة</w:t>
      </w:r>
      <w:r>
        <w:rPr>
          <w:rFonts w:hint="cs"/>
          <w:rtl/>
          <w:lang w:val="es-ES_tradnl"/>
        </w:rPr>
        <w:t xml:space="preserve"> </w:t>
      </w:r>
      <w:r w:rsidRPr="00ED7F80">
        <w:rPr>
          <w:lang w:val="es-ES_tradnl"/>
        </w:rPr>
        <w:t>WIPO/ACE/1</w:t>
      </w:r>
      <w:r>
        <w:rPr>
          <w:lang w:val="es-ES_tradnl"/>
        </w:rPr>
        <w:t>1</w:t>
      </w:r>
      <w:r w:rsidRPr="00ED7F80">
        <w:rPr>
          <w:lang w:val="es-ES_tradnl"/>
        </w:rPr>
        <w:t>/</w:t>
      </w:r>
      <w:r>
        <w:rPr>
          <w:lang w:val="es-ES_tradnl"/>
        </w:rPr>
        <w:t>2</w:t>
      </w:r>
      <w:r>
        <w:rPr>
          <w:rFonts w:hint="cs"/>
          <w:rtl/>
          <w:lang w:val="es-ES_tradn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983389" w:rsidP="009B48E3">
    <w:r>
      <w:t>W</w:t>
    </w:r>
    <w:r w:rsidR="00772E46">
      <w:t>O/</w:t>
    </w:r>
    <w:r w:rsidR="0059089F">
      <w:t>GA</w:t>
    </w:r>
    <w:r w:rsidR="002F77FC">
      <w:t>/</w:t>
    </w:r>
    <w:r w:rsidR="009B48E3">
      <w:t>48</w:t>
    </w:r>
    <w:r w:rsidR="00FD2044">
      <w:t>/11</w:t>
    </w:r>
  </w:p>
  <w:p w:rsidR="002F77FC" w:rsidRDefault="002F77FC" w:rsidP="00D61541">
    <w:r>
      <w:fldChar w:fldCharType="begin"/>
    </w:r>
    <w:r>
      <w:instrText xml:space="preserve"> PAGE  \* MERGEFORMAT </w:instrText>
    </w:r>
    <w:r>
      <w:fldChar w:fldCharType="separate"/>
    </w:r>
    <w:r w:rsidR="00513BA9">
      <w:rPr>
        <w:noProof/>
      </w:rPr>
      <w:t>5</w:t>
    </w:r>
    <w:r>
      <w:fldChar w:fldCharType="end"/>
    </w:r>
  </w:p>
  <w:p w:rsidR="002F77FC" w:rsidRDefault="002F77FC"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2CC3181"/>
    <w:multiLevelType w:val="hybridMultilevel"/>
    <w:tmpl w:val="A0D4832C"/>
    <w:lvl w:ilvl="0" w:tplc="60E0C94A">
      <w:numFmt w:val="bullet"/>
      <w:lvlText w:val="-"/>
      <w:lvlJc w:val="left"/>
      <w:pPr>
        <w:ind w:left="720" w:hanging="360"/>
      </w:pPr>
      <w:rPr>
        <w:rFonts w:ascii="Arabic Typesetting" w:eastAsia="Times New Roman" w:hAnsi="Arabic Typesetting"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E87973"/>
    <w:multiLevelType w:val="hybridMultilevel"/>
    <w:tmpl w:val="025AB0C2"/>
    <w:lvl w:ilvl="0" w:tplc="D09EF666">
      <w:start w:val="1"/>
      <w:numFmt w:val="decimal"/>
      <w:pStyle w:val="NumberedParaAR"/>
      <w:lvlText w:val="%1."/>
      <w:lvlJc w:val="left"/>
      <w:pPr>
        <w:tabs>
          <w:tab w:val="num" w:pos="6095"/>
        </w:tabs>
        <w:ind w:left="5528"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B94552F"/>
    <w:multiLevelType w:val="hybridMultilevel"/>
    <w:tmpl w:val="58564044"/>
    <w:lvl w:ilvl="0" w:tplc="6A362A4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0">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5"/>
  </w:num>
  <w:num w:numId="3">
    <w:abstractNumId w:val="10"/>
  </w:num>
  <w:num w:numId="4">
    <w:abstractNumId w:val="19"/>
  </w:num>
  <w:num w:numId="5">
    <w:abstractNumId w:val="8"/>
  </w:num>
  <w:num w:numId="6">
    <w:abstractNumId w:val="20"/>
  </w:num>
  <w:num w:numId="7">
    <w:abstractNumId w:val="14"/>
  </w:num>
  <w:num w:numId="8">
    <w:abstractNumId w:val="17"/>
  </w:num>
  <w:num w:numId="9">
    <w:abstractNumId w:val="16"/>
  </w:num>
  <w:num w:numId="10">
    <w:abstractNumId w:val="21"/>
  </w:num>
  <w:num w:numId="11">
    <w:abstractNumId w:val="13"/>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8"/>
  </w:num>
  <w:num w:numId="22">
    <w:abstractNumId w:val="13"/>
  </w:num>
  <w:num w:numId="23">
    <w:abstractNumId w:val="12"/>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203"/>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58E1"/>
    <w:rsid w:val="00066DC7"/>
    <w:rsid w:val="0006794A"/>
    <w:rsid w:val="00067F0A"/>
    <w:rsid w:val="00067F31"/>
    <w:rsid w:val="00070D21"/>
    <w:rsid w:val="00071138"/>
    <w:rsid w:val="000717BF"/>
    <w:rsid w:val="00073402"/>
    <w:rsid w:val="00075745"/>
    <w:rsid w:val="00075A04"/>
    <w:rsid w:val="00075D39"/>
    <w:rsid w:val="000760C3"/>
    <w:rsid w:val="000763A4"/>
    <w:rsid w:val="00076901"/>
    <w:rsid w:val="0008173D"/>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0F1"/>
    <w:rsid w:val="000A6510"/>
    <w:rsid w:val="000B0BB4"/>
    <w:rsid w:val="000B1045"/>
    <w:rsid w:val="000B1BAE"/>
    <w:rsid w:val="000B29B3"/>
    <w:rsid w:val="000B3889"/>
    <w:rsid w:val="000B3B3B"/>
    <w:rsid w:val="000B42E7"/>
    <w:rsid w:val="000B70B7"/>
    <w:rsid w:val="000B73E6"/>
    <w:rsid w:val="000B7759"/>
    <w:rsid w:val="000C043E"/>
    <w:rsid w:val="000C111E"/>
    <w:rsid w:val="000C1E3C"/>
    <w:rsid w:val="000C1FB4"/>
    <w:rsid w:val="000C2A3E"/>
    <w:rsid w:val="000C2CE8"/>
    <w:rsid w:val="000C335E"/>
    <w:rsid w:val="000C36CD"/>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BA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4B3F"/>
    <w:rsid w:val="001252B1"/>
    <w:rsid w:val="00126897"/>
    <w:rsid w:val="0012696D"/>
    <w:rsid w:val="001275CD"/>
    <w:rsid w:val="00130FC9"/>
    <w:rsid w:val="001310EE"/>
    <w:rsid w:val="0013191A"/>
    <w:rsid w:val="00131E8F"/>
    <w:rsid w:val="0013327E"/>
    <w:rsid w:val="001347E1"/>
    <w:rsid w:val="00135C24"/>
    <w:rsid w:val="00136389"/>
    <w:rsid w:val="00136A1A"/>
    <w:rsid w:val="00136A96"/>
    <w:rsid w:val="001376B6"/>
    <w:rsid w:val="00140A35"/>
    <w:rsid w:val="00142F4D"/>
    <w:rsid w:val="00143428"/>
    <w:rsid w:val="0014412C"/>
    <w:rsid w:val="00144713"/>
    <w:rsid w:val="00144BD7"/>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57908"/>
    <w:rsid w:val="001603F7"/>
    <w:rsid w:val="00160C95"/>
    <w:rsid w:val="00162777"/>
    <w:rsid w:val="0016337E"/>
    <w:rsid w:val="00164352"/>
    <w:rsid w:val="00164691"/>
    <w:rsid w:val="00164BD2"/>
    <w:rsid w:val="00165AC3"/>
    <w:rsid w:val="00165CAB"/>
    <w:rsid w:val="001665F3"/>
    <w:rsid w:val="001667B6"/>
    <w:rsid w:val="001668D4"/>
    <w:rsid w:val="00166A09"/>
    <w:rsid w:val="00167809"/>
    <w:rsid w:val="00167D04"/>
    <w:rsid w:val="00167F30"/>
    <w:rsid w:val="00171844"/>
    <w:rsid w:val="0017385A"/>
    <w:rsid w:val="00175448"/>
    <w:rsid w:val="001757AF"/>
    <w:rsid w:val="00175825"/>
    <w:rsid w:val="0017666F"/>
    <w:rsid w:val="00176C1B"/>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3313"/>
    <w:rsid w:val="001A4A9C"/>
    <w:rsid w:val="001A539A"/>
    <w:rsid w:val="001A6B88"/>
    <w:rsid w:val="001A6C33"/>
    <w:rsid w:val="001A6E68"/>
    <w:rsid w:val="001B3131"/>
    <w:rsid w:val="001B4B2F"/>
    <w:rsid w:val="001B7C00"/>
    <w:rsid w:val="001C09D2"/>
    <w:rsid w:val="001C0DF5"/>
    <w:rsid w:val="001C1620"/>
    <w:rsid w:val="001C18B2"/>
    <w:rsid w:val="001C1994"/>
    <w:rsid w:val="001C2933"/>
    <w:rsid w:val="001C5EEE"/>
    <w:rsid w:val="001C6A73"/>
    <w:rsid w:val="001C6E2F"/>
    <w:rsid w:val="001C73C2"/>
    <w:rsid w:val="001D0474"/>
    <w:rsid w:val="001D141D"/>
    <w:rsid w:val="001D1EBD"/>
    <w:rsid w:val="001D2184"/>
    <w:rsid w:val="001D24F3"/>
    <w:rsid w:val="001D2678"/>
    <w:rsid w:val="001D2DC4"/>
    <w:rsid w:val="001D6A48"/>
    <w:rsid w:val="001D755D"/>
    <w:rsid w:val="001E1043"/>
    <w:rsid w:val="001E10E1"/>
    <w:rsid w:val="001E175F"/>
    <w:rsid w:val="001E19F7"/>
    <w:rsid w:val="001E2669"/>
    <w:rsid w:val="001E3D91"/>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5C58"/>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3E28"/>
    <w:rsid w:val="0026520E"/>
    <w:rsid w:val="002660C0"/>
    <w:rsid w:val="00266486"/>
    <w:rsid w:val="00266B0A"/>
    <w:rsid w:val="00266C61"/>
    <w:rsid w:val="0026749A"/>
    <w:rsid w:val="00270616"/>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46D3"/>
    <w:rsid w:val="00286744"/>
    <w:rsid w:val="002909B9"/>
    <w:rsid w:val="00292CEE"/>
    <w:rsid w:val="00292D22"/>
    <w:rsid w:val="0029470D"/>
    <w:rsid w:val="00297B80"/>
    <w:rsid w:val="002A076C"/>
    <w:rsid w:val="002A1059"/>
    <w:rsid w:val="002A3C9D"/>
    <w:rsid w:val="002A5403"/>
    <w:rsid w:val="002A6C9F"/>
    <w:rsid w:val="002A77F3"/>
    <w:rsid w:val="002B027F"/>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334B"/>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5CB5"/>
    <w:rsid w:val="0034789E"/>
    <w:rsid w:val="003501DA"/>
    <w:rsid w:val="003503E2"/>
    <w:rsid w:val="00351DC1"/>
    <w:rsid w:val="003534EE"/>
    <w:rsid w:val="003600A2"/>
    <w:rsid w:val="003612D8"/>
    <w:rsid w:val="00362BCC"/>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6B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6B4"/>
    <w:rsid w:val="003C6D76"/>
    <w:rsid w:val="003C72F6"/>
    <w:rsid w:val="003D073C"/>
    <w:rsid w:val="003D0791"/>
    <w:rsid w:val="003D1130"/>
    <w:rsid w:val="003D37D4"/>
    <w:rsid w:val="003D47A7"/>
    <w:rsid w:val="003D56B5"/>
    <w:rsid w:val="003D5DCC"/>
    <w:rsid w:val="003D6B84"/>
    <w:rsid w:val="003E0DC4"/>
    <w:rsid w:val="003E1A49"/>
    <w:rsid w:val="003E2D01"/>
    <w:rsid w:val="003E330E"/>
    <w:rsid w:val="003E3AE3"/>
    <w:rsid w:val="003E5667"/>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120F"/>
    <w:rsid w:val="004032D2"/>
    <w:rsid w:val="00403C4F"/>
    <w:rsid w:val="004058B4"/>
    <w:rsid w:val="00405C45"/>
    <w:rsid w:val="004062EF"/>
    <w:rsid w:val="004062F0"/>
    <w:rsid w:val="00406CB5"/>
    <w:rsid w:val="00410B8F"/>
    <w:rsid w:val="00411FC4"/>
    <w:rsid w:val="00412057"/>
    <w:rsid w:val="004126C1"/>
    <w:rsid w:val="00413BA5"/>
    <w:rsid w:val="00414FD0"/>
    <w:rsid w:val="00417E93"/>
    <w:rsid w:val="00422A2A"/>
    <w:rsid w:val="00424BB4"/>
    <w:rsid w:val="004258CD"/>
    <w:rsid w:val="004261D2"/>
    <w:rsid w:val="00427070"/>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274"/>
    <w:rsid w:val="00481F5F"/>
    <w:rsid w:val="004821D0"/>
    <w:rsid w:val="00482CB2"/>
    <w:rsid w:val="00483D06"/>
    <w:rsid w:val="00485210"/>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C8"/>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0731"/>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3BA9"/>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251C"/>
    <w:rsid w:val="005349A0"/>
    <w:rsid w:val="00534AF0"/>
    <w:rsid w:val="00535060"/>
    <w:rsid w:val="00535738"/>
    <w:rsid w:val="005409EB"/>
    <w:rsid w:val="00540F30"/>
    <w:rsid w:val="00541DD2"/>
    <w:rsid w:val="00543A63"/>
    <w:rsid w:val="00543AB5"/>
    <w:rsid w:val="005457CF"/>
    <w:rsid w:val="00545976"/>
    <w:rsid w:val="0054660F"/>
    <w:rsid w:val="00547628"/>
    <w:rsid w:val="005532E6"/>
    <w:rsid w:val="005533C3"/>
    <w:rsid w:val="005536E6"/>
    <w:rsid w:val="00553AC3"/>
    <w:rsid w:val="00553DBA"/>
    <w:rsid w:val="00554335"/>
    <w:rsid w:val="00555631"/>
    <w:rsid w:val="0055621D"/>
    <w:rsid w:val="0055764D"/>
    <w:rsid w:val="00560C6A"/>
    <w:rsid w:val="00560F85"/>
    <w:rsid w:val="005610A0"/>
    <w:rsid w:val="00562106"/>
    <w:rsid w:val="0056248F"/>
    <w:rsid w:val="00564126"/>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089F"/>
    <w:rsid w:val="005918E4"/>
    <w:rsid w:val="00591C6D"/>
    <w:rsid w:val="00591C71"/>
    <w:rsid w:val="00592392"/>
    <w:rsid w:val="00592484"/>
    <w:rsid w:val="0059283D"/>
    <w:rsid w:val="005928D3"/>
    <w:rsid w:val="00592D5D"/>
    <w:rsid w:val="005936A3"/>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0"/>
    <w:rsid w:val="005B63A6"/>
    <w:rsid w:val="005B64D1"/>
    <w:rsid w:val="005B6A88"/>
    <w:rsid w:val="005B6BBB"/>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59FD"/>
    <w:rsid w:val="005D6344"/>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27CE"/>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2FD"/>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1C54"/>
    <w:rsid w:val="00642E40"/>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677B4"/>
    <w:rsid w:val="00670865"/>
    <w:rsid w:val="00671AED"/>
    <w:rsid w:val="006725B5"/>
    <w:rsid w:val="00673521"/>
    <w:rsid w:val="00673767"/>
    <w:rsid w:val="00673F39"/>
    <w:rsid w:val="006746AC"/>
    <w:rsid w:val="006756C7"/>
    <w:rsid w:val="0067571B"/>
    <w:rsid w:val="00675E37"/>
    <w:rsid w:val="0067663E"/>
    <w:rsid w:val="00676EAF"/>
    <w:rsid w:val="00677850"/>
    <w:rsid w:val="00680657"/>
    <w:rsid w:val="00680BD9"/>
    <w:rsid w:val="00681B4A"/>
    <w:rsid w:val="00681D07"/>
    <w:rsid w:val="00681EDA"/>
    <w:rsid w:val="00682017"/>
    <w:rsid w:val="00682AAD"/>
    <w:rsid w:val="00684351"/>
    <w:rsid w:val="00685AB5"/>
    <w:rsid w:val="006868CA"/>
    <w:rsid w:val="00686E32"/>
    <w:rsid w:val="0069087A"/>
    <w:rsid w:val="00690B4B"/>
    <w:rsid w:val="00690BE4"/>
    <w:rsid w:val="00690FE2"/>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3EB9"/>
    <w:rsid w:val="006D6E46"/>
    <w:rsid w:val="006D751A"/>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1F68"/>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4376"/>
    <w:rsid w:val="00806E68"/>
    <w:rsid w:val="00807EA8"/>
    <w:rsid w:val="00807FC3"/>
    <w:rsid w:val="00810034"/>
    <w:rsid w:val="008114CF"/>
    <w:rsid w:val="008117CC"/>
    <w:rsid w:val="00811AB3"/>
    <w:rsid w:val="0081421D"/>
    <w:rsid w:val="00814ADB"/>
    <w:rsid w:val="00815C5D"/>
    <w:rsid w:val="0081618F"/>
    <w:rsid w:val="0081714D"/>
    <w:rsid w:val="008174D1"/>
    <w:rsid w:val="008178B2"/>
    <w:rsid w:val="0082165E"/>
    <w:rsid w:val="00822136"/>
    <w:rsid w:val="00822AAF"/>
    <w:rsid w:val="00822F01"/>
    <w:rsid w:val="008232A6"/>
    <w:rsid w:val="00823898"/>
    <w:rsid w:val="008239D1"/>
    <w:rsid w:val="00823A50"/>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377F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234B"/>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3797"/>
    <w:rsid w:val="008F52D0"/>
    <w:rsid w:val="008F5704"/>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6D6"/>
    <w:rsid w:val="00913874"/>
    <w:rsid w:val="009163CC"/>
    <w:rsid w:val="0091674C"/>
    <w:rsid w:val="00916862"/>
    <w:rsid w:val="0091686C"/>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1203"/>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48E3"/>
    <w:rsid w:val="009B528E"/>
    <w:rsid w:val="009B54FE"/>
    <w:rsid w:val="009B77DD"/>
    <w:rsid w:val="009C1073"/>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AAB"/>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1788E"/>
    <w:rsid w:val="00A20562"/>
    <w:rsid w:val="00A20F75"/>
    <w:rsid w:val="00A212B1"/>
    <w:rsid w:val="00A246B0"/>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6F8"/>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34F7"/>
    <w:rsid w:val="00A843FC"/>
    <w:rsid w:val="00A84B58"/>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7EB"/>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5F3D"/>
    <w:rsid w:val="00AA628B"/>
    <w:rsid w:val="00AA6DE4"/>
    <w:rsid w:val="00AA7408"/>
    <w:rsid w:val="00AA7D1F"/>
    <w:rsid w:val="00AB02C6"/>
    <w:rsid w:val="00AB246B"/>
    <w:rsid w:val="00AB2E96"/>
    <w:rsid w:val="00AB36D4"/>
    <w:rsid w:val="00AB5500"/>
    <w:rsid w:val="00AB5564"/>
    <w:rsid w:val="00AB57FB"/>
    <w:rsid w:val="00AB7348"/>
    <w:rsid w:val="00AB78BC"/>
    <w:rsid w:val="00AC13B0"/>
    <w:rsid w:val="00AC226C"/>
    <w:rsid w:val="00AC235C"/>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214"/>
    <w:rsid w:val="00AE6363"/>
    <w:rsid w:val="00AE6CD6"/>
    <w:rsid w:val="00AE7348"/>
    <w:rsid w:val="00AE7394"/>
    <w:rsid w:val="00AE7CD2"/>
    <w:rsid w:val="00AF061E"/>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5E21"/>
    <w:rsid w:val="00B16048"/>
    <w:rsid w:val="00B1695A"/>
    <w:rsid w:val="00B2028C"/>
    <w:rsid w:val="00B20603"/>
    <w:rsid w:val="00B21771"/>
    <w:rsid w:val="00B2191C"/>
    <w:rsid w:val="00B21B30"/>
    <w:rsid w:val="00B21C07"/>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377C2"/>
    <w:rsid w:val="00B40633"/>
    <w:rsid w:val="00B44049"/>
    <w:rsid w:val="00B442D6"/>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9DA"/>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97802"/>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956"/>
    <w:rsid w:val="00BC5C6D"/>
    <w:rsid w:val="00BC7120"/>
    <w:rsid w:val="00BC76A3"/>
    <w:rsid w:val="00BD00D1"/>
    <w:rsid w:val="00BD07A2"/>
    <w:rsid w:val="00BD2603"/>
    <w:rsid w:val="00BD4EEC"/>
    <w:rsid w:val="00BD4F34"/>
    <w:rsid w:val="00BD537C"/>
    <w:rsid w:val="00BD6F5B"/>
    <w:rsid w:val="00BD7662"/>
    <w:rsid w:val="00BE05ED"/>
    <w:rsid w:val="00BE1D77"/>
    <w:rsid w:val="00BE350E"/>
    <w:rsid w:val="00BE37CC"/>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5CD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2AF2"/>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5C53"/>
    <w:rsid w:val="00D1628F"/>
    <w:rsid w:val="00D21D89"/>
    <w:rsid w:val="00D21FBE"/>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4674F"/>
    <w:rsid w:val="00D50332"/>
    <w:rsid w:val="00D50C76"/>
    <w:rsid w:val="00D52B95"/>
    <w:rsid w:val="00D5362B"/>
    <w:rsid w:val="00D53A09"/>
    <w:rsid w:val="00D54AAB"/>
    <w:rsid w:val="00D552F9"/>
    <w:rsid w:val="00D56EDF"/>
    <w:rsid w:val="00D56F08"/>
    <w:rsid w:val="00D57361"/>
    <w:rsid w:val="00D578EB"/>
    <w:rsid w:val="00D57B1F"/>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283"/>
    <w:rsid w:val="00DD6729"/>
    <w:rsid w:val="00DD7960"/>
    <w:rsid w:val="00DD7B0D"/>
    <w:rsid w:val="00DE1F29"/>
    <w:rsid w:val="00DE3FEB"/>
    <w:rsid w:val="00DE4905"/>
    <w:rsid w:val="00DE510C"/>
    <w:rsid w:val="00DE7822"/>
    <w:rsid w:val="00DF081A"/>
    <w:rsid w:val="00DF265D"/>
    <w:rsid w:val="00DF2EB0"/>
    <w:rsid w:val="00DF31C1"/>
    <w:rsid w:val="00DF40F8"/>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5F2"/>
    <w:rsid w:val="00E46B7D"/>
    <w:rsid w:val="00E5091C"/>
    <w:rsid w:val="00E50E42"/>
    <w:rsid w:val="00E51009"/>
    <w:rsid w:val="00E511AB"/>
    <w:rsid w:val="00E51350"/>
    <w:rsid w:val="00E51C5E"/>
    <w:rsid w:val="00E52095"/>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068"/>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41D"/>
    <w:rsid w:val="00ED4D96"/>
    <w:rsid w:val="00ED5A40"/>
    <w:rsid w:val="00ED5F21"/>
    <w:rsid w:val="00ED602C"/>
    <w:rsid w:val="00ED62B5"/>
    <w:rsid w:val="00ED6DDB"/>
    <w:rsid w:val="00ED7985"/>
    <w:rsid w:val="00ED7F80"/>
    <w:rsid w:val="00EE13E0"/>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180C"/>
    <w:rsid w:val="00F02663"/>
    <w:rsid w:val="00F03369"/>
    <w:rsid w:val="00F03C3E"/>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781"/>
    <w:rsid w:val="00F45C81"/>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67E6D"/>
    <w:rsid w:val="00F70472"/>
    <w:rsid w:val="00F71430"/>
    <w:rsid w:val="00F71A8A"/>
    <w:rsid w:val="00F726BF"/>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044"/>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4C1B"/>
    <w:rsid w:val="00FF55F5"/>
    <w:rsid w:val="00FF682B"/>
    <w:rsid w:val="00FF7668"/>
    <w:rsid w:val="00FF7A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46B0"/>
    <w:rPr>
      <w:rFonts w:ascii="Arial" w:hAnsi="Arial" w:cs="Arial"/>
      <w:sz w:val="22"/>
    </w:rPr>
  </w:style>
  <w:style w:type="paragraph" w:styleId="Heading1">
    <w:name w:val="heading 1"/>
    <w:basedOn w:val="Normal"/>
    <w:next w:val="Normal"/>
    <w:qFormat/>
    <w:rsid w:val="00A246B0"/>
    <w:pPr>
      <w:keepNext/>
      <w:spacing w:before="240" w:after="60"/>
      <w:outlineLvl w:val="0"/>
    </w:pPr>
    <w:rPr>
      <w:rFonts w:eastAsia="SimSun"/>
      <w:b/>
      <w:bCs/>
      <w:caps/>
      <w:kern w:val="32"/>
      <w:szCs w:val="32"/>
    </w:rPr>
  </w:style>
  <w:style w:type="paragraph" w:styleId="Heading2">
    <w:name w:val="heading 2"/>
    <w:basedOn w:val="Normal"/>
    <w:next w:val="Normal"/>
    <w:qFormat/>
    <w:rsid w:val="00A246B0"/>
    <w:pPr>
      <w:keepNext/>
      <w:spacing w:before="240" w:after="60"/>
      <w:outlineLvl w:val="1"/>
    </w:pPr>
    <w:rPr>
      <w:rFonts w:eastAsia="SimSun"/>
      <w:bCs/>
      <w:iCs/>
      <w:caps/>
      <w:szCs w:val="28"/>
    </w:rPr>
  </w:style>
  <w:style w:type="paragraph" w:styleId="Heading3">
    <w:name w:val="heading 3"/>
    <w:basedOn w:val="Normal"/>
    <w:next w:val="Normal"/>
    <w:qFormat/>
    <w:rsid w:val="00A246B0"/>
    <w:pPr>
      <w:keepNext/>
      <w:spacing w:before="240" w:after="60"/>
      <w:outlineLvl w:val="2"/>
    </w:pPr>
    <w:rPr>
      <w:rFonts w:eastAsia="SimSun"/>
      <w:bCs/>
      <w:szCs w:val="26"/>
      <w:u w:val="single"/>
    </w:rPr>
  </w:style>
  <w:style w:type="paragraph" w:styleId="Heading4">
    <w:name w:val="heading 4"/>
    <w:basedOn w:val="Normal"/>
    <w:next w:val="Normal"/>
    <w:qFormat/>
    <w:rsid w:val="00A246B0"/>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A246B0"/>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tabs>
        <w:tab w:val="clear" w:pos="6095"/>
        <w:tab w:val="num" w:pos="567"/>
      </w:tabs>
      <w:ind w:left="0"/>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Hyperlink">
    <w:name w:val="Hyperlink"/>
    <w:basedOn w:val="DefaultParagraphFont"/>
    <w:rsid w:val="00C05CD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46B0"/>
    <w:rPr>
      <w:rFonts w:ascii="Arial" w:hAnsi="Arial" w:cs="Arial"/>
      <w:sz w:val="22"/>
    </w:rPr>
  </w:style>
  <w:style w:type="paragraph" w:styleId="Heading1">
    <w:name w:val="heading 1"/>
    <w:basedOn w:val="Normal"/>
    <w:next w:val="Normal"/>
    <w:qFormat/>
    <w:rsid w:val="00A246B0"/>
    <w:pPr>
      <w:keepNext/>
      <w:spacing w:before="240" w:after="60"/>
      <w:outlineLvl w:val="0"/>
    </w:pPr>
    <w:rPr>
      <w:rFonts w:eastAsia="SimSun"/>
      <w:b/>
      <w:bCs/>
      <w:caps/>
      <w:kern w:val="32"/>
      <w:szCs w:val="32"/>
    </w:rPr>
  </w:style>
  <w:style w:type="paragraph" w:styleId="Heading2">
    <w:name w:val="heading 2"/>
    <w:basedOn w:val="Normal"/>
    <w:next w:val="Normal"/>
    <w:qFormat/>
    <w:rsid w:val="00A246B0"/>
    <w:pPr>
      <w:keepNext/>
      <w:spacing w:before="240" w:after="60"/>
      <w:outlineLvl w:val="1"/>
    </w:pPr>
    <w:rPr>
      <w:rFonts w:eastAsia="SimSun"/>
      <w:bCs/>
      <w:iCs/>
      <w:caps/>
      <w:szCs w:val="28"/>
    </w:rPr>
  </w:style>
  <w:style w:type="paragraph" w:styleId="Heading3">
    <w:name w:val="heading 3"/>
    <w:basedOn w:val="Normal"/>
    <w:next w:val="Normal"/>
    <w:qFormat/>
    <w:rsid w:val="00A246B0"/>
    <w:pPr>
      <w:keepNext/>
      <w:spacing w:before="240" w:after="60"/>
      <w:outlineLvl w:val="2"/>
    </w:pPr>
    <w:rPr>
      <w:rFonts w:eastAsia="SimSun"/>
      <w:bCs/>
      <w:szCs w:val="26"/>
      <w:u w:val="single"/>
    </w:rPr>
  </w:style>
  <w:style w:type="paragraph" w:styleId="Heading4">
    <w:name w:val="heading 4"/>
    <w:basedOn w:val="Normal"/>
    <w:next w:val="Normal"/>
    <w:qFormat/>
    <w:rsid w:val="00A246B0"/>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A246B0"/>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tabs>
        <w:tab w:val="clear" w:pos="6095"/>
        <w:tab w:val="num" w:pos="567"/>
      </w:tabs>
      <w:ind w:left="0"/>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Hyperlink">
    <w:name w:val="Hyperlink"/>
    <w:basedOn w:val="DefaultParagraphFont"/>
    <w:rsid w:val="00C05C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www.wipo.int/export/sites/www/about-wipo/en/oversight/iaod/evaluation/pdf/&#8204;evaluation_&#8204;strategic_&#8204;goal_vi.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WO_GA_48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6C0EF-D118-459A-8B5C-D5FC40E58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WO_GA_48_AR.dotx</Template>
  <TotalTime>280</TotalTime>
  <Pages>1</Pages>
  <Words>1600</Words>
  <Characters>9120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WO/GA/48/11 Prov. (Arabic)</vt:lpstr>
    </vt:vector>
  </TitlesOfParts>
  <Company>World Intellectual Property Organization</Company>
  <LinksUpToDate>false</LinksUpToDate>
  <CharactersWithSpaces>10699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WO/GA/48/11 Prov. (Arabic)</dc:title>
  <dc:creator>MERZOUK Fawzi</dc:creator>
  <cp:lastModifiedBy>YOUSSEF Randa</cp:lastModifiedBy>
  <cp:revision>107</cp:revision>
  <cp:lastPrinted>2016-09-22T11:59:00Z</cp:lastPrinted>
  <dcterms:created xsi:type="dcterms:W3CDTF">2016-09-21T09:36:00Z</dcterms:created>
  <dcterms:modified xsi:type="dcterms:W3CDTF">2016-09-22T12:00:00Z</dcterms:modified>
</cp:coreProperties>
</file>