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394790">
            <w:pPr>
              <w:pStyle w:val="DocumentCodeAR"/>
              <w:bidi/>
            </w:pPr>
            <w:r>
              <w:t>WO/</w:t>
            </w:r>
            <w:r w:rsidR="000D7BA7">
              <w:t>C</w:t>
            </w:r>
            <w:r w:rsidR="00983389">
              <w:t>C</w:t>
            </w:r>
            <w:r w:rsidR="00100F97">
              <w:t>/</w:t>
            </w:r>
            <w:r w:rsidR="00CB1F62">
              <w:t>7</w:t>
            </w:r>
            <w:r w:rsidR="00394790">
              <w:t>4</w:t>
            </w:r>
            <w:r w:rsidR="003917AE">
              <w:t>/4 ADD</w:t>
            </w:r>
            <w:r w:rsidR="00223EC9">
              <w:t>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917AE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3917AE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917A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917AE">
              <w:rPr>
                <w:rFonts w:hint="cs"/>
                <w:rtl/>
              </w:rPr>
              <w:t xml:space="preserve">28 </w:t>
            </w:r>
            <w:proofErr w:type="gramStart"/>
            <w:r w:rsidR="003917AE">
              <w:rPr>
                <w:rFonts w:hint="cs"/>
                <w:rtl/>
              </w:rPr>
              <w:t>أغسطس</w:t>
            </w:r>
            <w:proofErr w:type="gramEnd"/>
            <w:r w:rsidR="005F5866">
              <w:rPr>
                <w:rFonts w:hint="cs"/>
                <w:rtl/>
              </w:rPr>
              <w:t>201</w:t>
            </w:r>
            <w:r w:rsidR="00270D37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0D7BA7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لجنة </w:t>
      </w:r>
      <w:r w:rsidR="000D7BA7">
        <w:rPr>
          <w:rFonts w:hint="cs"/>
          <w:rtl/>
          <w:lang w:val="fr-CH"/>
        </w:rPr>
        <w:t>الويبو للتنسيق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B848C2" w:rsidP="00270D37">
      <w:pPr>
        <w:pStyle w:val="MeetingSessionAR"/>
        <w:bidi/>
        <w:rPr>
          <w:rFonts w:ascii="Cambria Math" w:hAnsi="Cambria Math"/>
          <w:rtl/>
        </w:rPr>
      </w:pPr>
      <w:r w:rsidRPr="00B848C2">
        <w:rPr>
          <w:rFonts w:ascii="Cambria Math" w:hAnsi="Cambria Math"/>
          <w:rtl/>
        </w:rPr>
        <w:t xml:space="preserve">الدورة </w:t>
      </w:r>
      <w:r w:rsidR="00270D37">
        <w:rPr>
          <w:rFonts w:ascii="Cambria Math" w:hAnsi="Cambria Math" w:hint="cs"/>
          <w:rtl/>
        </w:rPr>
        <w:t>الرابعة</w:t>
      </w:r>
      <w:r w:rsidRPr="00B848C2">
        <w:rPr>
          <w:rFonts w:ascii="Cambria Math" w:hAnsi="Cambria Math"/>
          <w:rtl/>
        </w:rPr>
        <w:t xml:space="preserve"> والسبعون (الدورة العادية </w:t>
      </w:r>
      <w:r w:rsidR="00270D37">
        <w:rPr>
          <w:rFonts w:ascii="Cambria Math" w:hAnsi="Cambria Math" w:hint="cs"/>
          <w:rtl/>
        </w:rPr>
        <w:t>الثامنة</w:t>
      </w:r>
      <w:r w:rsidRPr="00B848C2">
        <w:rPr>
          <w:rFonts w:ascii="Cambria Math" w:hAnsi="Cambria Math"/>
          <w:rtl/>
        </w:rPr>
        <w:t xml:space="preserve"> </w:t>
      </w:r>
      <w:proofErr w:type="gramStart"/>
      <w:r w:rsidRPr="00B848C2">
        <w:rPr>
          <w:rFonts w:ascii="Cambria Math" w:hAnsi="Cambria Math"/>
          <w:rtl/>
        </w:rPr>
        <w:t>والأربعون</w:t>
      </w:r>
      <w:proofErr w:type="gramEnd"/>
      <w:r w:rsidRPr="00B848C2">
        <w:rPr>
          <w:rFonts w:ascii="Cambria Math" w:hAnsi="Cambria Math"/>
          <w:rtl/>
        </w:rPr>
        <w:t>)</w:t>
      </w:r>
    </w:p>
    <w:p w:rsidR="00D61541" w:rsidRPr="00D61541" w:rsidRDefault="00B848C2" w:rsidP="00270D37">
      <w:pPr>
        <w:pStyle w:val="MeetingDatesAR"/>
        <w:bidi/>
        <w:rPr>
          <w:rtl/>
        </w:rPr>
      </w:pPr>
      <w:r w:rsidRPr="00B848C2">
        <w:rPr>
          <w:rtl/>
        </w:rPr>
        <w:t xml:space="preserve">جنيف، </w:t>
      </w:r>
      <w:proofErr w:type="gramStart"/>
      <w:r w:rsidRPr="00B848C2">
        <w:rPr>
          <w:rtl/>
        </w:rPr>
        <w:t>من</w:t>
      </w:r>
      <w:proofErr w:type="gramEnd"/>
      <w:r w:rsidRPr="00B848C2">
        <w:rPr>
          <w:rtl/>
        </w:rPr>
        <w:t xml:space="preserve"> </w:t>
      </w:r>
      <w:r w:rsidR="00270D37">
        <w:rPr>
          <w:rFonts w:hint="cs"/>
          <w:rtl/>
        </w:rPr>
        <w:t>2</w:t>
      </w:r>
      <w:r w:rsidRPr="00B848C2">
        <w:rPr>
          <w:rtl/>
        </w:rPr>
        <w:t xml:space="preserve"> إلى 11 أكتوبر 201</w:t>
      </w:r>
      <w:r w:rsidR="00270D37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3917AE" w:rsidP="00FB7EC9">
      <w:pPr>
        <w:pStyle w:val="DocumentTitleAR"/>
        <w:bidi/>
        <w:rPr>
          <w:rtl/>
        </w:rPr>
      </w:pPr>
      <w:r>
        <w:rPr>
          <w:rFonts w:hint="cs"/>
          <w:rtl/>
        </w:rPr>
        <w:t xml:space="preserve">تعديلات على نظام الموظفين </w:t>
      </w:r>
      <w:proofErr w:type="gramStart"/>
      <w:r>
        <w:rPr>
          <w:rFonts w:hint="cs"/>
          <w:rtl/>
        </w:rPr>
        <w:t>ولائحته</w:t>
      </w:r>
      <w:proofErr w:type="gramEnd"/>
    </w:p>
    <w:p w:rsidR="00D61541" w:rsidRDefault="003917AE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إضافة</w:t>
      </w:r>
      <w:proofErr w:type="gramEnd"/>
    </w:p>
    <w:p w:rsidR="00A11E76" w:rsidRDefault="001C5342" w:rsidP="00FE5A39">
      <w:pPr>
        <w:pStyle w:val="NumberedParaAR"/>
      </w:pPr>
      <w:proofErr w:type="gramStart"/>
      <w:r>
        <w:rPr>
          <w:rFonts w:hint="cs"/>
          <w:rtl/>
          <w:lang w:bidi="ar-EG"/>
        </w:rPr>
        <w:t>تجيز</w:t>
      </w:r>
      <w:proofErr w:type="gramEnd"/>
      <w:r w:rsidR="00A11E76" w:rsidRPr="00076B0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Pr="00076B02">
        <w:rPr>
          <w:rtl/>
          <w:lang w:bidi="ar-EG"/>
        </w:rPr>
        <w:t xml:space="preserve">لمادة </w:t>
      </w:r>
      <w:r>
        <w:rPr>
          <w:lang w:bidi="ar-EG"/>
        </w:rPr>
        <w:t>10-9</w:t>
      </w:r>
      <w:r>
        <w:rPr>
          <w:rFonts w:hint="cs"/>
          <w:rtl/>
          <w:lang w:bidi="ar-EG"/>
        </w:rPr>
        <w:t xml:space="preserve"> </w:t>
      </w:r>
      <w:r w:rsidRPr="00076B02">
        <w:rPr>
          <w:rtl/>
          <w:lang w:bidi="ar-EG"/>
        </w:rPr>
        <w:t xml:space="preserve">من </w:t>
      </w:r>
      <w:r>
        <w:rPr>
          <w:rFonts w:hint="cs"/>
          <w:rtl/>
          <w:lang w:bidi="ar-EG"/>
        </w:rPr>
        <w:t>نظام</w:t>
      </w:r>
      <w:r w:rsidRPr="00076B02">
        <w:rPr>
          <w:rtl/>
          <w:lang w:bidi="ar-EG"/>
        </w:rPr>
        <w:t xml:space="preserve"> الموظفين</w:t>
      </w:r>
      <w:r>
        <w:rPr>
          <w:rFonts w:hint="cs"/>
          <w:rtl/>
          <w:lang w:bidi="ar-EG"/>
        </w:rPr>
        <w:t xml:space="preserve"> "</w:t>
      </w:r>
      <w:r w:rsidRPr="00076B02">
        <w:rPr>
          <w:rtl/>
          <w:lang w:bidi="ar-EG"/>
        </w:rPr>
        <w:t>سن التقاعد"</w:t>
      </w:r>
      <w:r w:rsidR="007C172E">
        <w:rPr>
          <w:rFonts w:hint="cs"/>
          <w:rtl/>
          <w:lang w:bidi="ar-EG"/>
        </w:rPr>
        <w:t>، حاليا،</w:t>
      </w:r>
      <w:r w:rsidRPr="00076B02">
        <w:rPr>
          <w:rtl/>
          <w:lang w:bidi="ar-EG"/>
        </w:rPr>
        <w:t xml:space="preserve"> </w:t>
      </w:r>
      <w:r>
        <w:rPr>
          <w:rtl/>
          <w:lang w:bidi="ar-EG"/>
        </w:rPr>
        <w:t>للمدير العام</w:t>
      </w:r>
      <w:r w:rsidR="00A11E76" w:rsidRPr="00076B0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أن</w:t>
      </w:r>
      <w:r w:rsidR="00A11E76" w:rsidRPr="00076B0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يستبقي في الخدمة </w:t>
      </w:r>
      <w:r w:rsidR="00A11E76" w:rsidRPr="00076B02">
        <w:rPr>
          <w:rtl/>
          <w:lang w:bidi="ar-EG"/>
        </w:rPr>
        <w:t>الموظفين الذين بلغوا سن التقاعد القانوني</w:t>
      </w:r>
      <w:r w:rsidR="00957FF2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>،</w:t>
      </w:r>
      <w:r w:rsidR="00A11E76" w:rsidRPr="00076B02">
        <w:rPr>
          <w:rtl/>
          <w:lang w:bidi="ar-EG"/>
        </w:rPr>
        <w:t xml:space="preserve"> أي 60 </w:t>
      </w:r>
      <w:r w:rsidR="00A11E76">
        <w:rPr>
          <w:rFonts w:hint="cs"/>
          <w:rtl/>
          <w:lang w:bidi="ar-EG"/>
        </w:rPr>
        <w:t>أ</w:t>
      </w:r>
      <w:r w:rsidR="00A11E76" w:rsidRPr="00076B02">
        <w:rPr>
          <w:rtl/>
          <w:lang w:bidi="ar-EG"/>
        </w:rPr>
        <w:t xml:space="preserve">و 62 </w:t>
      </w:r>
      <w:r w:rsidR="00A11E76">
        <w:rPr>
          <w:rFonts w:hint="cs"/>
          <w:rtl/>
          <w:lang w:bidi="ar-EG"/>
        </w:rPr>
        <w:t>عاما</w:t>
      </w:r>
      <w:r>
        <w:rPr>
          <w:rFonts w:hint="cs"/>
          <w:rtl/>
          <w:lang w:bidi="ar-EG"/>
        </w:rPr>
        <w:t>،</w:t>
      </w:r>
      <w:r w:rsidR="00A11E76" w:rsidRPr="00076B0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حتى</w:t>
      </w:r>
      <w:r w:rsidR="00B1350E">
        <w:rPr>
          <w:rFonts w:hint="cs"/>
          <w:rtl/>
          <w:lang w:bidi="ar-EG"/>
        </w:rPr>
        <w:t xml:space="preserve"> س</w:t>
      </w:r>
      <w:bookmarkStart w:id="2" w:name="_GoBack"/>
      <w:bookmarkEnd w:id="2"/>
      <w:r w:rsidR="00B1350E">
        <w:rPr>
          <w:rFonts w:hint="cs"/>
          <w:rtl/>
          <w:lang w:bidi="ar-EG"/>
        </w:rPr>
        <w:t>ن</w:t>
      </w:r>
      <w:r>
        <w:rPr>
          <w:rFonts w:hint="cs"/>
          <w:rtl/>
          <w:lang w:bidi="ar-EG"/>
        </w:rPr>
        <w:t xml:space="preserve"> </w:t>
      </w:r>
      <w:r w:rsidR="00A11E76">
        <w:rPr>
          <w:rFonts w:hint="cs"/>
          <w:rtl/>
          <w:lang w:bidi="ar-EG"/>
        </w:rPr>
        <w:t xml:space="preserve">65 عاما. </w:t>
      </w:r>
      <w:proofErr w:type="gramStart"/>
      <w:r w:rsidR="00A11E76">
        <w:rPr>
          <w:rFonts w:hint="cs"/>
          <w:rtl/>
          <w:lang w:bidi="ar-EG"/>
        </w:rPr>
        <w:t>غير</w:t>
      </w:r>
      <w:proofErr w:type="gramEnd"/>
      <w:r w:rsidR="00A11E76">
        <w:rPr>
          <w:rFonts w:hint="cs"/>
          <w:rtl/>
          <w:lang w:bidi="ar-EG"/>
        </w:rPr>
        <w:t xml:space="preserve"> أن </w:t>
      </w:r>
      <w:r>
        <w:rPr>
          <w:rFonts w:hint="cs"/>
          <w:rtl/>
          <w:lang w:bidi="ar-EG"/>
        </w:rPr>
        <w:t xml:space="preserve">تلك </w:t>
      </w:r>
      <w:r w:rsidR="00A11E76">
        <w:rPr>
          <w:rFonts w:hint="cs"/>
          <w:rtl/>
          <w:lang w:bidi="ar-EG"/>
        </w:rPr>
        <w:t xml:space="preserve">المادة لا </w:t>
      </w:r>
      <w:r w:rsidR="001A76BB">
        <w:rPr>
          <w:rFonts w:hint="cs"/>
          <w:rtl/>
          <w:lang w:bidi="ar-EG"/>
        </w:rPr>
        <w:t>تجيز</w:t>
      </w:r>
      <w:r w:rsidR="00A11E7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أن يُستبقى</w:t>
      </w:r>
      <w:r w:rsidR="00A11E7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الخدمة </w:t>
      </w:r>
      <w:r w:rsidR="002A7843">
        <w:rPr>
          <w:rFonts w:hint="cs"/>
          <w:rtl/>
          <w:lang w:bidi="ar-EG"/>
        </w:rPr>
        <w:t xml:space="preserve">بعد سن التقاعد </w:t>
      </w:r>
      <w:r>
        <w:rPr>
          <w:rFonts w:hint="cs"/>
          <w:rtl/>
          <w:lang w:bidi="ar-EG"/>
        </w:rPr>
        <w:t>الموظفو</w:t>
      </w:r>
      <w:r w:rsidR="00A11E76">
        <w:rPr>
          <w:rFonts w:hint="cs"/>
          <w:rtl/>
          <w:lang w:bidi="ar-EG"/>
        </w:rPr>
        <w:t xml:space="preserve">ن الذين </w:t>
      </w:r>
      <w:r>
        <w:rPr>
          <w:rFonts w:hint="cs"/>
          <w:rtl/>
          <w:lang w:bidi="ar-EG"/>
        </w:rPr>
        <w:t>تكون ال</w:t>
      </w:r>
      <w:r w:rsidR="00A11E76">
        <w:rPr>
          <w:rFonts w:hint="cs"/>
          <w:rtl/>
          <w:lang w:bidi="ar-EG"/>
        </w:rPr>
        <w:t>سن القانوني</w:t>
      </w:r>
      <w:r w:rsidR="00614E52">
        <w:rPr>
          <w:rFonts w:hint="cs"/>
          <w:rtl/>
          <w:lang w:bidi="ar-EG"/>
        </w:rPr>
        <w:t>ة</w:t>
      </w:r>
      <w:r w:rsidR="00A11E7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لتقاعدهم</w:t>
      </w:r>
      <w:r w:rsidR="00A11E76">
        <w:rPr>
          <w:rFonts w:hint="cs"/>
          <w:rtl/>
          <w:lang w:bidi="ar-EG"/>
        </w:rPr>
        <w:t xml:space="preserve"> 65 </w:t>
      </w:r>
      <w:proofErr w:type="gramStart"/>
      <w:r w:rsidR="00A11E76">
        <w:rPr>
          <w:rFonts w:hint="cs"/>
          <w:rtl/>
          <w:lang w:bidi="ar-EG"/>
        </w:rPr>
        <w:t>عاما</w:t>
      </w:r>
      <w:proofErr w:type="gramEnd"/>
      <w:r w:rsidR="00A11E76">
        <w:rPr>
          <w:lang w:bidi="ar-EG"/>
        </w:rPr>
        <w:t>.</w:t>
      </w:r>
    </w:p>
    <w:p w:rsidR="00A11E76" w:rsidRDefault="00A11E76" w:rsidP="002A7843">
      <w:pPr>
        <w:pStyle w:val="NumberedParaAR"/>
      </w:pPr>
      <w:r>
        <w:rPr>
          <w:rFonts w:hint="cs"/>
          <w:rtl/>
          <w:lang w:bidi="ar-EG"/>
        </w:rPr>
        <w:t>وسعيا لمواءمة الأحكام القانونية للمنظمة مع الأحكام القانونية للمنظمات الدولية الأخرى</w:t>
      </w:r>
      <w:r w:rsidR="002A7843">
        <w:rPr>
          <w:rtl/>
          <w:lang w:bidi="ar-EG"/>
        </w:rPr>
        <w:t xml:space="preserve"> المشاركة في </w:t>
      </w:r>
      <w:r w:rsidRPr="00463B3B">
        <w:rPr>
          <w:rtl/>
          <w:lang w:bidi="ar-EG"/>
        </w:rPr>
        <w:t xml:space="preserve">نظام </w:t>
      </w:r>
      <w:r w:rsidR="002A7843">
        <w:rPr>
          <w:rFonts w:hint="cs"/>
          <w:rtl/>
          <w:lang w:bidi="ar-EG"/>
        </w:rPr>
        <w:t xml:space="preserve">الأمم المتحدة </w:t>
      </w:r>
      <w:r w:rsidR="002A7843">
        <w:rPr>
          <w:rtl/>
          <w:lang w:bidi="ar-EG"/>
        </w:rPr>
        <w:t>الموحد</w:t>
      </w:r>
      <w:r>
        <w:rPr>
          <w:rFonts w:hint="cs"/>
          <w:rtl/>
          <w:lang w:bidi="ar-EG"/>
        </w:rPr>
        <w:t xml:space="preserve">، </w:t>
      </w:r>
      <w:r w:rsidR="002A7843">
        <w:rPr>
          <w:rFonts w:hint="cs"/>
          <w:rtl/>
          <w:lang w:bidi="ar-EG"/>
        </w:rPr>
        <w:t>يُقترح</w:t>
      </w:r>
      <w:r>
        <w:rPr>
          <w:rFonts w:hint="cs"/>
          <w:rtl/>
          <w:lang w:bidi="ar-EG"/>
        </w:rPr>
        <w:t xml:space="preserve"> تعديل ا</w:t>
      </w:r>
      <w:r w:rsidRPr="00076B02">
        <w:rPr>
          <w:rtl/>
          <w:lang w:bidi="ar-EG"/>
        </w:rPr>
        <w:t xml:space="preserve">لمادة </w:t>
      </w:r>
      <w:r>
        <w:rPr>
          <w:lang w:bidi="ar-EG"/>
        </w:rPr>
        <w:t>10-9</w:t>
      </w:r>
      <w:r>
        <w:rPr>
          <w:rFonts w:hint="cs"/>
          <w:rtl/>
          <w:lang w:bidi="ar-EG"/>
        </w:rPr>
        <w:t xml:space="preserve"> </w:t>
      </w:r>
      <w:r w:rsidRPr="00076B02">
        <w:rPr>
          <w:rtl/>
          <w:lang w:bidi="ar-EG"/>
        </w:rPr>
        <w:t xml:space="preserve">من </w:t>
      </w:r>
      <w:r w:rsidR="002A7843">
        <w:rPr>
          <w:rFonts w:hint="cs"/>
          <w:rtl/>
          <w:lang w:bidi="ar-EG"/>
        </w:rPr>
        <w:t>نظام</w:t>
      </w:r>
      <w:r w:rsidRPr="00076B02">
        <w:rPr>
          <w:rtl/>
          <w:lang w:bidi="ar-EG"/>
        </w:rPr>
        <w:t xml:space="preserve"> الموظفين</w:t>
      </w:r>
      <w:r w:rsidR="002A7843">
        <w:rPr>
          <w:rFonts w:hint="cs"/>
          <w:rtl/>
          <w:lang w:bidi="ar-EG"/>
        </w:rPr>
        <w:t xml:space="preserve"> لمنح</w:t>
      </w:r>
      <w:r w:rsidR="005E02D5">
        <w:rPr>
          <w:rFonts w:hint="cs"/>
          <w:rtl/>
          <w:lang w:bidi="ar-EG"/>
        </w:rPr>
        <w:t xml:space="preserve"> المدير العام</w:t>
      </w:r>
      <w:r w:rsidR="002A7843">
        <w:rPr>
          <w:rFonts w:hint="cs"/>
          <w:rtl/>
          <w:lang w:bidi="ar-EG"/>
        </w:rPr>
        <w:t xml:space="preserve"> إمكانية أن يمدّد</w:t>
      </w:r>
      <w:r w:rsidR="005E02D5">
        <w:rPr>
          <w:rFonts w:hint="cs"/>
          <w:rtl/>
          <w:lang w:bidi="ar-EG"/>
        </w:rPr>
        <w:t xml:space="preserve">، في حالات استثنائية، </w:t>
      </w:r>
      <w:r>
        <w:rPr>
          <w:rFonts w:hint="cs"/>
          <w:rtl/>
          <w:lang w:bidi="ar-EG"/>
        </w:rPr>
        <w:t>مدة خدمة أي موظف بعد سن التقاعد القانونية</w:t>
      </w:r>
      <w:r w:rsidR="005E02D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إذا رأى</w:t>
      </w:r>
      <w:r w:rsidR="00175BE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أن ذلك من مصلحة المنظمة. وست</w:t>
      </w:r>
      <w:r w:rsidR="002A7843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حد</w:t>
      </w:r>
      <w:r w:rsidR="002A7843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د </w:t>
      </w:r>
      <w:r w:rsidR="002A7843">
        <w:rPr>
          <w:rFonts w:hint="cs"/>
          <w:rtl/>
          <w:lang w:bidi="ar-EG"/>
        </w:rPr>
        <w:t xml:space="preserve">في تعميم إداري </w:t>
      </w:r>
      <w:r>
        <w:rPr>
          <w:rFonts w:hint="cs"/>
          <w:rtl/>
          <w:lang w:bidi="ar-EG"/>
        </w:rPr>
        <w:t>أي</w:t>
      </w:r>
      <w:r w:rsidR="002A7843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تقييدات متعلقة ب</w:t>
      </w:r>
      <w:r w:rsidR="002A7843">
        <w:rPr>
          <w:rFonts w:hint="cs"/>
          <w:rtl/>
          <w:lang w:bidi="ar-EG"/>
        </w:rPr>
        <w:t>ذلك</w:t>
      </w:r>
      <w:r w:rsidR="002A784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التمديد.</w:t>
      </w:r>
    </w:p>
    <w:p w:rsidR="00A11E76" w:rsidRDefault="00A11E76" w:rsidP="002C4D22">
      <w:pPr>
        <w:pStyle w:val="NumberedParaAR"/>
      </w:pPr>
      <w:proofErr w:type="gramStart"/>
      <w:r>
        <w:rPr>
          <w:rFonts w:hint="cs"/>
          <w:rtl/>
          <w:lang w:bidi="ar-EG"/>
        </w:rPr>
        <w:t>ويرد</w:t>
      </w:r>
      <w:proofErr w:type="gramEnd"/>
      <w:r>
        <w:rPr>
          <w:rFonts w:hint="cs"/>
          <w:rtl/>
          <w:lang w:bidi="ar-EG"/>
        </w:rPr>
        <w:t xml:space="preserve"> </w:t>
      </w:r>
      <w:r w:rsidR="002A7843">
        <w:rPr>
          <w:rFonts w:hint="cs"/>
          <w:rtl/>
          <w:lang w:bidi="ar-EG"/>
        </w:rPr>
        <w:t xml:space="preserve">في المرفق </w:t>
      </w:r>
      <w:r>
        <w:rPr>
          <w:rFonts w:hint="cs"/>
          <w:rtl/>
          <w:lang w:bidi="ar-EG"/>
        </w:rPr>
        <w:t>التعديل الم</w:t>
      </w:r>
      <w:r w:rsidR="002A7843">
        <w:rPr>
          <w:rFonts w:hint="cs"/>
          <w:rtl/>
          <w:lang w:bidi="ar-EG"/>
        </w:rPr>
        <w:t>ُ</w:t>
      </w:r>
      <w:r w:rsidR="002C4D22">
        <w:rPr>
          <w:rFonts w:hint="cs"/>
          <w:rtl/>
          <w:lang w:bidi="ar-EG"/>
        </w:rPr>
        <w:t>قترح ل</w:t>
      </w:r>
      <w:r>
        <w:rPr>
          <w:rFonts w:hint="cs"/>
          <w:rtl/>
          <w:lang w:bidi="ar-EG"/>
        </w:rPr>
        <w:t xml:space="preserve">يدخل حيز النفاذ </w:t>
      </w:r>
      <w:r w:rsidR="005E02D5">
        <w:rPr>
          <w:rFonts w:hint="cs"/>
          <w:rtl/>
          <w:lang w:bidi="ar-EG"/>
        </w:rPr>
        <w:t>اعتبارا من</w:t>
      </w:r>
      <w:r>
        <w:rPr>
          <w:rFonts w:hint="cs"/>
          <w:rtl/>
          <w:lang w:bidi="ar-EG"/>
        </w:rPr>
        <w:t xml:space="preserve"> 1 يناير 2018.</w:t>
      </w:r>
    </w:p>
    <w:p w:rsidR="00A11E76" w:rsidRPr="002C4D22" w:rsidRDefault="00A11E76" w:rsidP="002C4D22">
      <w:pPr>
        <w:pStyle w:val="DecisionParaAR"/>
      </w:pPr>
      <w:r w:rsidRPr="002C4D22">
        <w:rPr>
          <w:rFonts w:hint="cs"/>
          <w:rtl/>
          <w:lang w:bidi="ar-EG"/>
        </w:rPr>
        <w:t>إن لجنة</w:t>
      </w:r>
      <w:r w:rsidR="002C4D22" w:rsidRPr="002C4D22">
        <w:rPr>
          <w:rFonts w:hint="cs"/>
          <w:rtl/>
          <w:lang w:bidi="ar-EG"/>
        </w:rPr>
        <w:t xml:space="preserve"> الويبو للتنسيق مدعوة إلى </w:t>
      </w:r>
      <w:r w:rsidRPr="002C4D22">
        <w:rPr>
          <w:rFonts w:hint="cs"/>
          <w:rtl/>
          <w:lang w:bidi="ar-EG"/>
        </w:rPr>
        <w:t xml:space="preserve">اعتماد التعديل </w:t>
      </w:r>
      <w:r w:rsidR="002C4D22" w:rsidRPr="002C4D22">
        <w:rPr>
          <w:rFonts w:hint="cs"/>
          <w:rtl/>
          <w:lang w:bidi="ar-EG"/>
        </w:rPr>
        <w:t xml:space="preserve">الُمقترح إدخاله </w:t>
      </w:r>
      <w:r w:rsidRPr="002C4D22">
        <w:rPr>
          <w:rFonts w:hint="cs"/>
          <w:rtl/>
          <w:lang w:bidi="ar-EG"/>
        </w:rPr>
        <w:t xml:space="preserve">على المادة </w:t>
      </w:r>
      <w:r w:rsidRPr="002C4D22">
        <w:rPr>
          <w:lang w:bidi="ar-EG"/>
        </w:rPr>
        <w:t>10-9</w:t>
      </w:r>
      <w:r w:rsidRPr="002C4D22">
        <w:rPr>
          <w:rFonts w:hint="cs"/>
          <w:rtl/>
          <w:lang w:bidi="ar-EG"/>
        </w:rPr>
        <w:t xml:space="preserve"> من </w:t>
      </w:r>
      <w:r w:rsidR="002C4D22" w:rsidRPr="002C4D22">
        <w:rPr>
          <w:rFonts w:hint="cs"/>
          <w:rtl/>
          <w:lang w:bidi="ar-EG"/>
        </w:rPr>
        <w:t>نظام</w:t>
      </w:r>
      <w:r w:rsidRPr="002C4D22">
        <w:rPr>
          <w:rFonts w:hint="cs"/>
          <w:rtl/>
          <w:lang w:bidi="ar-EG"/>
        </w:rPr>
        <w:t xml:space="preserve"> الموظفين على النحو الوارد في مرفق الوثيقة</w:t>
      </w:r>
      <w:r w:rsidR="002C4D22" w:rsidRPr="002C4D22">
        <w:rPr>
          <w:rFonts w:hint="eastAsia"/>
          <w:rtl/>
          <w:lang w:bidi="ar-EG"/>
        </w:rPr>
        <w:t> </w:t>
      </w:r>
      <w:r w:rsidRPr="002C4D22">
        <w:rPr>
          <w:lang w:bidi="ar-EG"/>
        </w:rPr>
        <w:t>WO/CC/74/4 Add.</w:t>
      </w:r>
      <w:r w:rsidRPr="002C4D22">
        <w:rPr>
          <w:rFonts w:hint="cs"/>
          <w:rtl/>
          <w:lang w:bidi="ar-EG"/>
        </w:rPr>
        <w:t xml:space="preserve"> ليدخل حيز النفاذ</w:t>
      </w:r>
      <w:r w:rsidR="005E02D5" w:rsidRPr="002C4D22">
        <w:rPr>
          <w:rFonts w:hint="cs"/>
          <w:rtl/>
          <w:lang w:bidi="ar-EG"/>
        </w:rPr>
        <w:t xml:space="preserve"> اعتبارا من</w:t>
      </w:r>
      <w:r w:rsidRPr="002C4D22">
        <w:rPr>
          <w:rFonts w:hint="cs"/>
          <w:rtl/>
          <w:lang w:bidi="ar-EG"/>
        </w:rPr>
        <w:t xml:space="preserve"> 1 يناير 2018.</w:t>
      </w:r>
    </w:p>
    <w:p w:rsidR="00F87A30" w:rsidRDefault="00F87A30" w:rsidP="00A11E76">
      <w:pPr>
        <w:pStyle w:val="EndofDocumentAR"/>
        <w:spacing w:before="360"/>
      </w:pPr>
      <w:r>
        <w:rPr>
          <w:rtl/>
        </w:rPr>
        <w:t xml:space="preserve">[يلي ذلك </w:t>
      </w:r>
      <w:proofErr w:type="gramStart"/>
      <w:r>
        <w:rPr>
          <w:rtl/>
        </w:rPr>
        <w:t>المرفق</w:t>
      </w:r>
      <w:proofErr w:type="gramEnd"/>
      <w:r>
        <w:rPr>
          <w:rtl/>
        </w:rPr>
        <w:t>]</w:t>
      </w:r>
    </w:p>
    <w:p w:rsidR="00F87A30" w:rsidRDefault="00F87A30" w:rsidP="00F87A30">
      <w:pPr>
        <w:pStyle w:val="NumberedParaAR"/>
        <w:numPr>
          <w:ilvl w:val="0"/>
          <w:numId w:val="0"/>
        </w:numPr>
        <w:rPr>
          <w:rtl/>
        </w:rPr>
        <w:sectPr w:rsidR="00F87A30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3917AE" w:rsidRPr="00F87A30" w:rsidRDefault="00F87A30" w:rsidP="00175BEC">
      <w:pPr>
        <w:pStyle w:val="NumberedParaAR"/>
        <w:numPr>
          <w:ilvl w:val="0"/>
          <w:numId w:val="0"/>
        </w:numPr>
        <w:jc w:val="center"/>
        <w:rPr>
          <w:b/>
          <w:bCs/>
          <w:sz w:val="40"/>
          <w:szCs w:val="40"/>
          <w:rtl/>
        </w:rPr>
      </w:pPr>
      <w:proofErr w:type="gramStart"/>
      <w:r w:rsidRPr="00F87A30">
        <w:rPr>
          <w:b/>
          <w:bCs/>
          <w:sz w:val="40"/>
          <w:szCs w:val="40"/>
          <w:rtl/>
        </w:rPr>
        <w:lastRenderedPageBreak/>
        <w:t>التعديل</w:t>
      </w:r>
      <w:proofErr w:type="gramEnd"/>
      <w:r w:rsidRPr="00F87A30">
        <w:rPr>
          <w:b/>
          <w:bCs/>
          <w:sz w:val="40"/>
          <w:szCs w:val="40"/>
          <w:rtl/>
        </w:rPr>
        <w:t xml:space="preserve"> المقترح إدخاله على</w:t>
      </w:r>
      <w:r w:rsidR="00DD6EB8">
        <w:rPr>
          <w:b/>
          <w:bCs/>
          <w:sz w:val="40"/>
          <w:szCs w:val="40"/>
        </w:rPr>
        <w:t xml:space="preserve"> </w:t>
      </w:r>
      <w:r w:rsidR="00DD6EB8" w:rsidRPr="00175BEC">
        <w:rPr>
          <w:rFonts w:hint="cs"/>
          <w:b/>
          <w:bCs/>
          <w:sz w:val="40"/>
          <w:szCs w:val="40"/>
          <w:rtl/>
        </w:rPr>
        <w:t>ال</w:t>
      </w:r>
      <w:r w:rsidR="004167E4" w:rsidRPr="00175BEC">
        <w:rPr>
          <w:rFonts w:hint="cs"/>
          <w:b/>
          <w:bCs/>
          <w:sz w:val="40"/>
          <w:szCs w:val="40"/>
          <w:rtl/>
        </w:rPr>
        <w:t>مادة</w:t>
      </w:r>
      <w:r w:rsidR="00DD6EB8" w:rsidRPr="00175BEC">
        <w:rPr>
          <w:rFonts w:hint="cs"/>
          <w:b/>
          <w:bCs/>
          <w:sz w:val="40"/>
          <w:szCs w:val="40"/>
          <w:rtl/>
        </w:rPr>
        <w:t xml:space="preserve"> </w:t>
      </w:r>
      <w:r w:rsidR="00175BEC" w:rsidRPr="00175BEC">
        <w:rPr>
          <w:b/>
          <w:bCs/>
          <w:sz w:val="40"/>
          <w:szCs w:val="40"/>
        </w:rPr>
        <w:t>10-9</w:t>
      </w:r>
      <w:r w:rsidR="00DD6EB8" w:rsidRPr="00175BEC">
        <w:rPr>
          <w:rFonts w:hint="cs"/>
          <w:b/>
          <w:bCs/>
          <w:sz w:val="40"/>
          <w:szCs w:val="40"/>
          <w:rtl/>
        </w:rPr>
        <w:t xml:space="preserve"> من</w:t>
      </w:r>
      <w:r w:rsidRPr="00F87A30">
        <w:rPr>
          <w:b/>
          <w:bCs/>
          <w:sz w:val="40"/>
          <w:szCs w:val="40"/>
          <w:rtl/>
        </w:rPr>
        <w:t xml:space="preserve"> نظام الموظفين ل</w:t>
      </w:r>
      <w:r w:rsidR="00DD6EB8">
        <w:rPr>
          <w:rFonts w:hint="cs"/>
          <w:b/>
          <w:bCs/>
          <w:sz w:val="40"/>
          <w:szCs w:val="40"/>
          <w:rtl/>
        </w:rPr>
        <w:t>ي</w:t>
      </w:r>
      <w:r w:rsidR="00DD6EB8">
        <w:rPr>
          <w:b/>
          <w:bCs/>
          <w:sz w:val="40"/>
          <w:szCs w:val="40"/>
          <w:rtl/>
        </w:rPr>
        <w:t>دخل حيز النفاذ اعتبارا</w:t>
      </w:r>
      <w:r w:rsidRPr="00F87A30">
        <w:rPr>
          <w:b/>
          <w:bCs/>
          <w:sz w:val="40"/>
          <w:szCs w:val="40"/>
          <w:rtl/>
        </w:rPr>
        <w:t xml:space="preserve"> من 1 يناير 2018</w:t>
      </w:r>
    </w:p>
    <w:tbl>
      <w:tblPr>
        <w:bidiVisual/>
        <w:tblW w:w="15451" w:type="dxa"/>
        <w:tblInd w:w="-4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480"/>
        <w:gridCol w:w="4536"/>
        <w:gridCol w:w="4592"/>
      </w:tblGrid>
      <w:tr w:rsidR="00A11E76" w:rsidRPr="00FE1EF7" w:rsidTr="00223EC9">
        <w:trPr>
          <w:trHeight w:val="20"/>
          <w:tblHeader/>
        </w:trPr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BD4B4"/>
            <w:tcMar>
              <w:top w:w="57" w:type="dxa"/>
              <w:bottom w:w="57" w:type="dxa"/>
            </w:tcMar>
          </w:tcPr>
          <w:p w:rsidR="00A11E76" w:rsidRPr="00A11E76" w:rsidRDefault="00A11E76" w:rsidP="00D4605F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A11E7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EG"/>
              </w:rPr>
              <w:t>المادة</w:t>
            </w:r>
          </w:p>
        </w:tc>
        <w:tc>
          <w:tcPr>
            <w:tcW w:w="44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BD4B4"/>
            <w:tcMar>
              <w:top w:w="57" w:type="dxa"/>
              <w:bottom w:w="57" w:type="dxa"/>
            </w:tcMar>
          </w:tcPr>
          <w:p w:rsidR="00A11E76" w:rsidRPr="00A11E76" w:rsidRDefault="00A11E76" w:rsidP="00D4605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11E7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EG"/>
              </w:rPr>
              <w:t>النص</w:t>
            </w:r>
            <w:proofErr w:type="gramEnd"/>
            <w:r w:rsidRPr="00A11E7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EG"/>
              </w:rPr>
              <w:t xml:space="preserve"> الحالي</w:t>
            </w:r>
          </w:p>
        </w:tc>
        <w:tc>
          <w:tcPr>
            <w:tcW w:w="453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BD4B4"/>
            <w:tcMar>
              <w:top w:w="57" w:type="dxa"/>
              <w:bottom w:w="57" w:type="dxa"/>
            </w:tcMar>
          </w:tcPr>
          <w:p w:rsidR="00A11E76" w:rsidRPr="00A11E76" w:rsidRDefault="00A11E76" w:rsidP="00D4605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11E7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EG"/>
              </w:rPr>
              <w:t>النص</w:t>
            </w:r>
            <w:proofErr w:type="gramEnd"/>
            <w:r w:rsidRPr="00A11E7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EG"/>
              </w:rPr>
              <w:t xml:space="preserve"> الجديد المقترح</w:t>
            </w:r>
          </w:p>
        </w:tc>
        <w:tc>
          <w:tcPr>
            <w:tcW w:w="4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BD4B4"/>
            <w:tcMar>
              <w:top w:w="57" w:type="dxa"/>
              <w:bottom w:w="57" w:type="dxa"/>
            </w:tcMar>
          </w:tcPr>
          <w:p w:rsidR="00A11E76" w:rsidRPr="00A11E76" w:rsidRDefault="00A11E76" w:rsidP="00D4605F">
            <w:pPr>
              <w:jc w:val="center"/>
              <w:rPr>
                <w:b/>
                <w:bCs/>
                <w:sz w:val="18"/>
                <w:szCs w:val="18"/>
              </w:rPr>
            </w:pPr>
            <w:r w:rsidRPr="00A11E7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EG"/>
              </w:rPr>
              <w:t>وصف التعديل/الغرض منه</w:t>
            </w:r>
          </w:p>
        </w:tc>
      </w:tr>
      <w:tr w:rsidR="00A11E76" w:rsidRPr="009D11C6" w:rsidTr="00223EC9">
        <w:trPr>
          <w:trHeight w:val="20"/>
        </w:trPr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:rsidR="00A11E76" w:rsidRPr="00175BEC" w:rsidRDefault="00A11E76" w:rsidP="00FF630F">
            <w:pPr>
              <w:bidi/>
              <w:spacing w:after="120" w:line="300" w:lineRule="exact"/>
              <w:ind w:right="34"/>
              <w:rPr>
                <w:rFonts w:ascii="Arabic Typesetting" w:hAnsi="Arabic Typesetting" w:cs="Arabic Typesetting"/>
                <w:b/>
                <w:sz w:val="30"/>
                <w:szCs w:val="30"/>
                <w:rtl/>
                <w:lang w:bidi="ar-EG"/>
              </w:rPr>
            </w:pPr>
            <w:r w:rsidRPr="00175BEC">
              <w:rPr>
                <w:rFonts w:ascii="Arabic Typesetting" w:hAnsi="Arabic Typesetting" w:cs="Arabic Typesetting"/>
                <w:bCs/>
                <w:sz w:val="30"/>
                <w:szCs w:val="30"/>
                <w:rtl/>
                <w:lang w:bidi="ar-EG"/>
              </w:rPr>
              <w:t>المادة</w:t>
            </w:r>
            <w:r w:rsidRPr="00175BEC">
              <w:rPr>
                <w:rFonts w:ascii="Arabic Typesetting" w:hAnsi="Arabic Typesetting" w:cs="Arabic Typesetting"/>
                <w:b/>
                <w:sz w:val="30"/>
                <w:szCs w:val="30"/>
                <w:rtl/>
                <w:lang w:bidi="ar-EG"/>
              </w:rPr>
              <w:t xml:space="preserve"> </w:t>
            </w:r>
            <w:r w:rsidR="00175BEC" w:rsidRPr="00175BEC">
              <w:rPr>
                <w:rFonts w:ascii="Arabic Typesetting" w:hAnsi="Arabic Typesetting" w:cs="Arabic Typesetting"/>
                <w:b/>
                <w:sz w:val="30"/>
                <w:szCs w:val="30"/>
                <w:lang w:bidi="ar-EG"/>
              </w:rPr>
              <w:t>10-9</w:t>
            </w:r>
          </w:p>
          <w:p w:rsidR="00A11E76" w:rsidRPr="009D11C6" w:rsidRDefault="00A11E76" w:rsidP="00FF630F">
            <w:pPr>
              <w:bidi/>
              <w:spacing w:after="120" w:line="300" w:lineRule="exact"/>
              <w:ind w:right="34"/>
              <w:rPr>
                <w:sz w:val="18"/>
                <w:szCs w:val="18"/>
                <w:lang w:bidi="ar-EG"/>
              </w:rPr>
            </w:pPr>
            <w:r w:rsidRPr="00A11E76">
              <w:rPr>
                <w:rFonts w:ascii="Arabic Typesetting" w:hAnsi="Arabic Typesetting" w:cs="Arabic Typesetting"/>
                <w:b/>
                <w:sz w:val="30"/>
                <w:szCs w:val="30"/>
                <w:rtl/>
                <w:lang w:bidi="ar-EG"/>
              </w:rPr>
              <w:t>سن التقاعد</w:t>
            </w:r>
          </w:p>
        </w:tc>
        <w:tc>
          <w:tcPr>
            <w:tcW w:w="4480" w:type="dxa"/>
            <w:shd w:val="clear" w:color="auto" w:fill="auto"/>
            <w:tcMar>
              <w:top w:w="57" w:type="dxa"/>
              <w:bottom w:w="57" w:type="dxa"/>
            </w:tcMar>
          </w:tcPr>
          <w:p w:rsidR="00A11E76" w:rsidRPr="00A11E76" w:rsidRDefault="00A11E76" w:rsidP="000D5D10">
            <w:pPr>
              <w:pStyle w:val="NormalParaAR"/>
              <w:spacing w:after="120" w:line="300" w:lineRule="exact"/>
              <w:rPr>
                <w:sz w:val="30"/>
                <w:szCs w:val="30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(أ)</w:t>
            </w:r>
            <w:r>
              <w:rPr>
                <w:sz w:val="30"/>
                <w:szCs w:val="30"/>
                <w:rtl/>
              </w:rPr>
              <w:tab/>
            </w:r>
            <w:proofErr w:type="gramStart"/>
            <w:r w:rsidRPr="00A11E76">
              <w:rPr>
                <w:sz w:val="30"/>
                <w:szCs w:val="30"/>
                <w:rtl/>
              </w:rPr>
              <w:t>لا</w:t>
            </w:r>
            <w:proofErr w:type="gramEnd"/>
            <w:r w:rsidRPr="00A11E76">
              <w:rPr>
                <w:sz w:val="30"/>
                <w:szCs w:val="30"/>
                <w:rtl/>
              </w:rPr>
              <w:t xml:space="preserve"> يُستبقى في الخدمة بعد سن الخامسة والستين الموظفون الذين أصبحت تعييناتهم نافذةً في 1 يناير 2014 أو بعد هذا التاريخ.</w:t>
            </w:r>
          </w:p>
          <w:p w:rsidR="00A11E76" w:rsidRPr="00A11E76" w:rsidRDefault="00A11E76" w:rsidP="000D5D10">
            <w:pPr>
              <w:pStyle w:val="NormalParaAR"/>
              <w:spacing w:after="120" w:line="300" w:lineRule="exact"/>
              <w:rPr>
                <w:sz w:val="30"/>
                <w:szCs w:val="30"/>
                <w:lang w:bidi="ar-EG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(ب)</w:t>
            </w:r>
            <w:r>
              <w:rPr>
                <w:sz w:val="30"/>
                <w:szCs w:val="30"/>
                <w:rtl/>
              </w:rPr>
              <w:tab/>
            </w:r>
            <w:proofErr w:type="gramStart"/>
            <w:r w:rsidRPr="00A11E76">
              <w:rPr>
                <w:sz w:val="30"/>
                <w:szCs w:val="30"/>
                <w:rtl/>
                <w:lang w:bidi="ar-EG"/>
              </w:rPr>
              <w:t>ولا</w:t>
            </w:r>
            <w:proofErr w:type="gramEnd"/>
            <w:r w:rsidRPr="00A11E76">
              <w:rPr>
                <w:sz w:val="30"/>
                <w:szCs w:val="30"/>
                <w:rtl/>
                <w:lang w:bidi="ar-EG"/>
              </w:rPr>
              <w:t xml:space="preserve"> يُستبقى في الخدمة بعد سن الثانية والستين الموظفون الذين أصبحت تعييناتهم نافذةً في 1 نوفمبر 1990 أو بعد هذا التاريخ وقبل 1 يناير 2014.</w:t>
            </w:r>
          </w:p>
          <w:p w:rsidR="00A11E76" w:rsidRPr="00A11E76" w:rsidRDefault="00A11E76" w:rsidP="000D5D10">
            <w:pPr>
              <w:pStyle w:val="NormalParaAR"/>
              <w:spacing w:after="120" w:line="300" w:lineRule="exact"/>
              <w:rPr>
                <w:sz w:val="30"/>
                <w:szCs w:val="30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(ج)</w:t>
            </w:r>
            <w:r>
              <w:rPr>
                <w:sz w:val="30"/>
                <w:szCs w:val="30"/>
                <w:rtl/>
              </w:rPr>
              <w:tab/>
            </w:r>
            <w:proofErr w:type="gramStart"/>
            <w:r w:rsidRPr="00A11E76">
              <w:rPr>
                <w:rFonts w:hint="cs"/>
                <w:sz w:val="30"/>
                <w:szCs w:val="30"/>
                <w:rtl/>
              </w:rPr>
              <w:t>و</w:t>
            </w:r>
            <w:r w:rsidRPr="00A11E76">
              <w:rPr>
                <w:sz w:val="30"/>
                <w:szCs w:val="30"/>
                <w:rtl/>
              </w:rPr>
              <w:t>لا</w:t>
            </w:r>
            <w:proofErr w:type="gramEnd"/>
            <w:r w:rsidRPr="00A11E76">
              <w:rPr>
                <w:sz w:val="30"/>
                <w:szCs w:val="30"/>
                <w:rtl/>
              </w:rPr>
              <w:t xml:space="preserve"> يُستبقى في الخدمة بعد سن الستين الموظفون الذين</w:t>
            </w:r>
            <w:r w:rsidR="00175BEC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أصبحت تعييناتهم نافذةً في 1 نوفمبر 1977 أو بعده، وقبل</w:t>
            </w:r>
            <w:r w:rsidR="00175BEC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1</w:t>
            </w:r>
            <w:r w:rsidRPr="00A11E76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نوفمبر</w:t>
            </w:r>
            <w:r w:rsidR="00175BEC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1990.</w:t>
            </w:r>
          </w:p>
          <w:p w:rsidR="00A11E76" w:rsidRPr="00A11E76" w:rsidRDefault="00A11E76" w:rsidP="000D5D10">
            <w:pPr>
              <w:pStyle w:val="NormalParaAR"/>
              <w:spacing w:after="120" w:line="300" w:lineRule="exact"/>
              <w:rPr>
                <w:sz w:val="30"/>
                <w:szCs w:val="30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(د)</w:t>
            </w:r>
            <w:r>
              <w:rPr>
                <w:sz w:val="30"/>
                <w:szCs w:val="30"/>
                <w:rtl/>
              </w:rPr>
              <w:tab/>
            </w:r>
            <w:r w:rsidRPr="00A11E76">
              <w:rPr>
                <w:rFonts w:hint="cs"/>
                <w:sz w:val="30"/>
                <w:szCs w:val="30"/>
                <w:rtl/>
              </w:rPr>
              <w:t>و</w:t>
            </w:r>
            <w:r w:rsidRPr="00A11E76">
              <w:rPr>
                <w:sz w:val="30"/>
                <w:szCs w:val="30"/>
                <w:rtl/>
              </w:rPr>
              <w:t>يجوز للمدير العام، بصرف النظر عن الفقرتين (</w:t>
            </w:r>
            <w:r w:rsidRPr="00A11E76">
              <w:rPr>
                <w:rFonts w:hint="cs"/>
                <w:sz w:val="30"/>
                <w:szCs w:val="30"/>
                <w:rtl/>
              </w:rPr>
              <w:t>ب</w:t>
            </w:r>
            <w:r w:rsidRPr="00A11E76">
              <w:rPr>
                <w:sz w:val="30"/>
                <w:szCs w:val="30"/>
                <w:rtl/>
              </w:rPr>
              <w:t>) و(</w:t>
            </w:r>
            <w:r w:rsidRPr="00A11E76">
              <w:rPr>
                <w:rFonts w:hint="cs"/>
                <w:sz w:val="30"/>
                <w:szCs w:val="30"/>
                <w:rtl/>
              </w:rPr>
              <w:t>ج</w:t>
            </w:r>
            <w:r w:rsidRPr="00A11E76">
              <w:rPr>
                <w:sz w:val="30"/>
                <w:szCs w:val="30"/>
                <w:rtl/>
              </w:rPr>
              <w:t>) الواردتين أعلاه، أن يأذن، في حالات مُحدَّدة، بتمديد سن التقاعد بما لا يتجاوز الخامسة والستين إذا رأى أن ذلك من مصلحة</w:t>
            </w:r>
            <w:r w:rsidR="008969B6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المنظمة.</w:t>
            </w:r>
          </w:p>
          <w:p w:rsidR="00A11E76" w:rsidRPr="00A11E76" w:rsidRDefault="00A11E76" w:rsidP="000D5D10">
            <w:pPr>
              <w:pStyle w:val="NormalParaAR"/>
              <w:spacing w:after="120" w:line="300" w:lineRule="exact"/>
              <w:rPr>
                <w:sz w:val="30"/>
                <w:szCs w:val="30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(ه)</w:t>
            </w:r>
            <w:r>
              <w:rPr>
                <w:sz w:val="30"/>
                <w:szCs w:val="30"/>
                <w:rtl/>
              </w:rPr>
              <w:tab/>
            </w:r>
            <w:r w:rsidRPr="00A11E76">
              <w:rPr>
                <w:rFonts w:hint="cs"/>
                <w:sz w:val="30"/>
                <w:szCs w:val="30"/>
                <w:rtl/>
              </w:rPr>
              <w:t>و</w:t>
            </w:r>
            <w:r w:rsidRPr="00A11E76">
              <w:rPr>
                <w:sz w:val="30"/>
                <w:szCs w:val="30"/>
                <w:rtl/>
              </w:rPr>
              <w:t>لا يعتبر التقاعد إنهاءً للخدمة بالمعنى المقصود في ال</w:t>
            </w:r>
            <w:r w:rsidRPr="00A11E76">
              <w:rPr>
                <w:rFonts w:hint="cs"/>
                <w:sz w:val="30"/>
                <w:szCs w:val="30"/>
                <w:rtl/>
              </w:rPr>
              <w:t>مادت</w:t>
            </w:r>
            <w:r w:rsidRPr="00A11E76">
              <w:rPr>
                <w:sz w:val="30"/>
                <w:szCs w:val="30"/>
                <w:rtl/>
              </w:rPr>
              <w:t>ين</w:t>
            </w:r>
            <w:r w:rsidR="00BA42F9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9-2 و9-4.</w:t>
            </w:r>
          </w:p>
          <w:p w:rsidR="00A11E76" w:rsidRPr="00A11E76" w:rsidRDefault="00A11E76" w:rsidP="000D5D10">
            <w:pPr>
              <w:autoSpaceDE w:val="0"/>
              <w:autoSpaceDN w:val="0"/>
              <w:bidi/>
              <w:adjustRightInd w:val="0"/>
              <w:spacing w:after="120" w:line="300" w:lineRule="exact"/>
              <w:ind w:left="360"/>
              <w:rPr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536" w:type="dxa"/>
            <w:shd w:val="clear" w:color="auto" w:fill="auto"/>
            <w:tcMar>
              <w:top w:w="57" w:type="dxa"/>
              <w:bottom w:w="57" w:type="dxa"/>
            </w:tcMar>
          </w:tcPr>
          <w:p w:rsidR="00A11E76" w:rsidRPr="00A11E76" w:rsidRDefault="00A11E76" w:rsidP="000D5D10">
            <w:pPr>
              <w:pStyle w:val="NormalParaAR"/>
              <w:spacing w:after="120" w:line="300" w:lineRule="exact"/>
              <w:rPr>
                <w:sz w:val="30"/>
                <w:szCs w:val="30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(أ)</w:t>
            </w:r>
            <w:r>
              <w:rPr>
                <w:sz w:val="30"/>
                <w:szCs w:val="30"/>
                <w:rtl/>
              </w:rPr>
              <w:tab/>
            </w:r>
            <w:proofErr w:type="gramStart"/>
            <w:r w:rsidRPr="00A11E76">
              <w:rPr>
                <w:sz w:val="30"/>
                <w:szCs w:val="30"/>
                <w:rtl/>
              </w:rPr>
              <w:t>لا</w:t>
            </w:r>
            <w:proofErr w:type="gramEnd"/>
            <w:r w:rsidRPr="00A11E76">
              <w:rPr>
                <w:sz w:val="30"/>
                <w:szCs w:val="30"/>
                <w:rtl/>
              </w:rPr>
              <w:t xml:space="preserve"> يُستبقى في الخدمة بعد سن الخامسة والستين الموظفون الذين أصبحت تعييناتهم نافذةً في 1 يناير 2014 أو بعد هذا التاريخ.</w:t>
            </w:r>
          </w:p>
          <w:p w:rsidR="00A11E76" w:rsidRPr="00A11E76" w:rsidRDefault="00A11E76" w:rsidP="000D5D10">
            <w:pPr>
              <w:pStyle w:val="NormalParaAR"/>
              <w:spacing w:after="120" w:line="300" w:lineRule="exact"/>
              <w:rPr>
                <w:sz w:val="30"/>
                <w:szCs w:val="30"/>
                <w:lang w:bidi="ar-EG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(ب)</w:t>
            </w:r>
            <w:r>
              <w:rPr>
                <w:sz w:val="30"/>
                <w:szCs w:val="30"/>
                <w:rtl/>
              </w:rPr>
              <w:tab/>
            </w:r>
            <w:proofErr w:type="gramStart"/>
            <w:r w:rsidRPr="00A11E76">
              <w:rPr>
                <w:sz w:val="30"/>
                <w:szCs w:val="30"/>
                <w:rtl/>
                <w:lang w:bidi="ar-EG"/>
              </w:rPr>
              <w:t>ولا</w:t>
            </w:r>
            <w:proofErr w:type="gramEnd"/>
            <w:r w:rsidRPr="00A11E76">
              <w:rPr>
                <w:sz w:val="30"/>
                <w:szCs w:val="30"/>
                <w:rtl/>
                <w:lang w:bidi="ar-EG"/>
              </w:rPr>
              <w:t xml:space="preserve"> يُستبقى في الخدمة بعد سن الثانية والستين الموظفون الذين أصبحت تعييناتهم نافذةً في 1 نوفمبر 1990 أو بعد هذا التاريخ وقبل 1 يناير 2014.</w:t>
            </w:r>
          </w:p>
          <w:p w:rsidR="00A11E76" w:rsidRPr="00A11E76" w:rsidRDefault="00A11E76" w:rsidP="000D5D10">
            <w:pPr>
              <w:pStyle w:val="NormalParaAR"/>
              <w:spacing w:after="120" w:line="300" w:lineRule="exact"/>
              <w:rPr>
                <w:sz w:val="30"/>
                <w:szCs w:val="30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(ج)</w:t>
            </w:r>
            <w:r>
              <w:rPr>
                <w:sz w:val="30"/>
                <w:szCs w:val="30"/>
                <w:rtl/>
              </w:rPr>
              <w:tab/>
            </w:r>
            <w:proofErr w:type="gramStart"/>
            <w:r w:rsidRPr="00A11E76">
              <w:rPr>
                <w:rFonts w:hint="cs"/>
                <w:sz w:val="30"/>
                <w:szCs w:val="30"/>
                <w:rtl/>
              </w:rPr>
              <w:t>و</w:t>
            </w:r>
            <w:r w:rsidRPr="00A11E76">
              <w:rPr>
                <w:sz w:val="30"/>
                <w:szCs w:val="30"/>
                <w:rtl/>
              </w:rPr>
              <w:t>لا</w:t>
            </w:r>
            <w:proofErr w:type="gramEnd"/>
            <w:r w:rsidRPr="00A11E76">
              <w:rPr>
                <w:sz w:val="30"/>
                <w:szCs w:val="30"/>
                <w:rtl/>
              </w:rPr>
              <w:t xml:space="preserve"> يُستبقى في الخدمة بعد سن الستين الموظفون الذين</w:t>
            </w:r>
            <w:r w:rsidR="00175BEC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أصبحت تعييناتهم نافذةً في 1 نوفمبر 1977 أو بعده، وقبل</w:t>
            </w:r>
            <w:r w:rsidR="00175BEC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1</w:t>
            </w:r>
            <w:r w:rsidRPr="00A11E76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نوفمبر 1990.</w:t>
            </w:r>
          </w:p>
          <w:p w:rsidR="00A11E76" w:rsidRPr="00A11E76" w:rsidRDefault="00A11E76" w:rsidP="000D5D10">
            <w:pPr>
              <w:pStyle w:val="NormalParaAR"/>
              <w:spacing w:after="120" w:line="300" w:lineRule="exact"/>
              <w:rPr>
                <w:sz w:val="30"/>
                <w:szCs w:val="30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(د)</w:t>
            </w:r>
            <w:r>
              <w:rPr>
                <w:sz w:val="30"/>
                <w:szCs w:val="30"/>
                <w:rtl/>
              </w:rPr>
              <w:tab/>
            </w:r>
            <w:r w:rsidRPr="00A11E76">
              <w:rPr>
                <w:rFonts w:hint="cs"/>
                <w:sz w:val="30"/>
                <w:szCs w:val="30"/>
                <w:rtl/>
              </w:rPr>
              <w:t>و</w:t>
            </w:r>
            <w:r w:rsidRPr="00A11E76">
              <w:rPr>
                <w:sz w:val="30"/>
                <w:szCs w:val="30"/>
                <w:rtl/>
              </w:rPr>
              <w:t>يجوز للمدير العام</w:t>
            </w:r>
            <w:r w:rsidRPr="008D3646">
              <w:rPr>
                <w:strike/>
                <w:sz w:val="30"/>
                <w:szCs w:val="30"/>
                <w:rtl/>
              </w:rPr>
              <w:t xml:space="preserve">، </w:t>
            </w:r>
            <w:r w:rsidRPr="00175BEC">
              <w:rPr>
                <w:strike/>
                <w:sz w:val="30"/>
                <w:szCs w:val="30"/>
                <w:rtl/>
              </w:rPr>
              <w:t>بصرف النظر عن الفقرتين (</w:t>
            </w:r>
            <w:r w:rsidRPr="00175BEC">
              <w:rPr>
                <w:rFonts w:hint="cs"/>
                <w:strike/>
                <w:sz w:val="30"/>
                <w:szCs w:val="30"/>
                <w:rtl/>
              </w:rPr>
              <w:t>ب</w:t>
            </w:r>
            <w:r w:rsidRPr="00175BEC">
              <w:rPr>
                <w:strike/>
                <w:sz w:val="30"/>
                <w:szCs w:val="30"/>
                <w:rtl/>
              </w:rPr>
              <w:t>) و(</w:t>
            </w:r>
            <w:r w:rsidRPr="00175BEC">
              <w:rPr>
                <w:rFonts w:hint="cs"/>
                <w:strike/>
                <w:sz w:val="30"/>
                <w:szCs w:val="30"/>
                <w:rtl/>
              </w:rPr>
              <w:t>ج</w:t>
            </w:r>
            <w:r w:rsidRPr="00175BEC">
              <w:rPr>
                <w:strike/>
                <w:sz w:val="30"/>
                <w:szCs w:val="30"/>
                <w:rtl/>
              </w:rPr>
              <w:t>) الواردتين أعلاه</w:t>
            </w:r>
            <w:r w:rsidRPr="008D3646">
              <w:rPr>
                <w:strike/>
                <w:sz w:val="30"/>
                <w:szCs w:val="30"/>
                <w:rtl/>
              </w:rPr>
              <w:t>،</w:t>
            </w:r>
            <w:r w:rsidRPr="00A11E76">
              <w:rPr>
                <w:sz w:val="30"/>
                <w:szCs w:val="30"/>
                <w:rtl/>
              </w:rPr>
              <w:t xml:space="preserve"> أن يأذن، في </w:t>
            </w:r>
            <w:r w:rsidRPr="00175BEC">
              <w:rPr>
                <w:sz w:val="30"/>
                <w:szCs w:val="30"/>
                <w:rtl/>
              </w:rPr>
              <w:t>حالات</w:t>
            </w:r>
            <w:r w:rsidR="00175BEC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75BEC" w:rsidRPr="00175BEC">
              <w:rPr>
                <w:rFonts w:hint="cs"/>
                <w:b/>
                <w:bCs/>
                <w:sz w:val="30"/>
                <w:szCs w:val="30"/>
                <w:u w:val="single"/>
                <w:rtl/>
              </w:rPr>
              <w:t>استثنائية</w:t>
            </w:r>
            <w:r w:rsidRPr="00175BEC">
              <w:rPr>
                <w:sz w:val="30"/>
                <w:szCs w:val="30"/>
                <w:rtl/>
              </w:rPr>
              <w:t xml:space="preserve"> </w:t>
            </w:r>
            <w:r w:rsidRPr="00175BEC">
              <w:rPr>
                <w:strike/>
                <w:sz w:val="30"/>
                <w:szCs w:val="30"/>
                <w:rtl/>
              </w:rPr>
              <w:t>مُحدَّدة</w:t>
            </w:r>
            <w:r w:rsidRPr="00A11E76">
              <w:rPr>
                <w:sz w:val="30"/>
                <w:szCs w:val="30"/>
                <w:rtl/>
              </w:rPr>
              <w:t xml:space="preserve">، بتمديد </w:t>
            </w:r>
            <w:r w:rsidRPr="00175BEC">
              <w:rPr>
                <w:b/>
                <w:bCs/>
                <w:sz w:val="30"/>
                <w:szCs w:val="30"/>
                <w:u w:val="single"/>
                <w:rtl/>
              </w:rPr>
              <w:t>سن</w:t>
            </w:r>
            <w:r w:rsidRPr="00A11E76">
              <w:rPr>
                <w:sz w:val="30"/>
                <w:szCs w:val="30"/>
                <w:rtl/>
              </w:rPr>
              <w:t xml:space="preserve"> التقاعد </w:t>
            </w:r>
            <w:r w:rsidRPr="00175BEC">
              <w:rPr>
                <w:strike/>
                <w:sz w:val="30"/>
                <w:szCs w:val="30"/>
                <w:rtl/>
              </w:rPr>
              <w:t>بما لا يتجاوز الخامسة والستين</w:t>
            </w:r>
            <w:r w:rsidRPr="00A11E76">
              <w:rPr>
                <w:sz w:val="30"/>
                <w:szCs w:val="30"/>
                <w:rtl/>
              </w:rPr>
              <w:t xml:space="preserve"> إذا رأى أن ذلك من مصلحة</w:t>
            </w:r>
            <w:r w:rsidR="00175BEC"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المنظمة.</w:t>
            </w:r>
          </w:p>
          <w:p w:rsidR="00BA42F9" w:rsidRPr="00A11E76" w:rsidRDefault="00BA42F9" w:rsidP="000D5D10">
            <w:pPr>
              <w:pStyle w:val="NormalParaAR"/>
              <w:spacing w:after="120" w:line="300" w:lineRule="exact"/>
              <w:rPr>
                <w:sz w:val="30"/>
                <w:szCs w:val="30"/>
              </w:rPr>
            </w:pPr>
            <w:r w:rsidRPr="00A11E76">
              <w:rPr>
                <w:rFonts w:hint="cs"/>
                <w:sz w:val="30"/>
                <w:szCs w:val="30"/>
                <w:rtl/>
              </w:rPr>
              <w:t>(ه)</w:t>
            </w:r>
            <w:r>
              <w:rPr>
                <w:sz w:val="30"/>
                <w:szCs w:val="30"/>
                <w:rtl/>
              </w:rPr>
              <w:tab/>
            </w:r>
            <w:r w:rsidRPr="00A11E76">
              <w:rPr>
                <w:rFonts w:hint="cs"/>
                <w:sz w:val="30"/>
                <w:szCs w:val="30"/>
                <w:rtl/>
              </w:rPr>
              <w:t>و</w:t>
            </w:r>
            <w:r w:rsidRPr="00A11E76">
              <w:rPr>
                <w:sz w:val="30"/>
                <w:szCs w:val="30"/>
                <w:rtl/>
              </w:rPr>
              <w:t xml:space="preserve">لا يعتبر التقاعد إنهاءً للخدمة بالمعنى المقصود في </w:t>
            </w:r>
            <w:r w:rsidR="00223EC9">
              <w:rPr>
                <w:rFonts w:hint="cs"/>
                <w:sz w:val="30"/>
                <w:szCs w:val="30"/>
                <w:rtl/>
              </w:rPr>
              <w:br/>
            </w:r>
            <w:r w:rsidRPr="00A11E76">
              <w:rPr>
                <w:sz w:val="30"/>
                <w:szCs w:val="30"/>
                <w:rtl/>
              </w:rPr>
              <w:t>ال</w:t>
            </w:r>
            <w:r w:rsidRPr="00A11E76">
              <w:rPr>
                <w:rFonts w:hint="cs"/>
                <w:sz w:val="30"/>
                <w:szCs w:val="30"/>
                <w:rtl/>
              </w:rPr>
              <w:t>مادت</w:t>
            </w:r>
            <w:r w:rsidRPr="00A11E76">
              <w:rPr>
                <w:sz w:val="30"/>
                <w:szCs w:val="30"/>
                <w:rtl/>
              </w:rPr>
              <w:t>ين</w:t>
            </w:r>
            <w:r>
              <w:rPr>
                <w:rFonts w:hint="cs"/>
                <w:sz w:val="30"/>
                <w:szCs w:val="30"/>
                <w:rtl/>
              </w:rPr>
              <w:t> </w:t>
            </w:r>
            <w:r w:rsidRPr="00A11E76">
              <w:rPr>
                <w:sz w:val="30"/>
                <w:szCs w:val="30"/>
                <w:rtl/>
              </w:rPr>
              <w:t>9-2 و9-4.</w:t>
            </w:r>
          </w:p>
          <w:p w:rsidR="00A11E76" w:rsidRPr="00BA42F9" w:rsidRDefault="00A11E76" w:rsidP="000D5D10">
            <w:pPr>
              <w:autoSpaceDE w:val="0"/>
              <w:autoSpaceDN w:val="0"/>
              <w:bidi/>
              <w:adjustRightInd w:val="0"/>
              <w:spacing w:after="120" w:line="300" w:lineRule="exact"/>
              <w:rPr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592" w:type="dxa"/>
            <w:shd w:val="clear" w:color="auto" w:fill="auto"/>
            <w:tcMar>
              <w:top w:w="57" w:type="dxa"/>
              <w:bottom w:w="57" w:type="dxa"/>
            </w:tcMar>
          </w:tcPr>
          <w:p w:rsidR="00A11E76" w:rsidRPr="009D11C6" w:rsidRDefault="00A11E76" w:rsidP="000D5D10">
            <w:pPr>
              <w:pStyle w:val="NormalParaAR"/>
              <w:spacing w:after="120" w:line="300" w:lineRule="exact"/>
              <w:rPr>
                <w:sz w:val="18"/>
                <w:szCs w:val="18"/>
                <w:highlight w:val="yellow"/>
                <w:lang w:val="en-GB"/>
              </w:rPr>
            </w:pPr>
            <w:proofErr w:type="gramStart"/>
            <w:r w:rsidRPr="00A11E76">
              <w:rPr>
                <w:rFonts w:hint="cs"/>
                <w:sz w:val="30"/>
                <w:szCs w:val="30"/>
                <w:rtl/>
              </w:rPr>
              <w:t>ع</w:t>
            </w:r>
            <w:r w:rsidR="002C4D22">
              <w:rPr>
                <w:rFonts w:hint="cs"/>
                <w:sz w:val="30"/>
                <w:szCs w:val="30"/>
                <w:rtl/>
              </w:rPr>
              <w:t>ُ</w:t>
            </w:r>
            <w:r w:rsidRPr="00A11E76">
              <w:rPr>
                <w:rFonts w:hint="cs"/>
                <w:sz w:val="30"/>
                <w:szCs w:val="30"/>
                <w:rtl/>
              </w:rPr>
              <w:t>د</w:t>
            </w:r>
            <w:r w:rsidR="0086182B">
              <w:rPr>
                <w:rFonts w:hint="cs"/>
                <w:sz w:val="30"/>
                <w:szCs w:val="30"/>
                <w:rtl/>
              </w:rPr>
              <w:t>ّ</w:t>
            </w:r>
            <w:r w:rsidRPr="00A11E76">
              <w:rPr>
                <w:rFonts w:hint="cs"/>
                <w:sz w:val="30"/>
                <w:szCs w:val="30"/>
                <w:rtl/>
              </w:rPr>
              <w:t>لت</w:t>
            </w:r>
            <w:proofErr w:type="gramEnd"/>
            <w:r w:rsidRPr="00A11E76">
              <w:rPr>
                <w:rFonts w:hint="cs"/>
                <w:sz w:val="30"/>
                <w:szCs w:val="30"/>
                <w:rtl/>
              </w:rPr>
              <w:t xml:space="preserve"> الفقرة (د) </w:t>
            </w:r>
            <w:r w:rsidR="0086182B" w:rsidRPr="0086182B">
              <w:rPr>
                <w:sz w:val="30"/>
                <w:szCs w:val="30"/>
                <w:rtl/>
              </w:rPr>
              <w:t>لمنح المدير العام إمكانية أن يمدّد، في حالات استثنائية، مدة خدمة أي موظف بعد سن التقاعد القانونية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8"/>
                <w:szCs w:val="18"/>
                <w:rtl/>
                <w:lang w:val="en-GB"/>
              </w:rPr>
              <w:t xml:space="preserve"> </w:t>
            </w:r>
          </w:p>
        </w:tc>
      </w:tr>
    </w:tbl>
    <w:p w:rsidR="00DD6EB8" w:rsidRDefault="00DD6EB8" w:rsidP="00A11E76">
      <w:pPr>
        <w:pStyle w:val="EndofDocumentAR"/>
        <w:spacing w:before="360"/>
        <w:ind w:left="10178"/>
      </w:pPr>
      <w:r>
        <w:rPr>
          <w:rtl/>
        </w:rPr>
        <w:t xml:space="preserve">[نهاية المرفق </w:t>
      </w:r>
      <w:proofErr w:type="gramStart"/>
      <w:r>
        <w:rPr>
          <w:rtl/>
        </w:rPr>
        <w:t>والوثيقة</w:t>
      </w:r>
      <w:proofErr w:type="gramEnd"/>
      <w:r>
        <w:rPr>
          <w:rtl/>
        </w:rPr>
        <w:t>]</w:t>
      </w:r>
    </w:p>
    <w:sectPr w:rsidR="00DD6EB8" w:rsidSect="00AE1A5A">
      <w:headerReference w:type="first" r:id="rId11"/>
      <w:pgSz w:w="16840" w:h="11907" w:orient="landscape" w:code="9"/>
      <w:pgMar w:top="1134" w:right="1134" w:bottom="1134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82" w:rsidRDefault="00000E82">
      <w:r>
        <w:separator/>
      </w:r>
    </w:p>
  </w:endnote>
  <w:endnote w:type="continuationSeparator" w:id="0">
    <w:p w:rsidR="00000E82" w:rsidRDefault="0000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82" w:rsidRDefault="00000E8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00E82" w:rsidRDefault="00000E8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F87A30">
    <w:r>
      <w:t>W</w:t>
    </w:r>
    <w:r w:rsidR="00772E46">
      <w:t>O/</w:t>
    </w:r>
    <w:r w:rsidR="000D7BA7">
      <w:t>C</w:t>
    </w:r>
    <w:r>
      <w:t>C</w:t>
    </w:r>
    <w:r w:rsidR="002F77FC">
      <w:t>/</w:t>
    </w:r>
    <w:r w:rsidR="00CB1F62">
      <w:t>7</w:t>
    </w:r>
    <w:r w:rsidR="00394790">
      <w:t>4</w:t>
    </w:r>
    <w:r w:rsidR="00F87A30">
      <w:t>/4 Add.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2E68BD">
      <w:rPr>
        <w:noProof/>
      </w:rPr>
      <w:t>1</w:t>
    </w:r>
    <w:r>
      <w:fldChar w:fldCharType="end"/>
    </w:r>
  </w:p>
  <w:p w:rsidR="002F77FC" w:rsidRDefault="002F77FC" w:rsidP="00D61541"/>
  <w:p w:rsidR="006C071E" w:rsidRDefault="006C07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30" w:rsidRDefault="00F87A30" w:rsidP="00F87A30">
    <w:r>
      <w:t>WO/CC/74/4 Add.</w:t>
    </w:r>
  </w:p>
  <w:p w:rsidR="00F87A30" w:rsidRDefault="00F87A30" w:rsidP="00F87A30">
    <w:pPr>
      <w:pStyle w:val="Header"/>
      <w:rPr>
        <w:rtl/>
      </w:rPr>
    </w:pPr>
    <w:r>
      <w:t>ANNEX</w:t>
    </w:r>
  </w:p>
  <w:p w:rsidR="00F87A30" w:rsidRPr="00F87A30" w:rsidRDefault="00F87A30" w:rsidP="002C4D22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  <w:lang w:val="fr-FR" w:bidi="ar-EG"/>
      </w:rPr>
    </w:pPr>
    <w:r w:rsidRPr="00F87A30">
      <w:rPr>
        <w:rFonts w:ascii="Arabic Typesetting" w:hAnsi="Arabic Typesetting" w:cs="Arabic Typesetting"/>
        <w:sz w:val="36"/>
        <w:szCs w:val="36"/>
        <w:rtl/>
        <w:lang w:val="fr-FR" w:bidi="ar-EG"/>
      </w:rPr>
      <w:t>المرفق</w:t>
    </w:r>
  </w:p>
  <w:p w:rsidR="00F87A30" w:rsidRDefault="00F87A30" w:rsidP="00F87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5F5DAE"/>
    <w:multiLevelType w:val="hybridMultilevel"/>
    <w:tmpl w:val="512696B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4B54AF"/>
    <w:multiLevelType w:val="hybridMultilevel"/>
    <w:tmpl w:val="170EF422"/>
    <w:lvl w:ilvl="0" w:tplc="C68EEEE6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6F58FE"/>
    <w:multiLevelType w:val="hybridMultilevel"/>
    <w:tmpl w:val="B3A8D8F2"/>
    <w:lvl w:ilvl="0" w:tplc="58E499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750A63"/>
    <w:multiLevelType w:val="hybridMultilevel"/>
    <w:tmpl w:val="F258CB1E"/>
    <w:lvl w:ilvl="0" w:tplc="7AA2114C">
      <w:start w:val="3"/>
      <w:numFmt w:val="decimal"/>
      <w:lvlText w:val="%1."/>
      <w:lvlJc w:val="left"/>
      <w:pPr>
        <w:ind w:left="6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69" w:hanging="360"/>
      </w:pPr>
    </w:lvl>
    <w:lvl w:ilvl="2" w:tplc="0409001B" w:tentative="1">
      <w:start w:val="1"/>
      <w:numFmt w:val="lowerRoman"/>
      <w:lvlText w:val="%3."/>
      <w:lvlJc w:val="right"/>
      <w:pPr>
        <w:ind w:left="7689" w:hanging="180"/>
      </w:pPr>
    </w:lvl>
    <w:lvl w:ilvl="3" w:tplc="0409000F" w:tentative="1">
      <w:start w:val="1"/>
      <w:numFmt w:val="decimal"/>
      <w:lvlText w:val="%4."/>
      <w:lvlJc w:val="left"/>
      <w:pPr>
        <w:ind w:left="8409" w:hanging="360"/>
      </w:pPr>
    </w:lvl>
    <w:lvl w:ilvl="4" w:tplc="04090019" w:tentative="1">
      <w:start w:val="1"/>
      <w:numFmt w:val="lowerLetter"/>
      <w:lvlText w:val="%5."/>
      <w:lvlJc w:val="left"/>
      <w:pPr>
        <w:ind w:left="9129" w:hanging="360"/>
      </w:pPr>
    </w:lvl>
    <w:lvl w:ilvl="5" w:tplc="0409001B" w:tentative="1">
      <w:start w:val="1"/>
      <w:numFmt w:val="lowerRoman"/>
      <w:lvlText w:val="%6."/>
      <w:lvlJc w:val="right"/>
      <w:pPr>
        <w:ind w:left="9849" w:hanging="180"/>
      </w:pPr>
    </w:lvl>
    <w:lvl w:ilvl="6" w:tplc="0409000F" w:tentative="1">
      <w:start w:val="1"/>
      <w:numFmt w:val="decimal"/>
      <w:lvlText w:val="%7."/>
      <w:lvlJc w:val="left"/>
      <w:pPr>
        <w:ind w:left="10569" w:hanging="360"/>
      </w:pPr>
    </w:lvl>
    <w:lvl w:ilvl="7" w:tplc="04090019" w:tentative="1">
      <w:start w:val="1"/>
      <w:numFmt w:val="lowerLetter"/>
      <w:lvlText w:val="%8."/>
      <w:lvlJc w:val="left"/>
      <w:pPr>
        <w:ind w:left="11289" w:hanging="360"/>
      </w:pPr>
    </w:lvl>
    <w:lvl w:ilvl="8" w:tplc="040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0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91D76"/>
    <w:multiLevelType w:val="hybridMultilevel"/>
    <w:tmpl w:val="45761022"/>
    <w:lvl w:ilvl="0" w:tplc="9D067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22"/>
  </w:num>
  <w:num w:numId="5">
    <w:abstractNumId w:val="8"/>
  </w:num>
  <w:num w:numId="6">
    <w:abstractNumId w:val="23"/>
  </w:num>
  <w:num w:numId="7">
    <w:abstractNumId w:val="14"/>
  </w:num>
  <w:num w:numId="8">
    <w:abstractNumId w:val="20"/>
  </w:num>
  <w:num w:numId="9">
    <w:abstractNumId w:val="18"/>
  </w:num>
  <w:num w:numId="10">
    <w:abstractNumId w:val="24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9"/>
  </w:num>
  <w:num w:numId="23">
    <w:abstractNumId w:val="17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AE"/>
    <w:rsid w:val="00000E8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42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D10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5BEC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A76BB"/>
    <w:rsid w:val="001B3131"/>
    <w:rsid w:val="001B4B2F"/>
    <w:rsid w:val="001B7C00"/>
    <w:rsid w:val="001C09D2"/>
    <w:rsid w:val="001C1620"/>
    <w:rsid w:val="001C18B2"/>
    <w:rsid w:val="001C1994"/>
    <w:rsid w:val="001C2933"/>
    <w:rsid w:val="001C5342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3EC9"/>
    <w:rsid w:val="00226B82"/>
    <w:rsid w:val="00227103"/>
    <w:rsid w:val="00227ECF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D37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A784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4D22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68BD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7AE"/>
    <w:rsid w:val="00391AFE"/>
    <w:rsid w:val="00392705"/>
    <w:rsid w:val="00393A79"/>
    <w:rsid w:val="0039419C"/>
    <w:rsid w:val="00394790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67E4"/>
    <w:rsid w:val="00417E93"/>
    <w:rsid w:val="00421522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02D5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5866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52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A56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71E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35A2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73C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172E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182B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69B6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646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4809"/>
    <w:rsid w:val="00956244"/>
    <w:rsid w:val="00956A06"/>
    <w:rsid w:val="00957435"/>
    <w:rsid w:val="009578D0"/>
    <w:rsid w:val="00957FF2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E65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1E76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447A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A5A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8FC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50E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8C2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2F9"/>
    <w:rsid w:val="00BA47CC"/>
    <w:rsid w:val="00BA51DF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35F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1F62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634B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EB8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37F4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32E4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52C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30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A39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30F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87A30"/>
    <w:pPr>
      <w:ind w:left="720"/>
      <w:contextualSpacing/>
    </w:pPr>
    <w:rPr>
      <w:rFonts w:eastAsia="SimSu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7A30"/>
    <w:rPr>
      <w:rFonts w:ascii="Arial" w:eastAsia="SimSun" w:hAnsi="Arial" w:cs="Arial"/>
      <w:sz w:val="22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87A30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87A30"/>
    <w:pPr>
      <w:ind w:left="720"/>
      <w:contextualSpacing/>
    </w:pPr>
    <w:rPr>
      <w:rFonts w:eastAsia="SimSu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7A30"/>
    <w:rPr>
      <w:rFonts w:ascii="Arial" w:eastAsia="SimSun" w:hAnsi="Arial" w:cs="Arial"/>
      <w:sz w:val="22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87A30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nali\Desktop\WO_CC_7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4AF7-D0BF-495D-B214-4272BF70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WO_CC_74_AR.dotx</Template>
  <TotalTime>114</TotalTime>
  <Pages>2</Pages>
  <Words>475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WO/CC/72/-- (Arabic)</vt:lpstr>
    </vt:vector>
  </TitlesOfParts>
  <Company>World Intellectual Property Organization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WO/CC/72/-- (Arabic)</dc:title>
  <dc:creator>BEN ALI Lassad</dc:creator>
  <cp:lastModifiedBy>MERZOUK Fawzi</cp:lastModifiedBy>
  <cp:revision>34</cp:revision>
  <cp:lastPrinted>2017-09-12T08:28:00Z</cp:lastPrinted>
  <dcterms:created xsi:type="dcterms:W3CDTF">2017-09-11T14:35:00Z</dcterms:created>
  <dcterms:modified xsi:type="dcterms:W3CDTF">2017-09-12T08:28:00Z</dcterms:modified>
</cp:coreProperties>
</file>