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3D7955" w:rsidP="001E6891">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E7218F" w:rsidP="00A07301">
            <w:pPr>
              <w:pStyle w:val="DocumentCodeAR"/>
              <w:bidi/>
              <w:rPr>
                <w:rtl/>
              </w:rPr>
            </w:pPr>
            <w:proofErr w:type="spellStart"/>
            <w:r>
              <w:t>PLT</w:t>
            </w:r>
            <w:proofErr w:type="spellEnd"/>
            <w:r w:rsidR="004D0A41">
              <w:t>/</w:t>
            </w:r>
            <w:r>
              <w:t>A</w:t>
            </w:r>
            <w:r w:rsidR="00100F97">
              <w:t>/</w:t>
            </w:r>
            <w:r>
              <w:t>11</w:t>
            </w:r>
            <w:r w:rsidR="004D0A41">
              <w:t>/</w:t>
            </w:r>
            <w:r w:rsidR="0095394C">
              <w:t>2</w:t>
            </w:r>
          </w:p>
        </w:tc>
      </w:tr>
      <w:tr w:rsidR="001667B6" w:rsidTr="00BF164F">
        <w:tc>
          <w:tcPr>
            <w:tcW w:w="9571" w:type="dxa"/>
            <w:gridSpan w:val="3"/>
          </w:tcPr>
          <w:p w:rsidR="001667B6" w:rsidRPr="004D0A41" w:rsidRDefault="004D0A41" w:rsidP="00FB7EC9">
            <w:pPr>
              <w:pStyle w:val="DocumentLanguageAR"/>
              <w:bidi/>
              <w:rPr>
                <w:rtl/>
                <w:lang w:val="fr-CH"/>
              </w:rPr>
            </w:pPr>
            <w:r>
              <w:rPr>
                <w:rFonts w:hint="cs"/>
                <w:rtl/>
              </w:rPr>
              <w:t>الأصل: بالإنكليزية</w:t>
            </w:r>
          </w:p>
        </w:tc>
      </w:tr>
      <w:tr w:rsidR="001667B6" w:rsidTr="00BF164F">
        <w:tc>
          <w:tcPr>
            <w:tcW w:w="9571" w:type="dxa"/>
            <w:gridSpan w:val="3"/>
          </w:tcPr>
          <w:p w:rsidR="001667B6" w:rsidRPr="00B6101C" w:rsidRDefault="00B6101C" w:rsidP="004D0A41">
            <w:pPr>
              <w:pStyle w:val="DocumentDateAR"/>
              <w:bidi/>
              <w:rPr>
                <w:rtl/>
              </w:rPr>
            </w:pPr>
            <w:r w:rsidRPr="00B6101C">
              <w:rPr>
                <w:rFonts w:hint="cs"/>
                <w:rtl/>
              </w:rPr>
              <w:t xml:space="preserve">التاريخ: </w:t>
            </w:r>
            <w:r w:rsidR="004D0A41">
              <w:rPr>
                <w:rFonts w:hint="cs"/>
                <w:rtl/>
              </w:rPr>
              <w:t>2 أكتوبر</w:t>
            </w:r>
            <w:r w:rsidRPr="00B6101C">
              <w:rPr>
                <w:rFonts w:hint="cs"/>
                <w:rtl/>
              </w:rPr>
              <w:t xml:space="preserve"> </w:t>
            </w:r>
            <w:r w:rsidR="00190B6D">
              <w:rPr>
                <w:rFonts w:hint="cs"/>
                <w:rtl/>
              </w:rPr>
              <w:t>201</w:t>
            </w:r>
            <w:r w:rsidR="00783D11">
              <w:rPr>
                <w:rFonts w:hint="cs"/>
                <w:rtl/>
              </w:rPr>
              <w:t>3</w:t>
            </w:r>
          </w:p>
        </w:tc>
      </w:tr>
    </w:tbl>
    <w:p w:rsidR="001E12A4" w:rsidRDefault="001E12A4" w:rsidP="001E12A4">
      <w:pPr>
        <w:bidi/>
        <w:spacing w:line="360" w:lineRule="exact"/>
        <w:rPr>
          <w:rFonts w:ascii="Arabic Typesetting" w:hAnsi="Arabic Typesetting" w:cs="Arabic Typesetting"/>
          <w:sz w:val="36"/>
          <w:szCs w:val="36"/>
          <w:rtl/>
        </w:rPr>
      </w:pPr>
    </w:p>
    <w:p w:rsidR="001E12A4" w:rsidRDefault="001E12A4" w:rsidP="001E12A4">
      <w:pPr>
        <w:bidi/>
        <w:spacing w:line="360" w:lineRule="exact"/>
        <w:rPr>
          <w:rFonts w:ascii="Arabic Typesetting" w:hAnsi="Arabic Typesetting" w:cs="Arabic Typesetting"/>
          <w:sz w:val="36"/>
          <w:szCs w:val="36"/>
          <w:rtl/>
        </w:rPr>
      </w:pPr>
    </w:p>
    <w:p w:rsidR="001E12A4" w:rsidRPr="00E7218F" w:rsidRDefault="00E7218F" w:rsidP="001E12A4">
      <w:pPr>
        <w:pStyle w:val="MeetingTitleAR"/>
        <w:bidi/>
        <w:rPr>
          <w:rtl/>
          <w:lang w:val="fr-CH"/>
        </w:rPr>
      </w:pPr>
      <w:r>
        <w:rPr>
          <w:rFonts w:hint="cs"/>
          <w:rtl/>
          <w:lang w:val="fr-CH"/>
        </w:rPr>
        <w:t>معاهدة قانون البراءات</w:t>
      </w:r>
    </w:p>
    <w:p w:rsidR="001E12A4" w:rsidRPr="0032494D" w:rsidRDefault="001E12A4" w:rsidP="0032494D">
      <w:pPr>
        <w:pStyle w:val="NormalParaAR"/>
        <w:rPr>
          <w:rtl/>
          <w:lang w:val="fr-CH"/>
        </w:rPr>
      </w:pPr>
    </w:p>
    <w:p w:rsidR="00E7218F" w:rsidRPr="0032494D" w:rsidRDefault="00E7218F" w:rsidP="0032494D">
      <w:pPr>
        <w:pStyle w:val="MeetingTitleAR"/>
        <w:bidi/>
        <w:rPr>
          <w:rtl/>
          <w:lang w:val="fr-CH"/>
        </w:rPr>
      </w:pPr>
      <w:r w:rsidRPr="0032494D">
        <w:rPr>
          <w:rFonts w:hint="cs"/>
          <w:rtl/>
          <w:lang w:val="fr-CH"/>
        </w:rPr>
        <w:t>الجمعية</w:t>
      </w:r>
    </w:p>
    <w:p w:rsidR="00E7218F" w:rsidRPr="0032494D" w:rsidRDefault="00E7218F" w:rsidP="0032494D">
      <w:pPr>
        <w:pStyle w:val="NormalParaAR"/>
        <w:rPr>
          <w:rtl/>
          <w:lang w:val="fr-CH"/>
        </w:rPr>
      </w:pPr>
    </w:p>
    <w:p w:rsidR="001E12A4" w:rsidRPr="00D61541" w:rsidRDefault="004D0A41" w:rsidP="00E7218F">
      <w:pPr>
        <w:pStyle w:val="MeetingSessionAR"/>
        <w:bidi/>
        <w:rPr>
          <w:rtl/>
        </w:rPr>
      </w:pPr>
      <w:r>
        <w:rPr>
          <w:rFonts w:hint="cs"/>
          <w:rtl/>
        </w:rPr>
        <w:t xml:space="preserve">الدورة </w:t>
      </w:r>
      <w:r w:rsidR="00E7218F">
        <w:rPr>
          <w:rFonts w:hint="cs"/>
          <w:rtl/>
        </w:rPr>
        <w:t>الحادية عشرة</w:t>
      </w:r>
      <w:r>
        <w:rPr>
          <w:rFonts w:hint="cs"/>
          <w:rtl/>
        </w:rPr>
        <w:t xml:space="preserve"> (الدورة العادية </w:t>
      </w:r>
      <w:r w:rsidR="00E7218F">
        <w:rPr>
          <w:rFonts w:hint="cs"/>
          <w:rtl/>
        </w:rPr>
        <w:t>الخامسة</w:t>
      </w:r>
      <w:r>
        <w:rPr>
          <w:rFonts w:hint="cs"/>
          <w:rtl/>
        </w:rPr>
        <w:t>)</w:t>
      </w:r>
    </w:p>
    <w:p w:rsidR="001E12A4" w:rsidRPr="00D61541" w:rsidRDefault="001E12A4" w:rsidP="001E12A4">
      <w:pPr>
        <w:pStyle w:val="MeetingDatesAR"/>
        <w:bidi/>
        <w:rPr>
          <w:rtl/>
        </w:rPr>
      </w:pPr>
      <w:r w:rsidRPr="00D61541">
        <w:rPr>
          <w:rFonts w:hint="cs"/>
          <w:rtl/>
        </w:rPr>
        <w:t xml:space="preserve">جنيف، من </w:t>
      </w:r>
      <w:r>
        <w:rPr>
          <w:rFonts w:hint="cs"/>
          <w:rtl/>
        </w:rPr>
        <w:t>23 سبتمبر إلى 2</w:t>
      </w:r>
      <w:r w:rsidRPr="00D61541">
        <w:rPr>
          <w:rFonts w:hint="cs"/>
          <w:rtl/>
        </w:rPr>
        <w:t xml:space="preserve"> أكتوبر </w:t>
      </w:r>
      <w:r>
        <w:rPr>
          <w:rFonts w:hint="cs"/>
          <w:rtl/>
        </w:rPr>
        <w:t>2013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4D0A41" w:rsidP="00FB7EC9">
      <w:pPr>
        <w:pStyle w:val="DocumentTitleAR"/>
        <w:bidi/>
        <w:rPr>
          <w:rtl/>
        </w:rPr>
      </w:pPr>
      <w:r>
        <w:rPr>
          <w:rFonts w:hint="cs"/>
          <w:rtl/>
        </w:rPr>
        <w:t>التقرير</w:t>
      </w:r>
    </w:p>
    <w:p w:rsidR="00D61541" w:rsidRPr="00D61541" w:rsidRDefault="00A07301" w:rsidP="00931859">
      <w:pPr>
        <w:pStyle w:val="PreparedbyAR"/>
        <w:bidi/>
        <w:rPr>
          <w:rtl/>
        </w:rPr>
      </w:pPr>
      <w:r>
        <w:rPr>
          <w:rFonts w:hint="cs"/>
          <w:rtl/>
        </w:rPr>
        <w:t>الذي اعتمدته الجمعية</w:t>
      </w:r>
    </w:p>
    <w:p w:rsidR="00D61541" w:rsidRPr="004D0A41" w:rsidRDefault="0032494D" w:rsidP="00A07301">
      <w:pPr>
        <w:pStyle w:val="NumberedParaAR"/>
      </w:pPr>
      <w:r>
        <w:rPr>
          <w:rFonts w:hint="cs"/>
          <w:rtl/>
        </w:rPr>
        <w:t>تناولت الجمعية</w:t>
      </w:r>
      <w:r w:rsidR="004D0A41">
        <w:rPr>
          <w:rFonts w:hint="cs"/>
          <w:rtl/>
        </w:rPr>
        <w:t xml:space="preserve"> البنود التالية </w:t>
      </w:r>
      <w:r w:rsidR="008732E1" w:rsidRPr="008732E1">
        <w:rPr>
          <w:rtl/>
        </w:rPr>
        <w:t>التي تعنيها</w:t>
      </w:r>
      <w:r w:rsidR="008732E1">
        <w:t xml:space="preserve"> </w:t>
      </w:r>
      <w:r w:rsidR="004D0A41">
        <w:rPr>
          <w:rFonts w:hint="cs"/>
          <w:rtl/>
        </w:rPr>
        <w:t xml:space="preserve">من جدول الأعمال الموحّد (الوثيقة </w:t>
      </w:r>
      <w:r w:rsidR="004D0A41">
        <w:t>A/51/1</w:t>
      </w:r>
      <w:r w:rsidR="004D0A41">
        <w:rPr>
          <w:rFonts w:hint="cs"/>
          <w:rtl/>
          <w:lang w:val="fr-CH"/>
        </w:rPr>
        <w:t xml:space="preserve">): 1 و2 و3 و4 و5 و6 و8 و11 و12 و13 و14 و15 و16 و19 و20 و21 و22 و23 </w:t>
      </w:r>
      <w:r w:rsidR="00E7218F">
        <w:rPr>
          <w:rFonts w:hint="cs"/>
          <w:rtl/>
          <w:lang w:val="fr-CH"/>
        </w:rPr>
        <w:t xml:space="preserve">و43 </w:t>
      </w:r>
      <w:r w:rsidR="004D0A41">
        <w:rPr>
          <w:rFonts w:hint="cs"/>
          <w:rtl/>
          <w:lang w:val="fr-CH"/>
        </w:rPr>
        <w:t>و47 و48.</w:t>
      </w:r>
    </w:p>
    <w:p w:rsidR="004D0A41" w:rsidRPr="00720232" w:rsidRDefault="004D0A41" w:rsidP="00A07301">
      <w:pPr>
        <w:pStyle w:val="NumberedParaAR"/>
      </w:pPr>
      <w:r>
        <w:rPr>
          <w:rFonts w:hint="cs"/>
          <w:rtl/>
        </w:rPr>
        <w:t>وترد التقارير الخاصة بالبنود المذكورة</w:t>
      </w:r>
      <w:r w:rsidR="00720232">
        <w:rPr>
          <w:rFonts w:hint="cs"/>
          <w:rtl/>
          <w:lang w:val="fr-CH"/>
        </w:rPr>
        <w:t>، فيما عدا البند 43،</w:t>
      </w:r>
      <w:r>
        <w:rPr>
          <w:rFonts w:hint="cs"/>
          <w:rtl/>
        </w:rPr>
        <w:t xml:space="preserve"> في التقرير العام (الوثيقة </w:t>
      </w:r>
      <w:r>
        <w:t>A/51/20</w:t>
      </w:r>
      <w:r>
        <w:rPr>
          <w:rFonts w:hint="cs"/>
          <w:rtl/>
          <w:lang w:val="fr-CH"/>
        </w:rPr>
        <w:t>).</w:t>
      </w:r>
    </w:p>
    <w:p w:rsidR="00720232" w:rsidRPr="004D0A41" w:rsidRDefault="00720232" w:rsidP="004D0A41">
      <w:pPr>
        <w:pStyle w:val="NumberedParaAR"/>
      </w:pPr>
      <w:r>
        <w:rPr>
          <w:rFonts w:hint="cs"/>
          <w:rtl/>
        </w:rPr>
        <w:t>ويرد التقرير الخاص بالبند 43 في هذه الوثيقة.</w:t>
      </w:r>
    </w:p>
    <w:p w:rsidR="004D0A41" w:rsidRDefault="004D0A41" w:rsidP="00FC605D">
      <w:pPr>
        <w:pStyle w:val="NumberedParaAR"/>
        <w:rPr>
          <w:rtl/>
        </w:rPr>
      </w:pPr>
      <w:r>
        <w:rPr>
          <w:rFonts w:hint="cs"/>
          <w:rtl/>
        </w:rPr>
        <w:t xml:space="preserve">وانتخب السيد </w:t>
      </w:r>
      <w:r w:rsidR="00E7218F" w:rsidRPr="00E7218F">
        <w:rPr>
          <w:rtl/>
        </w:rPr>
        <w:t xml:space="preserve">إميل </w:t>
      </w:r>
      <w:proofErr w:type="spellStart"/>
      <w:r w:rsidR="00E7218F" w:rsidRPr="00E7218F">
        <w:rPr>
          <w:rtl/>
        </w:rPr>
        <w:t>زاتكولياك</w:t>
      </w:r>
      <w:proofErr w:type="spellEnd"/>
      <w:r w:rsidR="00E7218F" w:rsidRPr="00E7218F">
        <w:rPr>
          <w:rtl/>
        </w:rPr>
        <w:t xml:space="preserve"> </w:t>
      </w:r>
      <w:r w:rsidRPr="004D0A41">
        <w:rPr>
          <w:rtl/>
        </w:rPr>
        <w:t>(</w:t>
      </w:r>
      <w:r w:rsidR="00E7218F">
        <w:rPr>
          <w:rFonts w:hint="cs"/>
          <w:rtl/>
        </w:rPr>
        <w:t>سلوفاكيا</w:t>
      </w:r>
      <w:r w:rsidRPr="004D0A41">
        <w:rPr>
          <w:rtl/>
        </w:rPr>
        <w:t>)</w:t>
      </w:r>
      <w:r>
        <w:rPr>
          <w:rFonts w:hint="cs"/>
          <w:rtl/>
        </w:rPr>
        <w:t xml:space="preserve"> رئيسا </w:t>
      </w:r>
      <w:r w:rsidR="00E7218F">
        <w:rPr>
          <w:rFonts w:hint="cs"/>
          <w:rtl/>
        </w:rPr>
        <w:t>للجم</w:t>
      </w:r>
      <w:r w:rsidR="00FC605D">
        <w:rPr>
          <w:rFonts w:hint="cs"/>
          <w:rtl/>
        </w:rPr>
        <w:t>ع</w:t>
      </w:r>
      <w:r w:rsidR="00E7218F">
        <w:rPr>
          <w:rFonts w:hint="cs"/>
          <w:rtl/>
        </w:rPr>
        <w:t>ية</w:t>
      </w:r>
      <w:r>
        <w:rPr>
          <w:rFonts w:hint="cs"/>
          <w:rtl/>
        </w:rPr>
        <w:t xml:space="preserve">؛ وانتخب السيد </w:t>
      </w:r>
      <w:proofErr w:type="spellStart"/>
      <w:r w:rsidR="00E7218F">
        <w:rPr>
          <w:rFonts w:hint="cs"/>
          <w:rtl/>
        </w:rPr>
        <w:t>وجسيش</w:t>
      </w:r>
      <w:proofErr w:type="spellEnd"/>
      <w:r w:rsidR="00E7218F">
        <w:rPr>
          <w:rFonts w:hint="cs"/>
          <w:rtl/>
        </w:rPr>
        <w:t xml:space="preserve"> </w:t>
      </w:r>
      <w:proofErr w:type="spellStart"/>
      <w:r w:rsidR="00E7218F">
        <w:rPr>
          <w:rFonts w:hint="cs"/>
          <w:rtl/>
        </w:rPr>
        <w:t>بياتكوفيسك</w:t>
      </w:r>
      <w:proofErr w:type="spellEnd"/>
      <w:r>
        <w:rPr>
          <w:rFonts w:hint="cs"/>
          <w:rtl/>
        </w:rPr>
        <w:t xml:space="preserve"> (</w:t>
      </w:r>
      <w:r w:rsidR="00E7218F">
        <w:rPr>
          <w:rFonts w:hint="cs"/>
          <w:rtl/>
        </w:rPr>
        <w:t>بولندا</w:t>
      </w:r>
      <w:r>
        <w:rPr>
          <w:rFonts w:hint="cs"/>
          <w:rtl/>
        </w:rPr>
        <w:t>) والسيد</w:t>
      </w:r>
      <w:r w:rsidR="00E7218F">
        <w:rPr>
          <w:rFonts w:hint="eastAsia"/>
          <w:rtl/>
        </w:rPr>
        <w:t> </w:t>
      </w:r>
      <w:proofErr w:type="spellStart"/>
      <w:r w:rsidRPr="004D0A41">
        <w:rPr>
          <w:rtl/>
        </w:rPr>
        <w:t>غريغا</w:t>
      </w:r>
      <w:proofErr w:type="spellEnd"/>
      <w:r w:rsidRPr="004D0A41">
        <w:rPr>
          <w:rtl/>
        </w:rPr>
        <w:t xml:space="preserve"> </w:t>
      </w:r>
      <w:proofErr w:type="spellStart"/>
      <w:r w:rsidRPr="004D0A41">
        <w:rPr>
          <w:rtl/>
        </w:rPr>
        <w:t>كومير</w:t>
      </w:r>
      <w:proofErr w:type="spellEnd"/>
      <w:r>
        <w:rPr>
          <w:rFonts w:hint="cs"/>
          <w:rtl/>
        </w:rPr>
        <w:t xml:space="preserve"> (المملكة المتحدة)</w:t>
      </w:r>
      <w:r>
        <w:rPr>
          <w:rFonts w:hint="cs"/>
          <w:rtl/>
          <w:lang w:val="fr-CH"/>
        </w:rPr>
        <w:t xml:space="preserve"> نائبين للرئيس.</w:t>
      </w:r>
    </w:p>
    <w:p w:rsidR="00A07301" w:rsidRDefault="00A07301">
      <w:pPr>
        <w:rPr>
          <w:rFonts w:ascii="Arabic Typesetting" w:hAnsi="Arabic Typesetting" w:cs="Arabic Typesetting"/>
          <w:sz w:val="40"/>
          <w:szCs w:val="40"/>
          <w:rtl/>
        </w:rPr>
      </w:pPr>
      <w:r>
        <w:rPr>
          <w:sz w:val="40"/>
          <w:szCs w:val="40"/>
          <w:rtl/>
        </w:rPr>
        <w:br w:type="page"/>
      </w:r>
    </w:p>
    <w:p w:rsidR="002F77FC" w:rsidRPr="00E7218F" w:rsidRDefault="00E7218F" w:rsidP="00774DEF">
      <w:pPr>
        <w:pStyle w:val="NormalParaAR"/>
        <w:spacing w:before="480" w:after="0"/>
        <w:rPr>
          <w:sz w:val="40"/>
          <w:szCs w:val="40"/>
          <w:rtl/>
        </w:rPr>
      </w:pPr>
      <w:bookmarkStart w:id="2" w:name="_GoBack"/>
      <w:bookmarkEnd w:id="2"/>
      <w:r w:rsidRPr="00E7218F">
        <w:rPr>
          <w:rFonts w:hint="cs"/>
          <w:sz w:val="40"/>
          <w:szCs w:val="40"/>
          <w:rtl/>
        </w:rPr>
        <w:lastRenderedPageBreak/>
        <w:t>البند 43 من جدول الأعمال الموحّد</w:t>
      </w:r>
    </w:p>
    <w:p w:rsidR="00E7218F" w:rsidRPr="00E7218F" w:rsidRDefault="00E7218F" w:rsidP="007F38D1">
      <w:pPr>
        <w:pStyle w:val="NormalParaAR"/>
        <w:rPr>
          <w:sz w:val="40"/>
          <w:szCs w:val="40"/>
          <w:rtl/>
        </w:rPr>
      </w:pPr>
      <w:r>
        <w:rPr>
          <w:rFonts w:hint="cs"/>
          <w:sz w:val="40"/>
          <w:szCs w:val="40"/>
          <w:rtl/>
        </w:rPr>
        <w:t>جمعية معاهدة قانون ال</w:t>
      </w:r>
      <w:r w:rsidRPr="00E7218F">
        <w:rPr>
          <w:rFonts w:hint="cs"/>
          <w:sz w:val="40"/>
          <w:szCs w:val="40"/>
          <w:rtl/>
        </w:rPr>
        <w:t>براءات</w:t>
      </w:r>
    </w:p>
    <w:p w:rsidR="00911A07" w:rsidRDefault="00911A07" w:rsidP="0040071C">
      <w:pPr>
        <w:pStyle w:val="NumberedParaAR"/>
      </w:pPr>
      <w:r>
        <w:rPr>
          <w:rFonts w:hint="cs"/>
          <w:rtl/>
        </w:rPr>
        <w:t xml:space="preserve">استند النقاش إلى الوثيقة </w:t>
      </w:r>
      <w:r w:rsidRPr="0040071C">
        <w:t>PLT/A/11/1</w:t>
      </w:r>
      <w:r w:rsidRPr="0040071C">
        <w:rPr>
          <w:rtl/>
        </w:rPr>
        <w:t>.</w:t>
      </w:r>
    </w:p>
    <w:p w:rsidR="00911A07" w:rsidRDefault="00911A07" w:rsidP="00837C21">
      <w:pPr>
        <w:pStyle w:val="NumberedParaAR"/>
      </w:pPr>
      <w:r>
        <w:rPr>
          <w:rFonts w:hint="cs"/>
          <w:rtl/>
        </w:rPr>
        <w:t>ورحب الرئيس بالأطراف المتعاقدة الجديدة التي انضمت إلى معاهدة قانون البراءات أو صدقت عليها منذ الجمعية الماضية وهي أرمينيا والسعودية وإسبانيا والولايات المتحدة الأمريكية.</w:t>
      </w:r>
    </w:p>
    <w:p w:rsidR="00911A07" w:rsidRDefault="00911A07" w:rsidP="00C25EE8">
      <w:pPr>
        <w:pStyle w:val="NumberedParaAR"/>
      </w:pPr>
      <w:r>
        <w:rPr>
          <w:rFonts w:hint="cs"/>
          <w:rtl/>
        </w:rPr>
        <w:t xml:space="preserve">وأشارت الأمانة إلى أنه </w:t>
      </w:r>
      <w:r w:rsidRPr="00837C21">
        <w:rPr>
          <w:rtl/>
        </w:rPr>
        <w:t xml:space="preserve">عملاً بالمادة 16 من معاهدة قانون البراءات والبيانات المتفق عليها بخصوص المعاهدة، يتعيّن على جمعية المعاهدة أن تبت في وجوب تطبيق التعديلات التي أدخلت على معاهدة التعاون بشأن البراءات ولائحتها التنفيذية وتعليماتها </w:t>
      </w:r>
      <w:r>
        <w:rPr>
          <w:rFonts w:hint="cs"/>
          <w:rtl/>
        </w:rPr>
        <w:t xml:space="preserve">الإدارية أو عدم تطبيقها لأغراض معاهدة قانون البراءات. وتحتوي الوثيقة </w:t>
      </w:r>
      <w:r w:rsidRPr="00467A8D">
        <w:t>PLT/A/11/1</w:t>
      </w:r>
      <w:r w:rsidRPr="00467A8D">
        <w:rPr>
          <w:rtl/>
        </w:rPr>
        <w:t xml:space="preserve"> </w:t>
      </w:r>
      <w:r>
        <w:rPr>
          <w:rFonts w:hint="cs"/>
          <w:rtl/>
        </w:rPr>
        <w:t xml:space="preserve">على معلومات تتعلق بالتغييرات والتعديلات التي أدخلت بموجب معاهدة التعاون بشأن البراءات بين يونيو 2010 ويناير 2013 والتي يعتبرها المكتب الدولي وجيهة لبعض أحكام معاهدة قانون البراءات. وورد في الوثيقة تعديلات اقترحها المكتب الدولي في </w:t>
      </w:r>
      <w:r w:rsidRPr="00467A8D">
        <w:rPr>
          <w:rtl/>
        </w:rPr>
        <w:t xml:space="preserve">استمارة </w:t>
      </w:r>
      <w:r>
        <w:rPr>
          <w:rFonts w:hint="cs"/>
          <w:rtl/>
        </w:rPr>
        <w:t>العريضة</w:t>
      </w:r>
      <w:r w:rsidRPr="00837C21">
        <w:rPr>
          <w:rtl/>
        </w:rPr>
        <w:t xml:space="preserve"> الدولية</w:t>
      </w:r>
      <w:r w:rsidRPr="00467A8D">
        <w:rPr>
          <w:rtl/>
        </w:rPr>
        <w:t xml:space="preserve"> النموذجية لمعاهدة قانون البراءات</w:t>
      </w:r>
      <w:r w:rsidRPr="00837C21">
        <w:rPr>
          <w:rtl/>
        </w:rPr>
        <w:t xml:space="preserve"> بغية تطويع استمارة العريضة</w:t>
      </w:r>
      <w:r>
        <w:rPr>
          <w:rtl/>
        </w:rPr>
        <w:t xml:space="preserve"> الدولية النموذجية </w:t>
      </w:r>
      <w:r>
        <w:rPr>
          <w:rFonts w:hint="cs"/>
          <w:rtl/>
        </w:rPr>
        <w:t>و</w:t>
      </w:r>
      <w:r w:rsidRPr="00837C21">
        <w:rPr>
          <w:rtl/>
        </w:rPr>
        <w:t>استمارة ط</w:t>
      </w:r>
      <w:r>
        <w:rPr>
          <w:rtl/>
        </w:rPr>
        <w:t>لب معاهدة التعاون بشأن البراءات</w:t>
      </w:r>
      <w:r>
        <w:rPr>
          <w:rFonts w:hint="cs"/>
          <w:rtl/>
        </w:rPr>
        <w:t>. وأحاطت الأمانة علماً بأن جمعية معاهدة قانون البراءات مدعوة إلى اعتماد</w:t>
      </w:r>
      <w:r w:rsidRPr="00475966">
        <w:rPr>
          <w:rtl/>
        </w:rPr>
        <w:t xml:space="preserve"> استمارة </w:t>
      </w:r>
      <w:r>
        <w:rPr>
          <w:rFonts w:hint="cs"/>
          <w:rtl/>
        </w:rPr>
        <w:t>العريضة</w:t>
      </w:r>
      <w:r w:rsidRPr="00475966">
        <w:rPr>
          <w:rtl/>
        </w:rPr>
        <w:t xml:space="preserve"> </w:t>
      </w:r>
      <w:r w:rsidRPr="00C25EE8">
        <w:rPr>
          <w:rtl/>
        </w:rPr>
        <w:t xml:space="preserve">الدولية </w:t>
      </w:r>
      <w:r w:rsidRPr="00475966">
        <w:rPr>
          <w:rtl/>
        </w:rPr>
        <w:t>النموذجية لمعاهدة قانون البراءات</w:t>
      </w:r>
      <w:r>
        <w:rPr>
          <w:rFonts w:hint="cs"/>
          <w:rtl/>
        </w:rPr>
        <w:t xml:space="preserve"> المعدّلة وقررت أن التعديلات في معاهدة التعاون بشأن البراءات كما وردت في الوثيقة تنطبق لأغراض معاهدة قانون البراءات فوراً.</w:t>
      </w:r>
    </w:p>
    <w:p w:rsidR="00911A07" w:rsidRDefault="00911A07" w:rsidP="005E5925">
      <w:pPr>
        <w:pStyle w:val="NumberedParaAR"/>
        <w:ind w:left="567"/>
      </w:pPr>
      <w:r w:rsidRPr="00475966">
        <w:rPr>
          <w:rtl/>
        </w:rPr>
        <w:t>إن جمعية معاهدة قانون البراءات</w:t>
      </w:r>
      <w:r>
        <w:rPr>
          <w:rFonts w:hint="cs"/>
          <w:rtl/>
        </w:rPr>
        <w:t>:</w:t>
      </w:r>
    </w:p>
    <w:p w:rsidR="00911A07" w:rsidRDefault="00911A07" w:rsidP="00911A07">
      <w:pPr>
        <w:pStyle w:val="NumberedParaAR"/>
        <w:numPr>
          <w:ilvl w:val="0"/>
          <w:numId w:val="0"/>
        </w:numPr>
        <w:ind w:left="1134"/>
        <w:rPr>
          <w:rtl/>
        </w:rPr>
      </w:pPr>
      <w:r>
        <w:rPr>
          <w:rtl/>
        </w:rPr>
        <w:t>"1"</w:t>
      </w:r>
      <w:r>
        <w:rPr>
          <w:rFonts w:hint="cs"/>
          <w:rtl/>
        </w:rPr>
        <w:tab/>
        <w:t>ا</w:t>
      </w:r>
      <w:r>
        <w:rPr>
          <w:rtl/>
        </w:rPr>
        <w:t>عتمد</w:t>
      </w:r>
      <w:r>
        <w:rPr>
          <w:rFonts w:hint="cs"/>
          <w:rtl/>
        </w:rPr>
        <w:t>ت</w:t>
      </w:r>
      <w:r>
        <w:rPr>
          <w:rtl/>
        </w:rPr>
        <w:t xml:space="preserve"> استمارة العريضة الدولية النموذ</w:t>
      </w:r>
      <w:r w:rsidR="00B4244E">
        <w:rPr>
          <w:rtl/>
        </w:rPr>
        <w:t xml:space="preserve">جية المعدّلة كما هي واردة في </w:t>
      </w:r>
      <w:r w:rsidR="00B4244E">
        <w:rPr>
          <w:rFonts w:hint="cs"/>
          <w:rtl/>
        </w:rPr>
        <w:t>م</w:t>
      </w:r>
      <w:r>
        <w:rPr>
          <w:rtl/>
        </w:rPr>
        <w:t>رفق</w:t>
      </w:r>
      <w:r w:rsidR="00B4244E">
        <w:rPr>
          <w:rFonts w:hint="cs"/>
          <w:rtl/>
        </w:rPr>
        <w:t xml:space="preserve"> الوثيقة </w:t>
      </w:r>
      <w:r w:rsidR="00B4244E">
        <w:t>PLT/A/11/1</w:t>
      </w:r>
      <w:r>
        <w:rPr>
          <w:rtl/>
        </w:rPr>
        <w:t>، وقرّر</w:t>
      </w:r>
      <w:r>
        <w:rPr>
          <w:rFonts w:hint="cs"/>
          <w:rtl/>
        </w:rPr>
        <w:t>ت</w:t>
      </w:r>
      <w:r>
        <w:rPr>
          <w:rtl/>
        </w:rPr>
        <w:t xml:space="preserve"> دخولها حيز</w:t>
      </w:r>
      <w:r>
        <w:rPr>
          <w:rFonts w:hint="cs"/>
          <w:rtl/>
        </w:rPr>
        <w:t> </w:t>
      </w:r>
      <w:r>
        <w:rPr>
          <w:rtl/>
        </w:rPr>
        <w:t>النفاذ</w:t>
      </w:r>
      <w:r>
        <w:t> </w:t>
      </w:r>
      <w:r>
        <w:rPr>
          <w:rtl/>
        </w:rPr>
        <w:t>فورا</w:t>
      </w:r>
      <w:r>
        <w:rPr>
          <w:rFonts w:hint="cs"/>
          <w:rtl/>
        </w:rPr>
        <w:t>ً</w:t>
      </w:r>
      <w:r>
        <w:rPr>
          <w:rtl/>
        </w:rPr>
        <w:t>،</w:t>
      </w:r>
    </w:p>
    <w:p w:rsidR="00911A07" w:rsidRDefault="00911A07" w:rsidP="00B4244E">
      <w:pPr>
        <w:pStyle w:val="NumberedParaAR"/>
        <w:numPr>
          <w:ilvl w:val="0"/>
          <w:numId w:val="0"/>
        </w:numPr>
        <w:ind w:left="1134"/>
        <w:rPr>
          <w:rtl/>
        </w:rPr>
      </w:pPr>
      <w:r>
        <w:rPr>
          <w:rtl/>
        </w:rPr>
        <w:t>"2"</w:t>
      </w:r>
      <w:r>
        <w:rPr>
          <w:rFonts w:hint="cs"/>
          <w:rtl/>
        </w:rPr>
        <w:tab/>
      </w:r>
      <w:r>
        <w:rPr>
          <w:rtl/>
        </w:rPr>
        <w:t>وقرّر</w:t>
      </w:r>
      <w:r>
        <w:rPr>
          <w:rFonts w:hint="cs"/>
          <w:rtl/>
        </w:rPr>
        <w:t>ت</w:t>
      </w:r>
      <w:r>
        <w:rPr>
          <w:rtl/>
        </w:rPr>
        <w:t xml:space="preserve"> تطبيق التعديلات المدخلة على التعليمات الإدارية لمعاهدة التعاون بشأن البراءات، المبيّنة في الوثيقة</w:t>
      </w:r>
      <w:r w:rsidR="00B4244E">
        <w:rPr>
          <w:rFonts w:hint="cs"/>
          <w:rtl/>
        </w:rPr>
        <w:t xml:space="preserve"> </w:t>
      </w:r>
      <w:r w:rsidR="00B4244E">
        <w:t>PLT/A/11/1</w:t>
      </w:r>
      <w:r>
        <w:rPr>
          <w:rtl/>
        </w:rPr>
        <w:t>، لأغراض معاهدة قانون البراءات ولائحتها التنفيذية فورا</w:t>
      </w:r>
      <w:r>
        <w:rPr>
          <w:rFonts w:hint="cs"/>
          <w:rtl/>
        </w:rPr>
        <w:t>ً</w:t>
      </w:r>
      <w:r>
        <w:rPr>
          <w:rtl/>
        </w:rPr>
        <w:t>.</w:t>
      </w:r>
    </w:p>
    <w:p w:rsidR="00911A07" w:rsidRDefault="00911A07" w:rsidP="007F38D1">
      <w:pPr>
        <w:pStyle w:val="NormalParaAR"/>
        <w:rPr>
          <w:rtl/>
        </w:rPr>
      </w:pPr>
    </w:p>
    <w:p w:rsidR="001667B6" w:rsidRDefault="00E7218F" w:rsidP="00911A07">
      <w:pPr>
        <w:pStyle w:val="EndofDocumentAR"/>
      </w:pPr>
      <w:r>
        <w:rPr>
          <w:rFonts w:hint="cs"/>
          <w:rtl/>
        </w:rPr>
        <w:t>[نهاية الوثيقة]</w:t>
      </w:r>
    </w:p>
    <w:p w:rsidR="00911A07" w:rsidRPr="00F62866" w:rsidRDefault="00911A07" w:rsidP="00911A07">
      <w:pPr>
        <w:pStyle w:val="NormalParaAR"/>
      </w:pPr>
    </w:p>
    <w:sectPr w:rsidR="00911A07" w:rsidRPr="00F62866"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A41" w:rsidRDefault="004D0A41">
      <w:r>
        <w:separator/>
      </w:r>
    </w:p>
  </w:endnote>
  <w:endnote w:type="continuationSeparator" w:id="0">
    <w:p w:rsidR="004D0A41" w:rsidRDefault="004D0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A41" w:rsidRDefault="004D0A41" w:rsidP="009622BF">
      <w:pPr>
        <w:bidi/>
      </w:pPr>
      <w:bookmarkStart w:id="0" w:name="OLE_LINK1"/>
      <w:bookmarkStart w:id="1" w:name="OLE_LINK2"/>
      <w:r>
        <w:separator/>
      </w:r>
      <w:bookmarkEnd w:id="0"/>
      <w:bookmarkEnd w:id="1"/>
    </w:p>
  </w:footnote>
  <w:footnote w:type="continuationSeparator" w:id="0">
    <w:p w:rsidR="004D0A41" w:rsidRDefault="004D0A41"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41" w:rsidRDefault="00E7218F" w:rsidP="00A07301">
    <w:proofErr w:type="spellStart"/>
    <w:r>
      <w:t>PLT</w:t>
    </w:r>
    <w:proofErr w:type="spellEnd"/>
    <w:r w:rsidR="00F62866">
      <w:t>/</w:t>
    </w:r>
    <w:r>
      <w:t>A</w:t>
    </w:r>
    <w:r w:rsidR="00F62866">
      <w:t>/</w:t>
    </w:r>
    <w:r>
      <w:t>11</w:t>
    </w:r>
    <w:r w:rsidR="00F62866">
      <w:t>/</w:t>
    </w:r>
    <w:r w:rsidR="0095394C">
      <w:t>2</w:t>
    </w:r>
  </w:p>
  <w:p w:rsidR="004D0A41" w:rsidRDefault="004D0A41" w:rsidP="00D61541">
    <w:r>
      <w:fldChar w:fldCharType="begin"/>
    </w:r>
    <w:r>
      <w:instrText xml:space="preserve"> PAGE  \* MERGEFORMAT </w:instrText>
    </w:r>
    <w:r>
      <w:fldChar w:fldCharType="separate"/>
    </w:r>
    <w:r w:rsidR="00595F4F">
      <w:rPr>
        <w:noProof/>
      </w:rPr>
      <w:t>2</w:t>
    </w:r>
    <w:r>
      <w:fldChar w:fldCharType="end"/>
    </w:r>
  </w:p>
  <w:p w:rsidR="004D0A41" w:rsidRDefault="004D0A41"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87C"/>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0D4"/>
    <w:rsid w:val="0001645D"/>
    <w:rsid w:val="00017A43"/>
    <w:rsid w:val="0002157B"/>
    <w:rsid w:val="00023101"/>
    <w:rsid w:val="0002407C"/>
    <w:rsid w:val="0002476F"/>
    <w:rsid w:val="00024E17"/>
    <w:rsid w:val="000258DB"/>
    <w:rsid w:val="000259E5"/>
    <w:rsid w:val="0002738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258"/>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2A4"/>
    <w:rsid w:val="001E175F"/>
    <w:rsid w:val="001E19F7"/>
    <w:rsid w:val="001E2669"/>
    <w:rsid w:val="001E3FB9"/>
    <w:rsid w:val="001E4083"/>
    <w:rsid w:val="001E5588"/>
    <w:rsid w:val="001E56CB"/>
    <w:rsid w:val="001E56FC"/>
    <w:rsid w:val="001E582D"/>
    <w:rsid w:val="001E6318"/>
    <w:rsid w:val="001E6891"/>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494D"/>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31D"/>
    <w:rsid w:val="003D37D4"/>
    <w:rsid w:val="003D47A7"/>
    <w:rsid w:val="003D56B5"/>
    <w:rsid w:val="003D5DCC"/>
    <w:rsid w:val="003D6B84"/>
    <w:rsid w:val="003D7955"/>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A41"/>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0795"/>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5F4F"/>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4D71"/>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161"/>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232"/>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4DEF"/>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3869"/>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2E1"/>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1A07"/>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387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394C"/>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301"/>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44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2DE1"/>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18F"/>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866"/>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6ABC"/>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05D"/>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A_51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A_51_AR.dotx</Template>
  <TotalTime>21</TotalTime>
  <Pages>2</Pages>
  <Words>338</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PLT/A/11/1 PROV. (Arabic)</vt:lpstr>
    </vt:vector>
  </TitlesOfParts>
  <Company>World Intellectual Property Organization</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PLT/A/11/1 PROV. (Arabic)</dc:title>
  <dc:subject>مشروع التقرير</dc:subject>
  <dc:creator>من إعداد الأمانة</dc:creator>
  <cp:lastModifiedBy>AHMIDOUCH Noureddine</cp:lastModifiedBy>
  <cp:revision>18</cp:revision>
  <cp:lastPrinted>2013-12-18T10:15:00Z</cp:lastPrinted>
  <dcterms:created xsi:type="dcterms:W3CDTF">2013-09-25T15:51:00Z</dcterms:created>
  <dcterms:modified xsi:type="dcterms:W3CDTF">2013-12-18T10:15:00Z</dcterms:modified>
</cp:coreProperties>
</file>