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D1FA3" w:rsidP="002B73F0">
      <w:pPr>
        <w:bidi w:val="0"/>
        <w:rPr>
          <w:rFonts w:ascii="Arial Black" w:hAnsi="Arial Black"/>
          <w:caps/>
          <w:sz w:val="15"/>
          <w:szCs w:val="15"/>
        </w:rPr>
      </w:pPr>
      <w:bookmarkStart w:id="1" w:name="Code"/>
      <w:bookmarkEnd w:id="1"/>
      <w:r>
        <w:rPr>
          <w:rFonts w:ascii="Arial Black" w:hAnsi="Arial Black"/>
          <w:caps/>
          <w:sz w:val="15"/>
          <w:szCs w:val="15"/>
        </w:rPr>
        <w:t>PCT/A/53/</w:t>
      </w:r>
      <w:r>
        <w:rPr>
          <w:rFonts w:ascii="Arial Black" w:hAnsi="Arial Black" w:hint="cs"/>
          <w:caps/>
          <w:sz w:val="15"/>
          <w:szCs w:val="15"/>
          <w:rtl/>
        </w:rPr>
        <w:t>2</w:t>
      </w:r>
    </w:p>
    <w:p w:rsidR="008B2CC1" w:rsidRPr="00900085" w:rsidRDefault="00CC3E2D" w:rsidP="00CC3E2D">
      <w:pPr>
        <w:jc w:val="right"/>
        <w:rPr>
          <w:rFonts w:asciiTheme="minorHAnsi" w:hAnsiTheme="minorHAnsi" w:cstheme="minorHAnsi"/>
          <w:b/>
          <w:bCs/>
          <w:caps/>
          <w:sz w:val="15"/>
          <w:szCs w:val="15"/>
        </w:rPr>
      </w:pPr>
      <w:bookmarkStart w:id="2" w:name="Original"/>
      <w:r w:rsidRPr="00900085">
        <w:rPr>
          <w:rFonts w:asciiTheme="minorHAnsi" w:hAnsiTheme="minorHAnsi" w:cstheme="minorHAnsi" w:hint="cs"/>
          <w:b/>
          <w:bCs/>
          <w:caps/>
          <w:sz w:val="15"/>
          <w:szCs w:val="15"/>
          <w:rtl/>
        </w:rPr>
        <w:t xml:space="preserve">الأصل: </w:t>
      </w:r>
      <w:r w:rsidR="002B73F0" w:rsidRPr="00900085">
        <w:rPr>
          <w:rFonts w:asciiTheme="minorHAnsi" w:hAnsiTheme="minorHAnsi" w:cstheme="minorHAnsi" w:hint="cs"/>
          <w:b/>
          <w:bCs/>
          <w:caps/>
          <w:sz w:val="15"/>
          <w:szCs w:val="15"/>
          <w:rtl/>
        </w:rPr>
        <w:t>بالإنكليزية</w:t>
      </w:r>
    </w:p>
    <w:p w:rsidR="008B2CC1" w:rsidRPr="00900085" w:rsidRDefault="00CC3E2D" w:rsidP="00CC3E2D">
      <w:pPr>
        <w:spacing w:after="1200"/>
        <w:jc w:val="right"/>
        <w:rPr>
          <w:rFonts w:asciiTheme="minorHAnsi" w:hAnsiTheme="minorHAnsi" w:cstheme="minorHAnsi"/>
          <w:b/>
          <w:bCs/>
          <w:caps/>
          <w:sz w:val="15"/>
          <w:szCs w:val="15"/>
        </w:rPr>
      </w:pPr>
      <w:bookmarkStart w:id="3" w:name="Date"/>
      <w:bookmarkEnd w:id="2"/>
      <w:r w:rsidRPr="00900085">
        <w:rPr>
          <w:rFonts w:asciiTheme="minorHAnsi" w:hAnsiTheme="minorHAnsi" w:cstheme="minorHAnsi" w:hint="cs"/>
          <w:b/>
          <w:bCs/>
          <w:caps/>
          <w:sz w:val="15"/>
          <w:szCs w:val="15"/>
          <w:rtl/>
        </w:rPr>
        <w:t xml:space="preserve">التاريخ: </w:t>
      </w:r>
      <w:r w:rsidR="002B73F0" w:rsidRPr="00900085">
        <w:rPr>
          <w:rFonts w:asciiTheme="minorHAnsi" w:hAnsiTheme="minorHAnsi" w:cstheme="minorHAnsi" w:hint="cs"/>
          <w:b/>
          <w:bCs/>
          <w:caps/>
          <w:sz w:val="15"/>
          <w:szCs w:val="15"/>
          <w:rtl/>
        </w:rPr>
        <w:t>2 يوليو 2021</w:t>
      </w:r>
    </w:p>
    <w:bookmarkEnd w:id="3"/>
    <w:p w:rsidR="008B2CC1" w:rsidRDefault="00EF65E4" w:rsidP="0019592A">
      <w:pPr>
        <w:pStyle w:val="Heading1"/>
        <w:rPr>
          <w:rtl/>
          <w:lang w:bidi="ar-SY"/>
        </w:rPr>
      </w:pPr>
      <w:r>
        <w:rPr>
          <w:rFonts w:hint="cs"/>
          <w:rtl/>
          <w:lang w:bidi="ar-SY"/>
        </w:rPr>
        <w:t>اتحاد معاهدة التعاون بشأن البراءات</w:t>
      </w:r>
    </w:p>
    <w:p w:rsidR="00EF65E4" w:rsidRPr="00EF65E4" w:rsidRDefault="00EF65E4" w:rsidP="00EF65E4">
      <w:pPr>
        <w:rPr>
          <w:b/>
          <w:bCs/>
          <w:sz w:val="32"/>
          <w:szCs w:val="32"/>
          <w:rtl/>
          <w:lang w:bidi="ar-SY"/>
        </w:rPr>
      </w:pPr>
      <w:r w:rsidRPr="00EF65E4">
        <w:rPr>
          <w:rFonts w:hint="cs"/>
          <w:b/>
          <w:bCs/>
          <w:sz w:val="32"/>
          <w:szCs w:val="32"/>
          <w:rtl/>
          <w:lang w:bidi="ar-SY"/>
        </w:rPr>
        <w:t>الجمعية</w:t>
      </w:r>
    </w:p>
    <w:p w:rsidR="00EF65E4" w:rsidRPr="00EF65E4" w:rsidRDefault="00EF65E4" w:rsidP="00EF65E4">
      <w:pPr>
        <w:rPr>
          <w:b/>
          <w:bCs/>
          <w:rtl/>
          <w:lang w:bidi="ar-SY"/>
        </w:rPr>
      </w:pPr>
    </w:p>
    <w:p w:rsidR="00A90F0A" w:rsidRPr="00D67EAE" w:rsidRDefault="00D67EAE" w:rsidP="00EF65E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EF65E4">
        <w:rPr>
          <w:rFonts w:asciiTheme="minorHAnsi" w:hAnsiTheme="minorHAnsi" w:cstheme="minorHAnsi" w:hint="cs"/>
          <w:bCs/>
          <w:sz w:val="24"/>
          <w:szCs w:val="24"/>
          <w:rtl/>
        </w:rPr>
        <w:t>الثالثة والخمسون</w:t>
      </w:r>
      <w:r w:rsidR="009A5ED7">
        <w:rPr>
          <w:rFonts w:asciiTheme="minorHAnsi" w:hAnsiTheme="minorHAnsi" w:cstheme="minorHAnsi" w:hint="cs"/>
          <w:bCs/>
          <w:sz w:val="24"/>
          <w:szCs w:val="24"/>
          <w:rtl/>
        </w:rPr>
        <w:t xml:space="preserve"> (الدورة العادية </w:t>
      </w:r>
      <w:r w:rsidR="00EF65E4">
        <w:rPr>
          <w:rFonts w:asciiTheme="minorHAnsi" w:hAnsiTheme="minorHAnsi" w:cstheme="minorHAnsi" w:hint="cs"/>
          <w:bCs/>
          <w:sz w:val="24"/>
          <w:szCs w:val="24"/>
          <w:rtl/>
        </w:rPr>
        <w:t>الثالثة والعشرين</w:t>
      </w:r>
      <w:r w:rsidR="009A5ED7">
        <w:rPr>
          <w:rFonts w:asciiTheme="minorHAnsi" w:hAnsiTheme="minorHAnsi" w:cstheme="minorHAnsi" w:hint="cs"/>
          <w:bCs/>
          <w:sz w:val="24"/>
          <w:szCs w:val="24"/>
          <w:rtl/>
        </w:rPr>
        <w:t>)</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9D1FA3" w:rsidP="008854AB">
      <w:pPr>
        <w:spacing w:after="360"/>
        <w:outlineLvl w:val="0"/>
        <w:rPr>
          <w:rFonts w:asciiTheme="minorHAnsi" w:hAnsiTheme="minorHAnsi" w:cstheme="minorHAnsi"/>
          <w:caps/>
          <w:sz w:val="24"/>
          <w:rtl/>
          <w:lang w:bidi="ar-SY"/>
        </w:rPr>
      </w:pPr>
      <w:bookmarkStart w:id="4" w:name="TitleOfDoc"/>
      <w:r>
        <w:rPr>
          <w:rFonts w:asciiTheme="minorHAnsi" w:hAnsiTheme="minorHAnsi" w:cstheme="minorHAnsi" w:hint="cs"/>
          <w:caps/>
          <w:sz w:val="28"/>
          <w:szCs w:val="24"/>
          <w:rtl/>
        </w:rPr>
        <w:t>مراجعة نظام البحث الإضافي الدولي</w:t>
      </w:r>
    </w:p>
    <w:p w:rsidR="008854AB" w:rsidRDefault="008854AB" w:rsidP="00EF65E4">
      <w:pPr>
        <w:spacing w:after="840"/>
        <w:rPr>
          <w:rFonts w:asciiTheme="minorHAnsi" w:hAnsiTheme="minorHAnsi" w:cstheme="minorHAnsi"/>
          <w:iCs/>
          <w:rtl/>
        </w:rPr>
      </w:pPr>
      <w:bookmarkStart w:id="5" w:name="Prepared"/>
      <w:bookmarkEnd w:id="4"/>
      <w:bookmarkEnd w:id="5"/>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484B0E">
        <w:rPr>
          <w:rFonts w:asciiTheme="minorHAnsi" w:hAnsiTheme="minorHAnsi" w:cstheme="minorHAnsi" w:hint="cs"/>
          <w:iCs/>
          <w:rtl/>
        </w:rPr>
        <w:t xml:space="preserve"> </w:t>
      </w:r>
      <w:r w:rsidR="00EF65E4">
        <w:rPr>
          <w:rFonts w:asciiTheme="minorHAnsi" w:hAnsiTheme="minorHAnsi" w:cstheme="minorHAnsi" w:hint="cs"/>
          <w:iCs/>
          <w:rtl/>
        </w:rPr>
        <w:t>المكتب الدولي</w:t>
      </w:r>
    </w:p>
    <w:p w:rsidR="00EF65E4" w:rsidRPr="00E52593" w:rsidRDefault="00EF65E4" w:rsidP="00EF65E4">
      <w:pPr>
        <w:pStyle w:val="Heading1"/>
        <w:spacing w:after="240"/>
        <w:rPr>
          <w:sz w:val="24"/>
          <w:szCs w:val="24"/>
          <w:rtl/>
        </w:rPr>
      </w:pPr>
      <w:r w:rsidRPr="00E52593">
        <w:rPr>
          <w:rFonts w:hint="cs"/>
          <w:sz w:val="24"/>
          <w:szCs w:val="24"/>
          <w:rtl/>
        </w:rPr>
        <w:t>ملخص</w:t>
      </w:r>
    </w:p>
    <w:p w:rsidR="009D1FA3" w:rsidRDefault="0013388C" w:rsidP="00F93A9E">
      <w:pPr>
        <w:pStyle w:val="ONUMA"/>
        <w:rPr>
          <w:b/>
          <w:bCs/>
          <w:caps/>
          <w:rtl/>
        </w:rPr>
      </w:pPr>
      <w:r>
        <w:rPr>
          <w:rFonts w:hint="cs"/>
          <w:rtl/>
        </w:rPr>
        <w:t>تتضمن</w:t>
      </w:r>
      <w:r w:rsidR="009D1FA3" w:rsidRPr="009D1FA3">
        <w:rPr>
          <w:rtl/>
        </w:rPr>
        <w:t xml:space="preserve"> هذه الوثيقة </w:t>
      </w:r>
      <w:r>
        <w:rPr>
          <w:rFonts w:hint="cs"/>
          <w:rtl/>
        </w:rPr>
        <w:t>تقريراً</w:t>
      </w:r>
      <w:r w:rsidR="009D1FA3" w:rsidRPr="009D1FA3">
        <w:rPr>
          <w:rtl/>
        </w:rPr>
        <w:t xml:space="preserve"> أعده المكتب الدولي</w:t>
      </w:r>
      <w:r>
        <w:rPr>
          <w:rtl/>
        </w:rPr>
        <w:t xml:space="preserve"> عن نظام البحث الدولي </w:t>
      </w:r>
      <w:r>
        <w:rPr>
          <w:rFonts w:hint="cs"/>
          <w:rtl/>
        </w:rPr>
        <w:t>الإضافي،</w:t>
      </w:r>
      <w:r w:rsidR="009D1FA3" w:rsidRPr="009D1FA3">
        <w:rPr>
          <w:rtl/>
        </w:rPr>
        <w:t xml:space="preserve"> </w:t>
      </w:r>
      <w:r>
        <w:rPr>
          <w:rFonts w:hint="cs"/>
          <w:rtl/>
        </w:rPr>
        <w:t>ويُقصد بها</w:t>
      </w:r>
      <w:r w:rsidR="009D1FA3" w:rsidRPr="009D1FA3">
        <w:rPr>
          <w:rtl/>
        </w:rPr>
        <w:t xml:space="preserve"> أن تكون بمثابة أساس لمراجعة الجمعية للنظام. </w:t>
      </w:r>
      <w:r w:rsidR="00F93A9E">
        <w:rPr>
          <w:rFonts w:hint="cs"/>
          <w:rtl/>
        </w:rPr>
        <w:t>و</w:t>
      </w:r>
      <w:r w:rsidR="009D1FA3" w:rsidRPr="009D1FA3">
        <w:rPr>
          <w:rtl/>
        </w:rPr>
        <w:t>بناء</w:t>
      </w:r>
      <w:r w:rsidR="00F93A9E">
        <w:rPr>
          <w:rFonts w:hint="cs"/>
          <w:rtl/>
        </w:rPr>
        <w:t>ً</w:t>
      </w:r>
      <w:r w:rsidR="009D1FA3" w:rsidRPr="009D1FA3">
        <w:rPr>
          <w:rtl/>
        </w:rPr>
        <w:t xml:space="preserve"> على توصية من الفريق العامل</w:t>
      </w:r>
      <w:r w:rsidR="00F93A9E">
        <w:rPr>
          <w:rtl/>
        </w:rPr>
        <w:t xml:space="preserve"> لمعاهدة التعاون بشأن البراءات</w:t>
      </w:r>
      <w:r w:rsidR="00F93A9E">
        <w:rPr>
          <w:rFonts w:hint="cs"/>
          <w:rtl/>
        </w:rPr>
        <w:t>،</w:t>
      </w:r>
      <w:r w:rsidR="009D1FA3" w:rsidRPr="009D1FA3">
        <w:rPr>
          <w:rtl/>
        </w:rPr>
        <w:t xml:space="preserve"> فإن الجمعية مدعوة إلى اعتماد قرار لمواصلة </w:t>
      </w:r>
      <w:r w:rsidR="00F93A9E">
        <w:rPr>
          <w:rFonts w:hint="cs"/>
          <w:rtl/>
        </w:rPr>
        <w:t>رصد</w:t>
      </w:r>
      <w:r w:rsidR="009D1FA3" w:rsidRPr="009D1FA3">
        <w:rPr>
          <w:rtl/>
        </w:rPr>
        <w:t xml:space="preserve"> النظام </w:t>
      </w:r>
      <w:r w:rsidR="00F93A9E">
        <w:rPr>
          <w:rFonts w:hint="cs"/>
          <w:rtl/>
        </w:rPr>
        <w:t>ورفع التقارير</w:t>
      </w:r>
      <w:r w:rsidR="009D1FA3" w:rsidRPr="009D1FA3">
        <w:rPr>
          <w:rtl/>
        </w:rPr>
        <w:t xml:space="preserve"> عن</w:t>
      </w:r>
      <w:r w:rsidR="00F93A9E">
        <w:rPr>
          <w:rFonts w:hint="cs"/>
          <w:rtl/>
        </w:rPr>
        <w:t xml:space="preserve"> </w:t>
      </w:r>
      <w:r w:rsidR="009D1FA3" w:rsidRPr="009D1FA3">
        <w:rPr>
          <w:rtl/>
        </w:rPr>
        <w:t>التطورات</w:t>
      </w:r>
      <w:r w:rsidR="00F93A9E">
        <w:rPr>
          <w:rFonts w:hint="cs"/>
          <w:rtl/>
        </w:rPr>
        <w:t xml:space="preserve"> الهامة</w:t>
      </w:r>
      <w:r w:rsidR="009D1FA3" w:rsidRPr="009D1FA3">
        <w:rPr>
          <w:rtl/>
        </w:rPr>
        <w:t xml:space="preserve"> ومراجعة النظام مرة أخرى في </w:t>
      </w:r>
      <w:r w:rsidR="00F93A9E">
        <w:rPr>
          <w:rFonts w:hint="cs"/>
          <w:rtl/>
        </w:rPr>
        <w:t>موعد</w:t>
      </w:r>
      <w:r w:rsidR="009D1FA3" w:rsidRPr="009D1FA3">
        <w:rPr>
          <w:rtl/>
        </w:rPr>
        <w:t xml:space="preserve"> </w:t>
      </w:r>
      <w:r w:rsidR="00F93A9E">
        <w:rPr>
          <w:rtl/>
        </w:rPr>
        <w:t>يوصي به المكتب الدولي</w:t>
      </w:r>
      <w:r w:rsidR="00F93A9E">
        <w:rPr>
          <w:rFonts w:hint="cs"/>
          <w:rtl/>
        </w:rPr>
        <w:t xml:space="preserve">، </w:t>
      </w:r>
      <w:r w:rsidR="00F93A9E">
        <w:rPr>
          <w:rtl/>
        </w:rPr>
        <w:t>أو بناء على طلب من دولة متعاقدة</w:t>
      </w:r>
      <w:r w:rsidR="009D1FA3" w:rsidRPr="009D1FA3">
        <w:rPr>
          <w:rtl/>
        </w:rPr>
        <w:t xml:space="preserve">، </w:t>
      </w:r>
      <w:r w:rsidR="00F93A9E">
        <w:rPr>
          <w:rFonts w:hint="cs"/>
          <w:rtl/>
        </w:rPr>
        <w:t>على ألا يكون ذلك الموعد بعد عام</w:t>
      </w:r>
      <w:r w:rsidR="009D1FA3" w:rsidRPr="009D1FA3">
        <w:rPr>
          <w:rtl/>
        </w:rPr>
        <w:t xml:space="preserve"> 2027.</w:t>
      </w:r>
    </w:p>
    <w:p w:rsidR="00A92F5C" w:rsidRPr="00E52593" w:rsidRDefault="00A92F5C" w:rsidP="00EF65E4">
      <w:pPr>
        <w:pStyle w:val="Heading1"/>
        <w:spacing w:after="240"/>
        <w:rPr>
          <w:sz w:val="24"/>
          <w:szCs w:val="24"/>
          <w:rtl/>
        </w:rPr>
      </w:pPr>
      <w:r w:rsidRPr="00E52593">
        <w:rPr>
          <w:rFonts w:hint="cs"/>
          <w:sz w:val="24"/>
          <w:szCs w:val="24"/>
          <w:rtl/>
        </w:rPr>
        <w:t>معلومات أساسية</w:t>
      </w:r>
    </w:p>
    <w:p w:rsidR="009D1FA3" w:rsidRDefault="009D1FA3" w:rsidP="00F65FAF">
      <w:pPr>
        <w:pStyle w:val="ONUMA"/>
      </w:pPr>
      <w:r w:rsidRPr="009D1FA3">
        <w:rPr>
          <w:rtl/>
        </w:rPr>
        <w:t>عدلت جمعية معاهدة التعاون بشأن البراءات (</w:t>
      </w:r>
      <w:r w:rsidR="00F65FAF">
        <w:rPr>
          <w:rFonts w:hint="cs"/>
          <w:rtl/>
        </w:rPr>
        <w:t>المُشار إليها فيما يلي باسم</w:t>
      </w:r>
      <w:r w:rsidRPr="009D1FA3">
        <w:rPr>
          <w:rtl/>
        </w:rPr>
        <w:t>"الجمعية") ، في دورتها الساد</w:t>
      </w:r>
      <w:r w:rsidR="00F65FAF">
        <w:rPr>
          <w:rtl/>
        </w:rPr>
        <w:t>سة والثلاثين المنعقدة في سبتمبر</w:t>
      </w:r>
      <w:r w:rsidR="00F65FAF">
        <w:rPr>
          <w:rFonts w:hint="cs"/>
          <w:rtl/>
        </w:rPr>
        <w:t>/</w:t>
      </w:r>
      <w:r w:rsidR="00F65FAF">
        <w:rPr>
          <w:rtl/>
        </w:rPr>
        <w:t>أكتوبر 2007</w:t>
      </w:r>
      <w:r w:rsidRPr="009D1FA3">
        <w:rPr>
          <w:rtl/>
        </w:rPr>
        <w:t xml:space="preserve">، اللائحة التنفيذية لمعاهدة التعاون بشأن البراءات </w:t>
      </w:r>
      <w:r w:rsidR="00F65FAF">
        <w:rPr>
          <w:rFonts w:hint="cs"/>
          <w:rtl/>
        </w:rPr>
        <w:t>من أجل وضع</w:t>
      </w:r>
      <w:r w:rsidRPr="009D1FA3">
        <w:rPr>
          <w:rtl/>
        </w:rPr>
        <w:t xml:space="preserve"> نظام بحث دولي إضافي. ودخلت هذه التعديلات حيز النفاذ في 1 يناير 2009 (الوثيقة </w:t>
      </w:r>
      <w:r w:rsidRPr="009D1FA3">
        <w:t>PCT/A/36/13</w:t>
      </w:r>
      <w:r w:rsidRPr="009D1FA3">
        <w:rPr>
          <w:rtl/>
        </w:rPr>
        <w:t>).</w:t>
      </w:r>
    </w:p>
    <w:p w:rsidR="00EF65E4" w:rsidRDefault="004A3627" w:rsidP="006E7A6D">
      <w:pPr>
        <w:pStyle w:val="ONUMA"/>
      </w:pPr>
      <w:r>
        <w:rPr>
          <w:rFonts w:hint="cs"/>
          <w:rtl/>
        </w:rPr>
        <w:t>و</w:t>
      </w:r>
      <w:r w:rsidR="000D00DE">
        <w:rPr>
          <w:rFonts w:hint="cs"/>
          <w:rtl/>
        </w:rPr>
        <w:t xml:space="preserve">قد </w:t>
      </w:r>
      <w:r w:rsidR="006E7A6D">
        <w:rPr>
          <w:rFonts w:hint="cs"/>
          <w:rtl/>
        </w:rPr>
        <w:t>راجعت</w:t>
      </w:r>
      <w:r w:rsidR="009D1FA3" w:rsidRPr="009D1FA3">
        <w:rPr>
          <w:rtl/>
        </w:rPr>
        <w:t xml:space="preserve"> الجمعية النظام الدولي </w:t>
      </w:r>
      <w:r>
        <w:rPr>
          <w:rFonts w:hint="cs"/>
          <w:rtl/>
        </w:rPr>
        <w:t>الإضافي</w:t>
      </w:r>
      <w:r w:rsidR="009D1FA3" w:rsidRPr="009D1FA3">
        <w:rPr>
          <w:rtl/>
        </w:rPr>
        <w:t xml:space="preserve"> في دورتها الثالثة والأربعين</w:t>
      </w:r>
      <w:r>
        <w:rPr>
          <w:rFonts w:hint="cs"/>
          <w:rtl/>
        </w:rPr>
        <w:t xml:space="preserve"> المنعقدة</w:t>
      </w:r>
      <w:r w:rsidR="000D00DE">
        <w:rPr>
          <w:rtl/>
        </w:rPr>
        <w:t xml:space="preserve"> في أكتوبر 2012</w:t>
      </w:r>
      <w:r w:rsidR="009D1FA3" w:rsidRPr="009D1FA3">
        <w:rPr>
          <w:rtl/>
        </w:rPr>
        <w:t>، ومرة أخرى في دورتها السابعة والأربعين</w:t>
      </w:r>
      <w:r w:rsidR="000D00DE">
        <w:rPr>
          <w:rFonts w:hint="cs"/>
          <w:rtl/>
        </w:rPr>
        <w:t xml:space="preserve"> المنعقدة</w:t>
      </w:r>
      <w:r w:rsidR="009D1FA3" w:rsidRPr="009D1FA3">
        <w:rPr>
          <w:rtl/>
        </w:rPr>
        <w:t xml:space="preserve"> في أكتوبر 2015. </w:t>
      </w:r>
      <w:r w:rsidR="000D00DE">
        <w:rPr>
          <w:rFonts w:hint="cs"/>
          <w:rtl/>
        </w:rPr>
        <w:t>وفيما يلي</w:t>
      </w:r>
      <w:r w:rsidR="009D1FA3" w:rsidRPr="009D1FA3">
        <w:rPr>
          <w:rtl/>
        </w:rPr>
        <w:t xml:space="preserve"> القرار الذي اتخذته الجمعية عقب </w:t>
      </w:r>
      <w:r w:rsidR="006E7A6D">
        <w:rPr>
          <w:rFonts w:hint="cs"/>
          <w:rtl/>
        </w:rPr>
        <w:t>المراجعة</w:t>
      </w:r>
      <w:r w:rsidR="009D1FA3" w:rsidRPr="009D1FA3">
        <w:rPr>
          <w:rtl/>
        </w:rPr>
        <w:t xml:space="preserve"> الثاني</w:t>
      </w:r>
      <w:r w:rsidR="006E7A6D">
        <w:rPr>
          <w:rFonts w:hint="cs"/>
          <w:rtl/>
        </w:rPr>
        <w:t>ة</w:t>
      </w:r>
      <w:r w:rsidR="009D1FA3" w:rsidRPr="009D1FA3">
        <w:rPr>
          <w:rtl/>
        </w:rPr>
        <w:t xml:space="preserve"> </w:t>
      </w:r>
      <w:r w:rsidR="000D00DE">
        <w:rPr>
          <w:rFonts w:hint="cs"/>
          <w:rtl/>
        </w:rPr>
        <w:t xml:space="preserve">والوارد في </w:t>
      </w:r>
      <w:r w:rsidR="009D1FA3" w:rsidRPr="009D1FA3">
        <w:rPr>
          <w:rtl/>
        </w:rPr>
        <w:t xml:space="preserve">الفقرة 17 من الوثيقة </w:t>
      </w:r>
      <w:r w:rsidR="000D00DE">
        <w:t>PCT/A/47/9</w:t>
      </w:r>
      <w:r w:rsidR="009D1FA3" w:rsidRPr="009D1FA3">
        <w:rPr>
          <w:rtl/>
        </w:rPr>
        <w:t>:</w:t>
      </w:r>
    </w:p>
    <w:p w:rsidR="009D1FA3" w:rsidRDefault="009D1FA3" w:rsidP="009D1FA3">
      <w:pPr>
        <w:pStyle w:val="ONUMA"/>
        <w:numPr>
          <w:ilvl w:val="0"/>
          <w:numId w:val="0"/>
        </w:numPr>
        <w:ind w:left="567"/>
        <w:rPr>
          <w:rFonts w:eastAsia="SimSun"/>
          <w:lang w:eastAsia="zh-CN"/>
        </w:rPr>
      </w:pPr>
      <w:r>
        <w:rPr>
          <w:rFonts w:hint="cs"/>
          <w:rtl/>
        </w:rPr>
        <w:t>"17.</w:t>
      </w:r>
      <w:r>
        <w:rPr>
          <w:rFonts w:hint="cs"/>
          <w:rtl/>
        </w:rPr>
        <w:tab/>
      </w:r>
      <w:r w:rsidRPr="009D1FA3">
        <w:rPr>
          <w:rtl/>
        </w:rPr>
        <w:t>إن الجمعية، وقد راجعت نظام البحث الإضافي الدولي بعد ثلاث سنوات من دخوله حيز النفاذ ومرّة أخرى في عام 2015، قرّرت ما يلي:</w:t>
      </w:r>
    </w:p>
    <w:p w:rsidR="009D1FA3" w:rsidRDefault="009D1FA3" w:rsidP="009D1FA3">
      <w:pPr>
        <w:pStyle w:val="ONUMA"/>
        <w:numPr>
          <w:ilvl w:val="0"/>
          <w:numId w:val="0"/>
        </w:numPr>
        <w:ind w:left="567"/>
        <w:rPr>
          <w:rStyle w:val="BodyTextChar"/>
          <w:rtl/>
        </w:rPr>
      </w:pPr>
      <w:r w:rsidRPr="009D1FA3">
        <w:rPr>
          <w:rFonts w:eastAsia="SimSun"/>
          <w:rtl/>
        </w:rPr>
        <w:t>"(أ) أن تدعو المكتب الدولي إلى مواصلة</w:t>
      </w:r>
      <w:r w:rsidRPr="009D1FA3">
        <w:rPr>
          <w:rStyle w:val="BodyTextChar"/>
          <w:rtl/>
        </w:rPr>
        <w:t xml:space="preserve"> رصد النظام عن كثب لفترة ثلاث سنوات أخرى، ومواصلة رفع التقارير إلى اجتماع الإدارات الدولية والفريق العامل عن طريقة تطور النظام؛</w:t>
      </w:r>
    </w:p>
    <w:p w:rsidR="009D1FA3" w:rsidRDefault="009D1FA3" w:rsidP="009D1FA3">
      <w:pPr>
        <w:pStyle w:val="bodyindent"/>
        <w:rPr>
          <w:rtl/>
        </w:rPr>
      </w:pPr>
      <w:r w:rsidRPr="009D1FA3">
        <w:rPr>
          <w:rtl/>
        </w:rPr>
        <w:lastRenderedPageBreak/>
        <w:t>"(ب) أن تدعو المكتب الدولي والإدارات الدولية والمكاتب الوطنية ومجموعات المستخدمين إلى بذل المزيد من الجهود لإذكاء الوعي بالخدمات التي يقدمها نظام معاهدة التعاون بشأن البراءات إلى مستخدميه وتعزيزها؛</w:t>
      </w:r>
    </w:p>
    <w:p w:rsidR="009D1FA3" w:rsidRDefault="009D1FA3" w:rsidP="009D1FA3">
      <w:pPr>
        <w:pStyle w:val="bodyindent"/>
        <w:rPr>
          <w:rtl/>
        </w:rPr>
      </w:pPr>
      <w:r w:rsidRPr="009D1FA3">
        <w:rPr>
          <w:rtl/>
        </w:rPr>
        <w:t>"(ج) أن تدعو الإدارات الدولية التي تقدم خدمات البحث الإضافي الدولي إلى النظر في مراجعة نطاق ما تقدمه من خدمات في إطار النظام وبالتالي مستويات الرسوم المفروضة لقاء تقديم هذه الخدمات، كي تضحى معقولة؛ وأن تدعو الإدارات التي لا تقدم هذه الخدمات إلى النظر من جديد في تقديمها في المستقبل القريب؛</w:t>
      </w:r>
    </w:p>
    <w:p w:rsidR="009D1FA3" w:rsidRPr="009D1FA3" w:rsidRDefault="009D1FA3" w:rsidP="009D1FA3">
      <w:pPr>
        <w:pStyle w:val="bodyindent"/>
      </w:pPr>
      <w:r w:rsidRPr="009D1FA3">
        <w:rPr>
          <w:rtl/>
        </w:rPr>
        <w:t>"(د) أن تراجع النظام من جديد في عام 2020، مع مراعاة ما يحدث من تطورات أخرى إلى ذلك الحين، وخاصة فيما يتعلق بالبحث والفحص التعاونيين والجهود الرامية إلى تحسين جودة البحث الدولي "الرئيسي"."</w:t>
      </w:r>
    </w:p>
    <w:p w:rsidR="000D00DE" w:rsidRDefault="000D00DE" w:rsidP="006E7A6D">
      <w:pPr>
        <w:pStyle w:val="ONUMA"/>
      </w:pPr>
      <w:r>
        <w:rPr>
          <w:rtl/>
        </w:rPr>
        <w:t>نظر</w:t>
      </w:r>
      <w:r>
        <w:rPr>
          <w:rFonts w:hint="cs"/>
          <w:rtl/>
        </w:rPr>
        <w:t>اً</w:t>
      </w:r>
      <w:r w:rsidR="009D1FA3" w:rsidRPr="009D1FA3">
        <w:rPr>
          <w:rtl/>
        </w:rPr>
        <w:t xml:space="preserve"> لأن الجمعية لم </w:t>
      </w:r>
      <w:r>
        <w:rPr>
          <w:rFonts w:hint="cs"/>
          <w:rtl/>
        </w:rPr>
        <w:t>تتمكن</w:t>
      </w:r>
      <w:r w:rsidR="009D1FA3" w:rsidRPr="009D1FA3">
        <w:rPr>
          <w:rtl/>
        </w:rPr>
        <w:t xml:space="preserve"> </w:t>
      </w:r>
      <w:r>
        <w:rPr>
          <w:rFonts w:hint="cs"/>
          <w:rtl/>
        </w:rPr>
        <w:t>من</w:t>
      </w:r>
      <w:r w:rsidR="009D1FA3" w:rsidRPr="009D1FA3">
        <w:rPr>
          <w:rtl/>
        </w:rPr>
        <w:t xml:space="preserve"> مراجعة نظام البحث الدولي </w:t>
      </w:r>
      <w:r>
        <w:rPr>
          <w:rFonts w:hint="cs"/>
          <w:rtl/>
        </w:rPr>
        <w:t>الإضافي</w:t>
      </w:r>
      <w:r w:rsidR="009D1FA3" w:rsidRPr="009D1FA3">
        <w:rPr>
          <w:rtl/>
        </w:rPr>
        <w:t xml:space="preserve"> في عام 2020 بسبب جائحة </w:t>
      </w:r>
      <w:r>
        <w:rPr>
          <w:rFonts w:hint="cs"/>
          <w:rtl/>
        </w:rPr>
        <w:t>كوفيد-19</w:t>
      </w:r>
      <w:r w:rsidR="009D1FA3" w:rsidRPr="009D1FA3">
        <w:rPr>
          <w:rtl/>
        </w:rPr>
        <w:t xml:space="preserve">، </w:t>
      </w:r>
      <w:r>
        <w:rPr>
          <w:rFonts w:hint="cs"/>
          <w:rtl/>
        </w:rPr>
        <w:t>فهي</w:t>
      </w:r>
      <w:r w:rsidR="009D1FA3" w:rsidRPr="009D1FA3">
        <w:rPr>
          <w:rtl/>
        </w:rPr>
        <w:t xml:space="preserve"> </w:t>
      </w:r>
      <w:r w:rsidR="006E7A6D">
        <w:rPr>
          <w:rtl/>
        </w:rPr>
        <w:t>مدعوة لإجراء هذ</w:t>
      </w:r>
      <w:r w:rsidR="006E7A6D">
        <w:rPr>
          <w:rFonts w:hint="cs"/>
          <w:rtl/>
        </w:rPr>
        <w:t xml:space="preserve">ه المراجعة </w:t>
      </w:r>
      <w:r>
        <w:rPr>
          <w:rtl/>
        </w:rPr>
        <w:t>في دور</w:t>
      </w:r>
      <w:r>
        <w:rPr>
          <w:rFonts w:hint="cs"/>
          <w:rtl/>
        </w:rPr>
        <w:t>تها</w:t>
      </w:r>
      <w:r w:rsidR="009D1FA3" w:rsidRPr="009D1FA3">
        <w:rPr>
          <w:rtl/>
        </w:rPr>
        <w:t xml:space="preserve"> الحالية.</w:t>
      </w:r>
    </w:p>
    <w:p w:rsidR="002D4145" w:rsidRPr="000D00DE" w:rsidRDefault="009D1FA3" w:rsidP="000D00DE">
      <w:pPr>
        <w:pStyle w:val="Heading1"/>
        <w:spacing w:after="240"/>
        <w:rPr>
          <w:sz w:val="24"/>
          <w:szCs w:val="24"/>
        </w:rPr>
      </w:pPr>
      <w:r w:rsidRPr="000D00DE">
        <w:rPr>
          <w:rFonts w:hint="cs"/>
          <w:sz w:val="24"/>
          <w:szCs w:val="24"/>
          <w:rtl/>
        </w:rPr>
        <w:t>مراجعة الجمعية لنظام البحث الإضافي الدولي</w:t>
      </w:r>
    </w:p>
    <w:p w:rsidR="009D1FA3" w:rsidRDefault="00C137FA" w:rsidP="006E7A6D">
      <w:pPr>
        <w:pStyle w:val="ONUMA"/>
        <w:rPr>
          <w:rtl/>
        </w:rPr>
      </w:pPr>
      <w:r>
        <w:rPr>
          <w:rFonts w:hint="cs"/>
          <w:rtl/>
        </w:rPr>
        <w:t>وتحضيراً</w:t>
      </w:r>
      <w:r w:rsidR="009D1FA3">
        <w:rPr>
          <w:rtl/>
        </w:rPr>
        <w:t xml:space="preserve"> </w:t>
      </w:r>
      <w:r w:rsidR="006E7A6D">
        <w:rPr>
          <w:rFonts w:hint="cs"/>
          <w:rtl/>
        </w:rPr>
        <w:t>لمراجهة</w:t>
      </w:r>
      <w:r>
        <w:rPr>
          <w:rFonts w:hint="cs"/>
          <w:rtl/>
        </w:rPr>
        <w:t xml:space="preserve"> ال</w:t>
      </w:r>
      <w:r w:rsidR="000D00DE">
        <w:rPr>
          <w:rtl/>
        </w:rPr>
        <w:t>نظام</w:t>
      </w:r>
      <w:r w:rsidRPr="00C137FA">
        <w:rPr>
          <w:rFonts w:hint="cs"/>
          <w:rtl/>
        </w:rPr>
        <w:t xml:space="preserve"> </w:t>
      </w:r>
      <w:r>
        <w:rPr>
          <w:rFonts w:hint="cs"/>
          <w:rtl/>
        </w:rPr>
        <w:t>من قبل الجمعية،</w:t>
      </w:r>
      <w:r w:rsidR="009D1FA3">
        <w:rPr>
          <w:rtl/>
        </w:rPr>
        <w:t xml:space="preserve"> </w:t>
      </w:r>
      <w:r>
        <w:rPr>
          <w:rFonts w:hint="cs"/>
          <w:rtl/>
        </w:rPr>
        <w:t>قدم</w:t>
      </w:r>
      <w:r w:rsidR="009D1FA3">
        <w:rPr>
          <w:rtl/>
        </w:rPr>
        <w:t xml:space="preserve"> المكتب الدولي وثيقة إلى الدورة الثالثة عشرة للفريق العامل لمعاهدة التعاون بشأن البراءات ("الفريق العامل") (الوثيقة </w:t>
      </w:r>
      <w:r w:rsidR="009D1FA3">
        <w:t>PCT/WG/13/4 Rev</w:t>
      </w:r>
      <w:r>
        <w:t>.</w:t>
      </w:r>
      <w:r>
        <w:rPr>
          <w:rtl/>
        </w:rPr>
        <w:t>) لت</w:t>
      </w:r>
      <w:r>
        <w:rPr>
          <w:rFonts w:hint="cs"/>
          <w:rtl/>
        </w:rPr>
        <w:t>زويد الأعضاء ب</w:t>
      </w:r>
      <w:r>
        <w:rPr>
          <w:rFonts w:hint="cs"/>
          <w:rtl/>
          <w:lang w:bidi="ar-SY"/>
        </w:rPr>
        <w:t xml:space="preserve">معلومات محدّثة عن </w:t>
      </w:r>
      <w:r w:rsidR="009D1FA3">
        <w:rPr>
          <w:rtl/>
        </w:rPr>
        <w:t xml:space="preserve">نظام البحث </w:t>
      </w:r>
      <w:r>
        <w:rPr>
          <w:rFonts w:hint="cs"/>
          <w:rtl/>
        </w:rPr>
        <w:t>الإضافي</w:t>
      </w:r>
      <w:r w:rsidR="009D1FA3">
        <w:rPr>
          <w:rtl/>
        </w:rPr>
        <w:t xml:space="preserve"> وجمع مزيد من المعلومات والتعليقات من أصحاب المصلحة في معاهدة التعاون بشأن البراءات</w:t>
      </w:r>
      <w:r>
        <w:rPr>
          <w:rFonts w:hint="cs"/>
          <w:rtl/>
        </w:rPr>
        <w:t>، بشأن النظام</w:t>
      </w:r>
      <w:r w:rsidR="009D1FA3">
        <w:rPr>
          <w:rtl/>
        </w:rPr>
        <w:t>.</w:t>
      </w:r>
    </w:p>
    <w:p w:rsidR="006E7A6D" w:rsidRDefault="00C137FA" w:rsidP="006E7A6D">
      <w:pPr>
        <w:pStyle w:val="ONUMA"/>
      </w:pPr>
      <w:r>
        <w:rPr>
          <w:rFonts w:hint="cs"/>
          <w:rtl/>
        </w:rPr>
        <w:t>ويرد موجز  مناقشات</w:t>
      </w:r>
      <w:r>
        <w:rPr>
          <w:rtl/>
        </w:rPr>
        <w:t xml:space="preserve"> </w:t>
      </w:r>
      <w:r w:rsidR="009D1FA3">
        <w:rPr>
          <w:rtl/>
        </w:rPr>
        <w:t xml:space="preserve">الفريق العامل للوثيقة </w:t>
      </w:r>
      <w:r>
        <w:rPr>
          <w:lang w:val="fr-CH"/>
        </w:rPr>
        <w:t xml:space="preserve">PCT/WG/13/4 </w:t>
      </w:r>
      <w:proofErr w:type="spellStart"/>
      <w:r>
        <w:rPr>
          <w:lang w:val="fr-CH"/>
        </w:rPr>
        <w:t>Rev</w:t>
      </w:r>
      <w:proofErr w:type="spellEnd"/>
      <w:r>
        <w:rPr>
          <w:lang w:val="fr-CH"/>
        </w:rPr>
        <w:t>.</w:t>
      </w:r>
      <w:r>
        <w:rPr>
          <w:rFonts w:hint="cs"/>
          <w:rtl/>
          <w:lang w:val="fr-CH" w:bidi="ar-SY"/>
        </w:rPr>
        <w:t xml:space="preserve">، </w:t>
      </w:r>
      <w:r w:rsidR="009D1FA3">
        <w:rPr>
          <w:rtl/>
        </w:rPr>
        <w:t xml:space="preserve">في الفقرات من 11 إلى 14 من ملخص الرئيس (الوثيقة </w:t>
      </w:r>
      <w:r w:rsidR="009D1FA3">
        <w:t>PCT/WG/13/14</w:t>
      </w:r>
      <w:r w:rsidR="009D1FA3">
        <w:rPr>
          <w:rtl/>
        </w:rPr>
        <w:t xml:space="preserve">). </w:t>
      </w:r>
      <w:r w:rsidR="006E7A6D">
        <w:rPr>
          <w:rFonts w:hint="cs"/>
          <w:rtl/>
        </w:rPr>
        <w:t>و</w:t>
      </w:r>
      <w:r w:rsidR="006E7A6D">
        <w:rPr>
          <w:rFonts w:hint="cs"/>
          <w:rtl/>
          <w:lang w:bidi="ar-SY"/>
        </w:rPr>
        <w:t xml:space="preserve">فيما يلي تعليقات الوفود وملاحظات الرئيس التي </w:t>
      </w:r>
      <w:r w:rsidR="006E7A6D">
        <w:rPr>
          <w:rFonts w:hint="cs"/>
          <w:rtl/>
        </w:rPr>
        <w:t>تلخصها</w:t>
      </w:r>
      <w:r w:rsidR="009D1FA3">
        <w:rPr>
          <w:rtl/>
        </w:rPr>
        <w:t xml:space="preserve"> الفقرات من 11 إلى 13 من الوثيقة </w:t>
      </w:r>
      <w:r w:rsidR="006E7A6D">
        <w:t>PCT</w:t>
      </w:r>
      <w:r w:rsidR="006E7A6D">
        <w:rPr>
          <w:lang w:val="fr-CH"/>
        </w:rPr>
        <w:t>/</w:t>
      </w:r>
      <w:r w:rsidR="009D1FA3">
        <w:t>WG/13/14</w:t>
      </w:r>
      <w:r w:rsidR="006E7A6D">
        <w:rPr>
          <w:rFonts w:hint="cs"/>
          <w:rtl/>
        </w:rPr>
        <w:t>:</w:t>
      </w:r>
    </w:p>
    <w:p w:rsidR="009D1FA3" w:rsidRDefault="009D1FA3" w:rsidP="009D1FA3">
      <w:pPr>
        <w:pStyle w:val="ONUMA"/>
        <w:numPr>
          <w:ilvl w:val="0"/>
          <w:numId w:val="0"/>
        </w:numPr>
        <w:ind w:left="567"/>
        <w:rPr>
          <w:rtl/>
        </w:rPr>
      </w:pPr>
      <w:r>
        <w:rPr>
          <w:rFonts w:hint="cs"/>
          <w:rtl/>
        </w:rPr>
        <w:t>"11.</w:t>
      </w:r>
      <w:r>
        <w:rPr>
          <w:rFonts w:hint="cs"/>
          <w:rtl/>
        </w:rPr>
        <w:tab/>
      </w:r>
      <w:r w:rsidRPr="009D1FA3">
        <w:rPr>
          <w:rtl/>
        </w:rPr>
        <w:t>استندت المناقشات إلى الوثيقة</w:t>
      </w:r>
      <w:r w:rsidRPr="009D1FA3">
        <w:t xml:space="preserve"> PCT/WG/13/4 Rev</w:t>
      </w:r>
      <w:r>
        <w:t>.</w:t>
      </w:r>
      <w:r>
        <w:rPr>
          <w:rFonts w:hint="cs"/>
          <w:rtl/>
        </w:rPr>
        <w:t>؛</w:t>
      </w:r>
    </w:p>
    <w:p w:rsidR="009D1FA3" w:rsidRPr="009D1FA3" w:rsidRDefault="009D1FA3" w:rsidP="009D1FA3">
      <w:pPr>
        <w:pStyle w:val="ONUMA"/>
        <w:numPr>
          <w:ilvl w:val="0"/>
          <w:numId w:val="0"/>
        </w:numPr>
        <w:ind w:left="567"/>
        <w:rPr>
          <w:rtl/>
          <w:lang w:val="fr-CH" w:bidi="ar-SY"/>
        </w:rPr>
      </w:pPr>
      <w:r w:rsidRPr="009D1FA3">
        <w:rPr>
          <w:rFonts w:hint="cs"/>
          <w:rtl/>
        </w:rPr>
        <w:t>"12.</w:t>
      </w:r>
      <w:r w:rsidRPr="009D1FA3">
        <w:rPr>
          <w:rFonts w:hint="cs"/>
          <w:rtl/>
        </w:rPr>
        <w:tab/>
      </w:r>
      <w:r w:rsidRPr="009D1FA3">
        <w:rPr>
          <w:rtl/>
        </w:rPr>
        <w:t>وقالت بعض الوفود إن تكاليف الإبقاء على نظام البحث الإضافي الدولي ليست مبرّرة بالنظر إلى مستوى الاستخدام وأبدت تفضيلها لوقف تلك الخدمة.</w:t>
      </w:r>
      <w:r w:rsidRPr="009D1FA3">
        <w:rPr>
          <w:rFonts w:hint="cs"/>
          <w:rtl/>
        </w:rPr>
        <w:t xml:space="preserve"> ورأت </w:t>
      </w:r>
      <w:r w:rsidRPr="009D1FA3">
        <w:rPr>
          <w:rtl/>
        </w:rPr>
        <w:t>بعض الوفود الأخرى أن النظام مفيد لبعض المودعين وينبغي الإبقاء عليه في انتظار تطورات أخرى، مثل نتائج المشروع التجريبي للبحث والفحص التعاونيين أو إتاحة المزيد من الخيارات ضمن نظام البحث الإضافي الدولي.</w:t>
      </w:r>
      <w:r>
        <w:rPr>
          <w:rFonts w:cs="Arial"/>
          <w:color w:val="000000"/>
        </w:rPr>
        <w:br/>
      </w:r>
      <w:r>
        <w:rPr>
          <w:rFonts w:cs="Arial"/>
          <w:color w:val="000000"/>
        </w:rPr>
        <w:br/>
      </w:r>
      <w:r w:rsidRPr="009D1FA3">
        <w:rPr>
          <w:rFonts w:hint="cs"/>
          <w:rtl/>
        </w:rPr>
        <w:t>"</w:t>
      </w:r>
      <w:r>
        <w:rPr>
          <w:rFonts w:hint="cs"/>
          <w:rtl/>
        </w:rPr>
        <w:t>13.</w:t>
      </w:r>
      <w:r>
        <w:rPr>
          <w:rFonts w:hint="cs"/>
          <w:rtl/>
        </w:rPr>
        <w:tab/>
      </w:r>
      <w:r w:rsidRPr="009D1FA3">
        <w:rPr>
          <w:rtl/>
        </w:rPr>
        <w:t>وأشارت الرئيسة إلى أنه من غير المحتمل، في غياب توافق في الآراء، التوصل إلى اتفاق بشأن إدخال تعديلات على اللائحة التنفيذية لمعاهدة البراءات واقترحت اعتماد الاقتراح الوارد في الفقرة 21 من الوثيقة، وقال إن ذلك يحفظ لأي دولة متعاقدة إمكانية التماس مراجعة أخرى عندما تعتبر أن هناك توافق في الآراء بشأن التغيير.</w:t>
      </w:r>
    </w:p>
    <w:p w:rsidR="009D1FA3" w:rsidRDefault="006E7A6D" w:rsidP="006E7A6D">
      <w:pPr>
        <w:pStyle w:val="ONUMA"/>
      </w:pPr>
      <w:r>
        <w:rPr>
          <w:rtl/>
        </w:rPr>
        <w:t>وفي الختام</w:t>
      </w:r>
      <w:r>
        <w:rPr>
          <w:rFonts w:hint="cs"/>
          <w:rtl/>
        </w:rPr>
        <w:t>،</w:t>
      </w:r>
      <w:r w:rsidR="009D1FA3" w:rsidRPr="009D1FA3">
        <w:rPr>
          <w:rtl/>
        </w:rPr>
        <w:t xml:space="preserve"> دعا الفريق العامل المكتب الدولي إلى مواصلة رصد النظام </w:t>
      </w:r>
      <w:r>
        <w:rPr>
          <w:rFonts w:hint="cs"/>
          <w:rtl/>
        </w:rPr>
        <w:t>ورفع التقارير</w:t>
      </w:r>
      <w:r>
        <w:rPr>
          <w:rtl/>
        </w:rPr>
        <w:t xml:space="preserve"> عن التطورات </w:t>
      </w:r>
      <w:r>
        <w:rPr>
          <w:rFonts w:hint="cs"/>
          <w:rtl/>
        </w:rPr>
        <w:t>الهامة</w:t>
      </w:r>
      <w:r w:rsidR="009D1FA3" w:rsidRPr="009D1FA3">
        <w:rPr>
          <w:rtl/>
        </w:rPr>
        <w:t xml:space="preserve">، ووافق على توصية الجمعية باعتماد القرار التالي (انظر الفقرة 14 من الوثيقة </w:t>
      </w:r>
      <w:r w:rsidR="009D1FA3" w:rsidRPr="009D1FA3">
        <w:t>PCT/WG/13/14</w:t>
      </w:r>
      <w:r>
        <w:rPr>
          <w:rtl/>
        </w:rPr>
        <w:t>)</w:t>
      </w:r>
      <w:r w:rsidR="009D1FA3" w:rsidRPr="009D1FA3">
        <w:rPr>
          <w:rtl/>
        </w:rPr>
        <w:t>:</w:t>
      </w:r>
    </w:p>
    <w:p w:rsidR="009D1FA3" w:rsidRDefault="009D1FA3" w:rsidP="009D1FA3">
      <w:pPr>
        <w:ind w:left="567"/>
        <w:rPr>
          <w:rtl/>
        </w:rPr>
      </w:pPr>
      <w:r w:rsidRPr="009D1FA3">
        <w:rPr>
          <w:rFonts w:hint="cs"/>
          <w:rtl/>
        </w:rPr>
        <w:t>"</w:t>
      </w:r>
      <w:r>
        <w:rPr>
          <w:rFonts w:hint="cs"/>
          <w:rtl/>
        </w:rPr>
        <w:t>إ</w:t>
      </w:r>
      <w:r w:rsidRPr="009D1FA3">
        <w:rPr>
          <w:rtl/>
        </w:rPr>
        <w:t>ن جمعية معاهدة التعاون بشأن البراءات، وقد راجعت نظام البحث الإضافي الدولي في 2012 و2015 2021، قرّرت ما يلي:</w:t>
      </w:r>
    </w:p>
    <w:p w:rsidR="009D1FA3" w:rsidRDefault="009D1FA3" w:rsidP="006E7A6D">
      <w:pPr>
        <w:ind w:left="1134"/>
        <w:rPr>
          <w:rtl/>
        </w:rPr>
      </w:pPr>
      <w:r>
        <w:rPr>
          <w:rFonts w:hint="cs"/>
          <w:rtl/>
        </w:rPr>
        <w:t xml:space="preserve">(أ) </w:t>
      </w:r>
      <w:r w:rsidRPr="009D1FA3">
        <w:rPr>
          <w:rtl/>
        </w:rPr>
        <w:t>أن تدعو المكتب الدولي إلى مواصلة رصد النظام ورفع التقارير إلى اجتماع الإدارات الدولية والفريق العامل عن التطورات الكبيرة.</w:t>
      </w:r>
      <w:r w:rsidRPr="009D1FA3">
        <w:br/>
      </w:r>
      <w:r w:rsidRPr="009D1FA3">
        <w:br/>
      </w:r>
      <w:r w:rsidRPr="009D1FA3">
        <w:rPr>
          <w:rtl/>
        </w:rPr>
        <w:t>(ب) وأن تراجع النظام مرّة أخرى في موعد يُوصِي به المكتب الدولي، أو بناءً على طلب دولة متعاقدة، على ألا يكون ذلك الموعد بعد عام 2027".</w:t>
      </w:r>
    </w:p>
    <w:p w:rsidR="00ED5705" w:rsidRPr="002C5DF6" w:rsidRDefault="00ED5705" w:rsidP="009D1FA3">
      <w:pPr>
        <w:pStyle w:val="ONUMA"/>
        <w:numPr>
          <w:ilvl w:val="0"/>
          <w:numId w:val="0"/>
        </w:numPr>
        <w:ind w:left="5670"/>
        <w:rPr>
          <w:i/>
          <w:iCs/>
        </w:rPr>
      </w:pPr>
      <w:r w:rsidRPr="002C5DF6">
        <w:rPr>
          <w:i/>
          <w:iCs/>
          <w:rtl/>
        </w:rPr>
        <w:t>8.</w:t>
      </w:r>
      <w:r w:rsidRPr="002C5DF6">
        <w:rPr>
          <w:i/>
          <w:iCs/>
          <w:rtl/>
        </w:rPr>
        <w:tab/>
        <w:t>إن جمعية اتحاد معاه</w:t>
      </w:r>
      <w:r w:rsidR="009D1FA3">
        <w:rPr>
          <w:i/>
          <w:iCs/>
          <w:rtl/>
        </w:rPr>
        <w:t>دة التعاون بشأن البراءات مدعوة</w:t>
      </w:r>
      <w:r w:rsidR="009D1FA3">
        <w:rPr>
          <w:rFonts w:hint="cs"/>
          <w:i/>
          <w:iCs/>
          <w:rtl/>
        </w:rPr>
        <w:t xml:space="preserve"> </w:t>
      </w:r>
      <w:r w:rsidRPr="002C5DF6">
        <w:rPr>
          <w:i/>
          <w:iCs/>
          <w:rtl/>
        </w:rPr>
        <w:t>إلى ما يلي:</w:t>
      </w:r>
    </w:p>
    <w:p w:rsidR="00ED5705" w:rsidRPr="002C5DF6" w:rsidRDefault="00ED5705" w:rsidP="006E7A6D">
      <w:pPr>
        <w:pStyle w:val="bodyindent"/>
        <w:ind w:left="5670"/>
        <w:rPr>
          <w:i/>
          <w:iCs/>
          <w:rtl/>
        </w:rPr>
      </w:pPr>
      <w:r w:rsidRPr="002C5DF6">
        <w:rPr>
          <w:i/>
          <w:iCs/>
          <w:rtl/>
        </w:rPr>
        <w:t>"1"</w:t>
      </w:r>
      <w:r w:rsidRPr="002C5DF6">
        <w:rPr>
          <w:i/>
          <w:iCs/>
          <w:rtl/>
        </w:rPr>
        <w:tab/>
      </w:r>
      <w:r w:rsidR="009D1FA3">
        <w:rPr>
          <w:rFonts w:hint="cs"/>
          <w:i/>
          <w:iCs/>
          <w:rtl/>
        </w:rPr>
        <w:t xml:space="preserve">الإحاطة </w:t>
      </w:r>
      <w:r w:rsidR="009D1FA3" w:rsidRPr="009D1FA3">
        <w:rPr>
          <w:i/>
          <w:iCs/>
          <w:rtl/>
        </w:rPr>
        <w:t>علما</w:t>
      </w:r>
      <w:r w:rsidR="006E7A6D">
        <w:rPr>
          <w:rFonts w:hint="cs"/>
          <w:i/>
          <w:iCs/>
          <w:rtl/>
        </w:rPr>
        <w:t>ً</w:t>
      </w:r>
      <w:r w:rsidR="009D1FA3" w:rsidRPr="009D1FA3">
        <w:rPr>
          <w:i/>
          <w:iCs/>
          <w:rtl/>
        </w:rPr>
        <w:t xml:space="preserve"> بمراجعة نظام البحث الدولي </w:t>
      </w:r>
      <w:r w:rsidR="006E7A6D">
        <w:rPr>
          <w:rFonts w:hint="cs"/>
          <w:i/>
          <w:iCs/>
          <w:rtl/>
        </w:rPr>
        <w:t>الإضافي</w:t>
      </w:r>
      <w:r w:rsidR="009D1FA3" w:rsidRPr="009D1FA3">
        <w:rPr>
          <w:i/>
          <w:iCs/>
          <w:rtl/>
        </w:rPr>
        <w:t xml:space="preserve"> (الوثيقة </w:t>
      </w:r>
      <w:r w:rsidR="009D1FA3" w:rsidRPr="009D1FA3">
        <w:rPr>
          <w:i/>
          <w:iCs/>
        </w:rPr>
        <w:t>PCT</w:t>
      </w:r>
      <w:r w:rsidR="006E7A6D">
        <w:rPr>
          <w:i/>
          <w:iCs/>
        </w:rPr>
        <w:t>/</w:t>
      </w:r>
      <w:r w:rsidR="009D1FA3" w:rsidRPr="009D1FA3">
        <w:rPr>
          <w:i/>
          <w:iCs/>
        </w:rPr>
        <w:t>A</w:t>
      </w:r>
      <w:r w:rsidR="006E7A6D">
        <w:rPr>
          <w:i/>
          <w:iCs/>
        </w:rPr>
        <w:t>/</w:t>
      </w:r>
      <w:r w:rsidR="009D1FA3" w:rsidRPr="009D1FA3">
        <w:rPr>
          <w:i/>
          <w:iCs/>
        </w:rPr>
        <w:t>53/2</w:t>
      </w:r>
      <w:r w:rsidR="009D1FA3" w:rsidRPr="009D1FA3">
        <w:rPr>
          <w:i/>
          <w:iCs/>
          <w:rtl/>
        </w:rPr>
        <w:t>) ؛</w:t>
      </w:r>
    </w:p>
    <w:p w:rsidR="002B73F0" w:rsidRDefault="00ED5705" w:rsidP="003F0273">
      <w:pPr>
        <w:pStyle w:val="bodyindent"/>
        <w:ind w:left="5670"/>
        <w:rPr>
          <w:i/>
          <w:iCs/>
          <w:rtl/>
        </w:rPr>
      </w:pPr>
      <w:r w:rsidRPr="002C5DF6">
        <w:rPr>
          <w:i/>
          <w:iCs/>
          <w:rtl/>
        </w:rPr>
        <w:t>"2"</w:t>
      </w:r>
      <w:r w:rsidRPr="002C5DF6">
        <w:rPr>
          <w:i/>
          <w:iCs/>
          <w:rtl/>
        </w:rPr>
        <w:tab/>
      </w:r>
      <w:r w:rsidR="006E7A6D">
        <w:rPr>
          <w:rFonts w:hint="cs"/>
          <w:i/>
          <w:iCs/>
          <w:rtl/>
          <w:lang w:bidi="ar-SY"/>
        </w:rPr>
        <w:t>و</w:t>
      </w:r>
      <w:r w:rsidR="009D1FA3" w:rsidRPr="009D1FA3">
        <w:rPr>
          <w:i/>
          <w:iCs/>
          <w:rtl/>
        </w:rPr>
        <w:t>اعتماد القرار المقترح الوارد في الفقرة 7 من تلك الوثيقة.</w:t>
      </w:r>
    </w:p>
    <w:p w:rsidR="003F0273" w:rsidRPr="003F0273" w:rsidRDefault="00037CF8" w:rsidP="003F0273">
      <w:pPr>
        <w:pStyle w:val="Endofdocument-Annex"/>
        <w:rPr>
          <w:rFonts w:ascii="Calibri" w:hAnsi="Calibri"/>
          <w:lang w:val="fr-CH"/>
        </w:rPr>
      </w:pPr>
      <w:r w:rsidRPr="003F0273">
        <w:rPr>
          <w:rFonts w:ascii="Calibri" w:hAnsi="Calibri"/>
          <w:rtl/>
          <w:lang w:val="fr-CH"/>
        </w:rPr>
        <w:t xml:space="preserve"> </w:t>
      </w:r>
      <w:r w:rsidR="003F0273" w:rsidRPr="003F0273">
        <w:rPr>
          <w:rFonts w:ascii="Calibri" w:hAnsi="Calibri"/>
          <w:rtl/>
          <w:lang w:val="fr-CH"/>
        </w:rPr>
        <w:t>[نهاية الوثيقة]</w:t>
      </w:r>
    </w:p>
    <w:sectPr w:rsidR="003F0273" w:rsidRPr="003F0273" w:rsidSect="00037CF8">
      <w:headerReference w:type="default" r:id="rId12"/>
      <w:headerReference w:type="first" r:id="rId13"/>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382" w:rsidRDefault="000F4382">
      <w:r>
        <w:separator/>
      </w:r>
    </w:p>
  </w:endnote>
  <w:endnote w:type="continuationSeparator" w:id="0">
    <w:p w:rsidR="000F4382" w:rsidRDefault="000F4382" w:rsidP="003B38C1">
      <w:r>
        <w:separator/>
      </w:r>
    </w:p>
    <w:p w:rsidR="000F4382" w:rsidRPr="003B38C1" w:rsidRDefault="000F4382" w:rsidP="003B38C1">
      <w:pPr>
        <w:spacing w:after="60"/>
        <w:rPr>
          <w:sz w:val="17"/>
        </w:rPr>
      </w:pPr>
      <w:r>
        <w:rPr>
          <w:sz w:val="17"/>
        </w:rPr>
        <w:t>[Endnote continued from previous page]</w:t>
      </w:r>
    </w:p>
  </w:endnote>
  <w:endnote w:type="continuationNotice" w:id="1">
    <w:p w:rsidR="000F4382" w:rsidRPr="003B38C1" w:rsidRDefault="000F43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abic Typesetting">
    <w:altName w:val="Courier New"/>
    <w:panose1 w:val="03020402040406030203"/>
    <w:charset w:val="00"/>
    <w:family w:val="script"/>
    <w:pitch w:val="variable"/>
    <w:sig w:usb0="80002007" w:usb1="8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382" w:rsidRDefault="000F4382">
      <w:r>
        <w:separator/>
      </w:r>
    </w:p>
  </w:footnote>
  <w:footnote w:type="continuationSeparator" w:id="0">
    <w:p w:rsidR="000F4382" w:rsidRDefault="000F4382" w:rsidP="008B60B2">
      <w:r>
        <w:separator/>
      </w:r>
    </w:p>
    <w:p w:rsidR="000F4382" w:rsidRPr="00ED77FB" w:rsidRDefault="000F4382" w:rsidP="008B60B2">
      <w:pPr>
        <w:spacing w:after="60"/>
        <w:rPr>
          <w:sz w:val="17"/>
          <w:szCs w:val="17"/>
        </w:rPr>
      </w:pPr>
      <w:r w:rsidRPr="00ED77FB">
        <w:rPr>
          <w:sz w:val="17"/>
          <w:szCs w:val="17"/>
        </w:rPr>
        <w:t>[Footnote continued from previous page]</w:t>
      </w:r>
    </w:p>
  </w:footnote>
  <w:footnote w:type="continuationNotice" w:id="1">
    <w:p w:rsidR="000F4382" w:rsidRPr="00ED77FB" w:rsidRDefault="000F43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919339556"/>
      <w:docPartObj>
        <w:docPartGallery w:val="Page Numbers (Top of Page)"/>
        <w:docPartUnique/>
      </w:docPartObj>
    </w:sdtPr>
    <w:sdtEndPr>
      <w:rPr>
        <w:noProof/>
      </w:rPr>
    </w:sdtEndPr>
    <w:sdtContent>
      <w:p w:rsidR="00037CF8" w:rsidRDefault="00037CF8">
        <w:pPr>
          <w:pStyle w:val="Header"/>
          <w:jc w:val="right"/>
        </w:pPr>
        <w:r>
          <w:t>PCT/A/53/2</w:t>
        </w:r>
      </w:p>
      <w:p w:rsidR="00037CF8" w:rsidRDefault="00037CF8" w:rsidP="00037CF8">
        <w:pPr>
          <w:pStyle w:val="Header"/>
          <w:jc w:val="right"/>
          <w:rPr>
            <w:noProof/>
          </w:rPr>
        </w:pPr>
        <w:r>
          <w:fldChar w:fldCharType="begin"/>
        </w:r>
        <w:r>
          <w:instrText xml:space="preserve"> PAGE   \* MERGEFORMAT </w:instrText>
        </w:r>
        <w:r>
          <w:fldChar w:fldCharType="separate"/>
        </w:r>
        <w:r w:rsidR="00BE7C50">
          <w:rPr>
            <w:noProof/>
          </w:rPr>
          <w:t>2</w:t>
        </w:r>
        <w:r>
          <w:rPr>
            <w:noProof/>
          </w:rPr>
          <w:fldChar w:fldCharType="end"/>
        </w:r>
      </w:p>
      <w:p w:rsidR="00037CF8" w:rsidRPr="00037CF8" w:rsidRDefault="00862083" w:rsidP="00037CF8">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87D" w:rsidRPr="00501CF2" w:rsidRDefault="008C087D" w:rsidP="00501CF2">
    <w:pPr>
      <w:pStyle w:val="Header"/>
      <w:bidi w:val="0"/>
      <w:rPr>
        <w:rtl/>
        <w:lang w:val="fr-CH"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1892FB4C"/>
    <w:name w:val="WW8Num3"/>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6CD29E3"/>
    <w:multiLevelType w:val="multilevel"/>
    <w:tmpl w:val="AE98A08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numFmt w:val="bullet"/>
      <w:lvlText w:val=""/>
      <w:lvlJc w:val="left"/>
      <w:pPr>
        <w:tabs>
          <w:tab w:val="num" w:pos="3402"/>
        </w:tabs>
        <w:ind w:left="2835" w:firstLine="0"/>
      </w:pPr>
      <w:rPr>
        <w:rFonts w:ascii="Symbol" w:eastAsia="Symbol" w:hAnsi="Symbol" w:cs="Symbol" w:hint="default"/>
        <w:b w:val="0"/>
        <w:bCs w:val="0"/>
        <w:i w:val="0"/>
        <w:iCs w:val="0"/>
        <w:w w:val="100"/>
        <w:sz w:val="22"/>
        <w:szCs w:val="22"/>
        <w:lang w:val="en-US" w:eastAsia="en-US" w:bidi="ar-SA"/>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C1949D9"/>
    <w:multiLevelType w:val="hybridMultilevel"/>
    <w:tmpl w:val="6F441AD2"/>
    <w:lvl w:ilvl="0" w:tplc="491283B8">
      <w:start w:val="1"/>
      <w:numFmt w:val="arabicAbjad"/>
      <w:lvlText w:val="(%1)"/>
      <w:lvlJc w:val="left"/>
      <w:pPr>
        <w:ind w:left="927" w:hanging="360"/>
      </w:pPr>
      <w:rPr>
        <w:rFonts w:ascii="Calibri" w:eastAsia="Times New Roman" w:hAnsi="Calibri" w:cs="Calibri" w:hint="default"/>
        <w:b w:val="0"/>
        <w:bCs w:val="0"/>
        <w:i/>
        <w:iCs w:val="0"/>
        <w:sz w:val="22"/>
        <w:szCs w:val="22"/>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6"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82FB1"/>
    <w:multiLevelType w:val="hybridMultilevel"/>
    <w:tmpl w:val="A46C4AE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16"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5845AB"/>
    <w:multiLevelType w:val="hybridMultilevel"/>
    <w:tmpl w:val="5442C9E6"/>
    <w:lvl w:ilvl="0" w:tplc="E202148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22"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CF7085"/>
    <w:multiLevelType w:val="hybridMultilevel"/>
    <w:tmpl w:val="D284BDCC"/>
    <w:lvl w:ilvl="0" w:tplc="F9FCF620">
      <w:numFmt w:val="bullet"/>
      <w:lvlText w:val=""/>
      <w:lvlJc w:val="left"/>
      <w:pPr>
        <w:ind w:left="1287"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20061B"/>
    <w:multiLevelType w:val="multilevel"/>
    <w:tmpl w:val="749020B8"/>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31"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3A2923"/>
    <w:multiLevelType w:val="hybridMultilevel"/>
    <w:tmpl w:val="DC3A2442"/>
    <w:lvl w:ilvl="0" w:tplc="04090001">
      <w:start w:val="1"/>
      <w:numFmt w:val="bullet"/>
      <w:lvlText w:val=""/>
      <w:lvlJc w:val="left"/>
      <w:pPr>
        <w:ind w:left="3555" w:hanging="360"/>
      </w:pPr>
      <w:rPr>
        <w:rFonts w:ascii="Symbol" w:hAnsi="Symbol" w:hint="default"/>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4"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36" w15:restartNumberingAfterBreak="0">
    <w:nsid w:val="76A20192"/>
    <w:multiLevelType w:val="hybridMultilevel"/>
    <w:tmpl w:val="334688CC"/>
    <w:lvl w:ilvl="0" w:tplc="F9FCF620">
      <w:numFmt w:val="bullet"/>
      <w:lvlText w:val=""/>
      <w:lvlJc w:val="left"/>
      <w:pPr>
        <w:ind w:left="900"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785E6F59"/>
    <w:multiLevelType w:val="hybridMultilevel"/>
    <w:tmpl w:val="08D4F928"/>
    <w:lvl w:ilvl="0" w:tplc="F9FCF620">
      <w:numFmt w:val="bullet"/>
      <w:lvlText w:val=""/>
      <w:lvlJc w:val="left"/>
      <w:pPr>
        <w:ind w:left="3555" w:hanging="360"/>
      </w:pPr>
      <w:rPr>
        <w:rFonts w:ascii="Symbol" w:eastAsia="Symbol" w:hAnsi="Symbol" w:cs="Symbol" w:hint="default"/>
        <w:b w:val="0"/>
        <w:bCs w:val="0"/>
        <w:i w:val="0"/>
        <w:iCs w:val="0"/>
        <w:w w:val="100"/>
        <w:sz w:val="22"/>
        <w:szCs w:val="22"/>
        <w:lang w:val="en-US" w:eastAsia="en-US" w:bidi="ar-SA"/>
      </w:rPr>
    </w:lvl>
    <w:lvl w:ilvl="1" w:tplc="04090003" w:tentative="1">
      <w:start w:val="1"/>
      <w:numFmt w:val="bullet"/>
      <w:lvlText w:val="o"/>
      <w:lvlJc w:val="left"/>
      <w:pPr>
        <w:ind w:left="4275" w:hanging="360"/>
      </w:pPr>
      <w:rPr>
        <w:rFonts w:ascii="Courier New" w:hAnsi="Courier New" w:cs="Courier New" w:hint="default"/>
      </w:rPr>
    </w:lvl>
    <w:lvl w:ilvl="2" w:tplc="04090005" w:tentative="1">
      <w:start w:val="1"/>
      <w:numFmt w:val="bullet"/>
      <w:lvlText w:val=""/>
      <w:lvlJc w:val="left"/>
      <w:pPr>
        <w:ind w:left="4995" w:hanging="360"/>
      </w:pPr>
      <w:rPr>
        <w:rFonts w:ascii="Wingdings" w:hAnsi="Wingdings" w:hint="default"/>
      </w:rPr>
    </w:lvl>
    <w:lvl w:ilvl="3" w:tplc="04090001" w:tentative="1">
      <w:start w:val="1"/>
      <w:numFmt w:val="bullet"/>
      <w:lvlText w:val=""/>
      <w:lvlJc w:val="left"/>
      <w:pPr>
        <w:ind w:left="5715" w:hanging="360"/>
      </w:pPr>
      <w:rPr>
        <w:rFonts w:ascii="Symbol" w:hAnsi="Symbol" w:hint="default"/>
      </w:rPr>
    </w:lvl>
    <w:lvl w:ilvl="4" w:tplc="04090003" w:tentative="1">
      <w:start w:val="1"/>
      <w:numFmt w:val="bullet"/>
      <w:lvlText w:val="o"/>
      <w:lvlJc w:val="left"/>
      <w:pPr>
        <w:ind w:left="6435" w:hanging="360"/>
      </w:pPr>
      <w:rPr>
        <w:rFonts w:ascii="Courier New" w:hAnsi="Courier New" w:cs="Courier New" w:hint="default"/>
      </w:rPr>
    </w:lvl>
    <w:lvl w:ilvl="5" w:tplc="04090005" w:tentative="1">
      <w:start w:val="1"/>
      <w:numFmt w:val="bullet"/>
      <w:lvlText w:val=""/>
      <w:lvlJc w:val="left"/>
      <w:pPr>
        <w:ind w:left="7155" w:hanging="360"/>
      </w:pPr>
      <w:rPr>
        <w:rFonts w:ascii="Wingdings" w:hAnsi="Wingdings" w:hint="default"/>
      </w:rPr>
    </w:lvl>
    <w:lvl w:ilvl="6" w:tplc="04090001" w:tentative="1">
      <w:start w:val="1"/>
      <w:numFmt w:val="bullet"/>
      <w:lvlText w:val=""/>
      <w:lvlJc w:val="left"/>
      <w:pPr>
        <w:ind w:left="7875" w:hanging="360"/>
      </w:pPr>
      <w:rPr>
        <w:rFonts w:ascii="Symbol" w:hAnsi="Symbol" w:hint="default"/>
      </w:rPr>
    </w:lvl>
    <w:lvl w:ilvl="7" w:tplc="04090003" w:tentative="1">
      <w:start w:val="1"/>
      <w:numFmt w:val="bullet"/>
      <w:lvlText w:val="o"/>
      <w:lvlJc w:val="left"/>
      <w:pPr>
        <w:ind w:left="8595" w:hanging="360"/>
      </w:pPr>
      <w:rPr>
        <w:rFonts w:ascii="Courier New" w:hAnsi="Courier New" w:cs="Courier New" w:hint="default"/>
      </w:rPr>
    </w:lvl>
    <w:lvl w:ilvl="8" w:tplc="04090005" w:tentative="1">
      <w:start w:val="1"/>
      <w:numFmt w:val="bullet"/>
      <w:lvlText w:val=""/>
      <w:lvlJc w:val="left"/>
      <w:pPr>
        <w:ind w:left="9315" w:hanging="360"/>
      </w:pPr>
      <w:rPr>
        <w:rFonts w:ascii="Wingdings" w:hAnsi="Wingdings" w:hint="default"/>
      </w:rPr>
    </w:lvl>
  </w:abstractNum>
  <w:abstractNum w:abstractNumId="3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F4673ED"/>
    <w:multiLevelType w:val="hybridMultilevel"/>
    <w:tmpl w:val="0F325C04"/>
    <w:lvl w:ilvl="0" w:tplc="64F805CE">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
  </w:num>
  <w:num w:numId="4">
    <w:abstractNumId w:val="29"/>
  </w:num>
  <w:num w:numId="5">
    <w:abstractNumId w:val="4"/>
  </w:num>
  <w:num w:numId="6">
    <w:abstractNumId w:val="13"/>
  </w:num>
  <w:num w:numId="7">
    <w:abstractNumId w:val="30"/>
  </w:num>
  <w:num w:numId="8">
    <w:abstractNumId w:val="21"/>
  </w:num>
  <w:num w:numId="9">
    <w:abstractNumId w:val="30"/>
  </w:num>
  <w:num w:numId="10">
    <w:abstractNumId w:val="30"/>
  </w:num>
  <w:num w:numId="11">
    <w:abstractNumId w:val="7"/>
  </w:num>
  <w:num w:numId="12">
    <w:abstractNumId w:val="3"/>
  </w:num>
  <w:num w:numId="13">
    <w:abstractNumId w:val="6"/>
  </w:num>
  <w:num w:numId="14">
    <w:abstractNumId w:val="19"/>
  </w:num>
  <w:num w:numId="15">
    <w:abstractNumId w:val="31"/>
  </w:num>
  <w:num w:numId="16">
    <w:abstractNumId w:val="25"/>
  </w:num>
  <w:num w:numId="17">
    <w:abstractNumId w:val="32"/>
  </w:num>
  <w:num w:numId="18">
    <w:abstractNumId w:val="35"/>
  </w:num>
  <w:num w:numId="19">
    <w:abstractNumId w:val="18"/>
  </w:num>
  <w:num w:numId="20">
    <w:abstractNumId w:val="14"/>
  </w:num>
  <w:num w:numId="21">
    <w:abstractNumId w:val="8"/>
  </w:num>
  <w:num w:numId="22">
    <w:abstractNumId w:val="28"/>
  </w:num>
  <w:num w:numId="23">
    <w:abstractNumId w:val="11"/>
  </w:num>
  <w:num w:numId="24">
    <w:abstractNumId w:val="1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9"/>
  </w:num>
  <w:num w:numId="28">
    <w:abstractNumId w:val="34"/>
  </w:num>
  <w:num w:numId="29">
    <w:abstractNumId w:val="38"/>
  </w:num>
  <w:num w:numId="30">
    <w:abstractNumId w:val="20"/>
  </w:num>
  <w:num w:numId="31">
    <w:abstractNumId w:val="26"/>
  </w:num>
  <w:num w:numId="32">
    <w:abstractNumId w:val="27"/>
  </w:num>
  <w:num w:numId="33">
    <w:abstractNumId w:val="2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9"/>
  </w:num>
  <w:num w:numId="38">
    <w:abstractNumId w:val="17"/>
  </w:num>
  <w:num w:numId="39">
    <w:abstractNumId w:val="33"/>
  </w:num>
  <w:num w:numId="40">
    <w:abstractNumId w:val="15"/>
  </w:num>
  <w:num w:numId="41">
    <w:abstractNumId w:val="37"/>
  </w:num>
  <w:num w:numId="42">
    <w:abstractNumId w:val="23"/>
  </w:num>
  <w:num w:numId="43">
    <w:abstractNumId w:val="0"/>
  </w:num>
  <w:num w:numId="44">
    <w:abstractNumId w:val="36"/>
  </w:num>
  <w:num w:numId="45">
    <w:abstractNumId w:val="16"/>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37CF8"/>
    <w:rsid w:val="00043CAA"/>
    <w:rsid w:val="00056816"/>
    <w:rsid w:val="00066720"/>
    <w:rsid w:val="00075432"/>
    <w:rsid w:val="000968ED"/>
    <w:rsid w:val="000A361E"/>
    <w:rsid w:val="000A3A5C"/>
    <w:rsid w:val="000A3D97"/>
    <w:rsid w:val="000C311C"/>
    <w:rsid w:val="000D00DE"/>
    <w:rsid w:val="000D65DB"/>
    <w:rsid w:val="000F4382"/>
    <w:rsid w:val="000F5E56"/>
    <w:rsid w:val="00120227"/>
    <w:rsid w:val="0013388C"/>
    <w:rsid w:val="001362EE"/>
    <w:rsid w:val="001406E1"/>
    <w:rsid w:val="00155D8A"/>
    <w:rsid w:val="00164664"/>
    <w:rsid w:val="001647D5"/>
    <w:rsid w:val="001676CE"/>
    <w:rsid w:val="0017373B"/>
    <w:rsid w:val="001832A6"/>
    <w:rsid w:val="0019592A"/>
    <w:rsid w:val="001B72A9"/>
    <w:rsid w:val="001D4107"/>
    <w:rsid w:val="00203D24"/>
    <w:rsid w:val="00210D5F"/>
    <w:rsid w:val="00212051"/>
    <w:rsid w:val="0021217E"/>
    <w:rsid w:val="002326AB"/>
    <w:rsid w:val="00233D91"/>
    <w:rsid w:val="00236477"/>
    <w:rsid w:val="00243430"/>
    <w:rsid w:val="00243FC9"/>
    <w:rsid w:val="002634C4"/>
    <w:rsid w:val="002715B2"/>
    <w:rsid w:val="002760FD"/>
    <w:rsid w:val="002823B3"/>
    <w:rsid w:val="00292239"/>
    <w:rsid w:val="002928D3"/>
    <w:rsid w:val="002A70CF"/>
    <w:rsid w:val="002B73F0"/>
    <w:rsid w:val="002C5DF6"/>
    <w:rsid w:val="002D4145"/>
    <w:rsid w:val="002F1FE6"/>
    <w:rsid w:val="002F35C6"/>
    <w:rsid w:val="002F4E68"/>
    <w:rsid w:val="003122A9"/>
    <w:rsid w:val="00312F7F"/>
    <w:rsid w:val="003246F7"/>
    <w:rsid w:val="00361450"/>
    <w:rsid w:val="003673CF"/>
    <w:rsid w:val="003845C1"/>
    <w:rsid w:val="00384716"/>
    <w:rsid w:val="003A6F89"/>
    <w:rsid w:val="003B355C"/>
    <w:rsid w:val="003B38C1"/>
    <w:rsid w:val="003B58A4"/>
    <w:rsid w:val="003C34E9"/>
    <w:rsid w:val="003D6E72"/>
    <w:rsid w:val="003F0273"/>
    <w:rsid w:val="00410434"/>
    <w:rsid w:val="00414BE8"/>
    <w:rsid w:val="00423E3E"/>
    <w:rsid w:val="00427AF4"/>
    <w:rsid w:val="00432AB7"/>
    <w:rsid w:val="00442C9F"/>
    <w:rsid w:val="00456015"/>
    <w:rsid w:val="004647DA"/>
    <w:rsid w:val="00474062"/>
    <w:rsid w:val="004750D0"/>
    <w:rsid w:val="00477D6B"/>
    <w:rsid w:val="00484B0E"/>
    <w:rsid w:val="00487774"/>
    <w:rsid w:val="004A3627"/>
    <w:rsid w:val="004B0691"/>
    <w:rsid w:val="005019FF"/>
    <w:rsid w:val="00501CF2"/>
    <w:rsid w:val="0053057A"/>
    <w:rsid w:val="005408D9"/>
    <w:rsid w:val="00552BA1"/>
    <w:rsid w:val="00556076"/>
    <w:rsid w:val="00560A29"/>
    <w:rsid w:val="0058361B"/>
    <w:rsid w:val="00593BCD"/>
    <w:rsid w:val="005C4FAC"/>
    <w:rsid w:val="005C6649"/>
    <w:rsid w:val="005E7B89"/>
    <w:rsid w:val="005F023E"/>
    <w:rsid w:val="00600A40"/>
    <w:rsid w:val="00605827"/>
    <w:rsid w:val="00606BD2"/>
    <w:rsid w:val="00607201"/>
    <w:rsid w:val="006144EE"/>
    <w:rsid w:val="00646050"/>
    <w:rsid w:val="0064611F"/>
    <w:rsid w:val="006713CA"/>
    <w:rsid w:val="00676C5C"/>
    <w:rsid w:val="00690E4A"/>
    <w:rsid w:val="00695DBB"/>
    <w:rsid w:val="006B5C12"/>
    <w:rsid w:val="006E2374"/>
    <w:rsid w:val="006E7A6D"/>
    <w:rsid w:val="007067AD"/>
    <w:rsid w:val="00720EFD"/>
    <w:rsid w:val="00727623"/>
    <w:rsid w:val="00734A4A"/>
    <w:rsid w:val="00740999"/>
    <w:rsid w:val="00756DDD"/>
    <w:rsid w:val="007854AF"/>
    <w:rsid w:val="00793A7C"/>
    <w:rsid w:val="007A398A"/>
    <w:rsid w:val="007C4902"/>
    <w:rsid w:val="007D1613"/>
    <w:rsid w:val="007E1DDD"/>
    <w:rsid w:val="007E4C0E"/>
    <w:rsid w:val="007F2029"/>
    <w:rsid w:val="0081766B"/>
    <w:rsid w:val="00826C68"/>
    <w:rsid w:val="00827573"/>
    <w:rsid w:val="00833132"/>
    <w:rsid w:val="0084049E"/>
    <w:rsid w:val="0085493F"/>
    <w:rsid w:val="0086498B"/>
    <w:rsid w:val="00880816"/>
    <w:rsid w:val="008854AB"/>
    <w:rsid w:val="008A134B"/>
    <w:rsid w:val="008A7FCF"/>
    <w:rsid w:val="008B2CC1"/>
    <w:rsid w:val="008B60B2"/>
    <w:rsid w:val="008C087D"/>
    <w:rsid w:val="008C1023"/>
    <w:rsid w:val="008F2CCB"/>
    <w:rsid w:val="00900085"/>
    <w:rsid w:val="0090731E"/>
    <w:rsid w:val="00916267"/>
    <w:rsid w:val="00916EE2"/>
    <w:rsid w:val="009377B5"/>
    <w:rsid w:val="00966A22"/>
    <w:rsid w:val="0096722F"/>
    <w:rsid w:val="00980843"/>
    <w:rsid w:val="009941CE"/>
    <w:rsid w:val="009A5ED7"/>
    <w:rsid w:val="009B0855"/>
    <w:rsid w:val="009B1FD8"/>
    <w:rsid w:val="009C185C"/>
    <w:rsid w:val="009D1FA3"/>
    <w:rsid w:val="009E2791"/>
    <w:rsid w:val="009E3350"/>
    <w:rsid w:val="009E3F6F"/>
    <w:rsid w:val="009E4AB1"/>
    <w:rsid w:val="009F499F"/>
    <w:rsid w:val="00A06641"/>
    <w:rsid w:val="00A35B32"/>
    <w:rsid w:val="00A37342"/>
    <w:rsid w:val="00A42DAF"/>
    <w:rsid w:val="00A45BD8"/>
    <w:rsid w:val="00A869B7"/>
    <w:rsid w:val="00A90F0A"/>
    <w:rsid w:val="00A92137"/>
    <w:rsid w:val="00A92F5C"/>
    <w:rsid w:val="00A93E65"/>
    <w:rsid w:val="00A97F09"/>
    <w:rsid w:val="00AC205C"/>
    <w:rsid w:val="00AD7900"/>
    <w:rsid w:val="00AE33FE"/>
    <w:rsid w:val="00AF0A6B"/>
    <w:rsid w:val="00AF3F1F"/>
    <w:rsid w:val="00B04F92"/>
    <w:rsid w:val="00B051F1"/>
    <w:rsid w:val="00B05A69"/>
    <w:rsid w:val="00B1691D"/>
    <w:rsid w:val="00B42CA9"/>
    <w:rsid w:val="00B51FF7"/>
    <w:rsid w:val="00B642B6"/>
    <w:rsid w:val="00B75281"/>
    <w:rsid w:val="00B757B3"/>
    <w:rsid w:val="00B870F1"/>
    <w:rsid w:val="00B92F1F"/>
    <w:rsid w:val="00B9734B"/>
    <w:rsid w:val="00BA30E2"/>
    <w:rsid w:val="00BE7C50"/>
    <w:rsid w:val="00C05675"/>
    <w:rsid w:val="00C11BFE"/>
    <w:rsid w:val="00C137FA"/>
    <w:rsid w:val="00C22020"/>
    <w:rsid w:val="00C5068F"/>
    <w:rsid w:val="00C6249E"/>
    <w:rsid w:val="00C86D74"/>
    <w:rsid w:val="00CA547C"/>
    <w:rsid w:val="00CA7FCC"/>
    <w:rsid w:val="00CB3DBA"/>
    <w:rsid w:val="00CC3E2D"/>
    <w:rsid w:val="00CC4F6F"/>
    <w:rsid w:val="00CD04F1"/>
    <w:rsid w:val="00CD0654"/>
    <w:rsid w:val="00CD3D4A"/>
    <w:rsid w:val="00CE19F8"/>
    <w:rsid w:val="00CF4C5F"/>
    <w:rsid w:val="00CF681A"/>
    <w:rsid w:val="00D07C78"/>
    <w:rsid w:val="00D1391E"/>
    <w:rsid w:val="00D244A1"/>
    <w:rsid w:val="00D27C51"/>
    <w:rsid w:val="00D36188"/>
    <w:rsid w:val="00D37F86"/>
    <w:rsid w:val="00D45252"/>
    <w:rsid w:val="00D509EC"/>
    <w:rsid w:val="00D60B2C"/>
    <w:rsid w:val="00D67EAE"/>
    <w:rsid w:val="00D71B4D"/>
    <w:rsid w:val="00D8094D"/>
    <w:rsid w:val="00D90B96"/>
    <w:rsid w:val="00D90BE3"/>
    <w:rsid w:val="00D93D55"/>
    <w:rsid w:val="00DC4219"/>
    <w:rsid w:val="00DD7B7F"/>
    <w:rsid w:val="00E14ECC"/>
    <w:rsid w:val="00E15015"/>
    <w:rsid w:val="00E235A8"/>
    <w:rsid w:val="00E319DF"/>
    <w:rsid w:val="00E335FE"/>
    <w:rsid w:val="00E41128"/>
    <w:rsid w:val="00E44583"/>
    <w:rsid w:val="00E52593"/>
    <w:rsid w:val="00E5609F"/>
    <w:rsid w:val="00E64DC3"/>
    <w:rsid w:val="00E66CC5"/>
    <w:rsid w:val="00E7374D"/>
    <w:rsid w:val="00E93349"/>
    <w:rsid w:val="00EA7D6E"/>
    <w:rsid w:val="00EB2F76"/>
    <w:rsid w:val="00EB5D30"/>
    <w:rsid w:val="00EC4E49"/>
    <w:rsid w:val="00ED5705"/>
    <w:rsid w:val="00ED77FB"/>
    <w:rsid w:val="00EE066C"/>
    <w:rsid w:val="00EE12F7"/>
    <w:rsid w:val="00EE45FA"/>
    <w:rsid w:val="00EF65E4"/>
    <w:rsid w:val="00F043DE"/>
    <w:rsid w:val="00F15097"/>
    <w:rsid w:val="00F278E6"/>
    <w:rsid w:val="00F46060"/>
    <w:rsid w:val="00F65FAF"/>
    <w:rsid w:val="00F66152"/>
    <w:rsid w:val="00F9165B"/>
    <w:rsid w:val="00F9168A"/>
    <w:rsid w:val="00F93A9E"/>
    <w:rsid w:val="00FA6A52"/>
    <w:rsid w:val="00FB55D3"/>
    <w:rsid w:val="00FC482F"/>
    <w:rsid w:val="00FC6EAA"/>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826C68"/>
    <w:rPr>
      <w:rFonts w:ascii="Arial" w:eastAsia="SimSun" w:hAnsi="Arial" w:cs="Calibri"/>
      <w:sz w:val="22"/>
      <w:szCs w:val="22"/>
      <w:lang w:val="en-US" w:eastAsia="zh-CN"/>
    </w:rPr>
  </w:style>
  <w:style w:type="character" w:customStyle="1" w:styleId="Heading3Char">
    <w:name w:val="Heading 3 Char"/>
    <w:basedOn w:val="DefaultParagraphFont"/>
    <w:link w:val="Heading3"/>
    <w:rsid w:val="00CD0654"/>
    <w:rPr>
      <w:rFonts w:ascii="Arial" w:eastAsia="SimSun" w:hAnsi="Arial" w:cs="Calibri"/>
      <w:bCs/>
      <w:sz w:val="26"/>
      <w:szCs w:val="26"/>
      <w:u w:val="single"/>
      <w:lang w:val="en-US" w:eastAsia="zh-CN"/>
    </w:rPr>
  </w:style>
  <w:style w:type="paragraph" w:styleId="ListNumber2">
    <w:name w:val="List Number 2"/>
    <w:basedOn w:val="Normal"/>
    <w:semiHidden/>
    <w:rsid w:val="00CD0654"/>
    <w:pPr>
      <w:numPr>
        <w:numId w:val="43"/>
      </w:numPr>
      <w:tabs>
        <w:tab w:val="clear" w:pos="643"/>
      </w:tabs>
      <w:spacing w:before="200"/>
      <w:ind w:left="1701" w:hanging="567"/>
    </w:pPr>
    <w:rPr>
      <w:rFonts w:ascii="Arabic Typesetting" w:eastAsia="Times New Roman" w:hAnsi="Arabic Typesetting" w:cs="Arabic Typesetting"/>
      <w:sz w:val="36"/>
      <w:szCs w:val="36"/>
      <w:lang w:eastAsia="en-US"/>
    </w:rPr>
  </w:style>
  <w:style w:type="character" w:customStyle="1" w:styleId="Heading2Char">
    <w:name w:val="Heading 2 Char"/>
    <w:basedOn w:val="DefaultParagraphFont"/>
    <w:link w:val="Heading2"/>
    <w:rsid w:val="00CD0654"/>
    <w:rPr>
      <w:rFonts w:ascii="Arial" w:eastAsia="SimSun" w:hAnsi="Arial" w:cs="Calibri"/>
      <w:bCs/>
      <w:iCs/>
      <w:caps/>
      <w:sz w:val="28"/>
      <w:szCs w:val="28"/>
      <w:lang w:val="en-US" w:eastAsia="zh-CN"/>
    </w:rPr>
  </w:style>
  <w:style w:type="paragraph" w:customStyle="1" w:styleId="NumberedParaAR">
    <w:name w:val="Numbered_Para_AR"/>
    <w:basedOn w:val="Normal"/>
    <w:rsid w:val="00EF65E4"/>
    <w:pPr>
      <w:numPr>
        <w:numId w:val="45"/>
      </w:numPr>
      <w:spacing w:after="240" w:line="360" w:lineRule="exact"/>
    </w:pPr>
    <w:rPr>
      <w:rFonts w:ascii="Arabic Typesetting" w:eastAsia="Times New Roman" w:hAnsi="Arabic Typesetting" w:cs="Arabic Typesetting"/>
      <w:sz w:val="36"/>
      <w:szCs w:val="36"/>
      <w:lang w:eastAsia="en-US"/>
    </w:rPr>
  </w:style>
  <w:style w:type="paragraph" w:customStyle="1" w:styleId="NormalParaAR">
    <w:name w:val="Normal_Para_AR"/>
    <w:rsid w:val="002D4145"/>
    <w:pPr>
      <w:bidi/>
      <w:spacing w:after="240" w:line="360" w:lineRule="exact"/>
    </w:pPr>
    <w:rPr>
      <w:rFonts w:ascii="Arabic Typesetting" w:hAnsi="Arabic Typesetting" w:cs="Arabic Typesetting"/>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66B4E-121B-44C3-9C92-2F4D95CC4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726</Words>
  <Characters>3700</Characters>
  <Application>Microsoft Office Word</Application>
  <DocSecurity>0</DocSecurity>
  <Lines>68</Lines>
  <Paragraphs>32</Paragraphs>
  <ScaleCrop>false</ScaleCrop>
  <HeadingPairs>
    <vt:vector size="2" baseType="variant">
      <vt:variant>
        <vt:lpstr>Title</vt:lpstr>
      </vt:variant>
      <vt:variant>
        <vt:i4>1</vt:i4>
      </vt:variant>
    </vt:vector>
  </HeadingPairs>
  <TitlesOfParts>
    <vt:vector size="1" baseType="lpstr">
      <vt:lpstr>WO/GA/54/7 (Arabic)</vt:lpstr>
    </vt:vector>
  </TitlesOfParts>
  <Company>WIPO</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PCT/A/53/2 (Arabic)</dc:title>
  <dc:creator>WIPO</dc:creator>
  <cp:keywords>PUBLIC</cp:keywords>
  <cp:lastModifiedBy>HÄFLIGER Patience</cp:lastModifiedBy>
  <cp:revision>20</cp:revision>
  <cp:lastPrinted>2021-06-24T13:48:00Z</cp:lastPrinted>
  <dcterms:created xsi:type="dcterms:W3CDTF">2021-06-24T10:00:00Z</dcterms:created>
  <dcterms:modified xsi:type="dcterms:W3CDTF">2021-07-01T08:06:00Z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