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952C9" w:rsidP="00A82737">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MM/A/5</w:t>
      </w:r>
      <w:r w:rsidR="00A82737">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EC2F0D">
        <w:rPr>
          <w:rFonts w:ascii="Arial Black" w:eastAsia="SimSun" w:hAnsi="Arial Black" w:cs="Arial"/>
          <w:b/>
          <w:caps/>
          <w:noProof/>
          <w:sz w:val="16"/>
          <w:szCs w:val="16"/>
          <w:lang w:eastAsia="zh-CN"/>
        </w:rPr>
        <w:t>2</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EC2F0D">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EC2F0D">
        <w:rPr>
          <w:rFonts w:hint="cs"/>
          <w:b/>
          <w:bCs/>
          <w:sz w:val="30"/>
          <w:szCs w:val="30"/>
          <w:rtl/>
        </w:rPr>
        <w:t>20 سبتمبر 2019</w:t>
      </w:r>
    </w:p>
    <w:p w:rsidR="006952C9" w:rsidRDefault="006952C9" w:rsidP="009B7572">
      <w:pPr>
        <w:pStyle w:val="Heading1"/>
        <w:spacing w:after="600" w:line="240" w:lineRule="auto"/>
        <w:rPr>
          <w:rtl/>
        </w:rPr>
      </w:pPr>
      <w:bookmarkStart w:id="7" w:name="Body"/>
      <w:bookmarkEnd w:id="7"/>
      <w:r>
        <w:rPr>
          <w:rFonts w:hint="eastAsia"/>
          <w:rtl/>
        </w:rPr>
        <w:t>الاتحاد</w:t>
      </w:r>
      <w:r>
        <w:rPr>
          <w:rtl/>
        </w:rPr>
        <w:t xml:space="preserve"> </w:t>
      </w:r>
      <w:r>
        <w:rPr>
          <w:rFonts w:hint="eastAsia"/>
          <w:rtl/>
        </w:rPr>
        <w:t>الخاص</w:t>
      </w:r>
      <w:r>
        <w:rPr>
          <w:rtl/>
        </w:rPr>
        <w:t xml:space="preserve"> </w:t>
      </w:r>
      <w:r>
        <w:rPr>
          <w:rFonts w:hint="eastAsia"/>
          <w:rtl/>
        </w:rPr>
        <w:t>للتسجيل</w:t>
      </w:r>
      <w:r>
        <w:rPr>
          <w:rtl/>
        </w:rPr>
        <w:t xml:space="preserve"> </w:t>
      </w:r>
      <w:r>
        <w:rPr>
          <w:rFonts w:hint="eastAsia"/>
          <w:rtl/>
        </w:rPr>
        <w:t>الدولي</w:t>
      </w:r>
      <w:r>
        <w:rPr>
          <w:rtl/>
        </w:rPr>
        <w:t xml:space="preserve"> </w:t>
      </w:r>
      <w:r>
        <w:rPr>
          <w:rFonts w:hint="eastAsia"/>
          <w:rtl/>
        </w:rPr>
        <w:t>للعلامات</w:t>
      </w:r>
      <w:r>
        <w:rPr>
          <w:rtl/>
        </w:rPr>
        <w:t xml:space="preserve"> (</w:t>
      </w:r>
      <w:r>
        <w:rPr>
          <w:rFonts w:hint="eastAsia"/>
          <w:rtl/>
        </w:rPr>
        <w:t>اتحاد</w:t>
      </w:r>
      <w:r>
        <w:rPr>
          <w:rtl/>
        </w:rPr>
        <w:t xml:space="preserve"> </w:t>
      </w:r>
      <w:r>
        <w:rPr>
          <w:rFonts w:hint="eastAsia"/>
          <w:rtl/>
        </w:rPr>
        <w:t>مدريد</w:t>
      </w:r>
      <w:r>
        <w:rPr>
          <w:rtl/>
        </w:rPr>
        <w:t>)</w:t>
      </w:r>
    </w:p>
    <w:p w:rsidR="002E7810" w:rsidRPr="00FD6D15" w:rsidRDefault="006952C9" w:rsidP="009B7572">
      <w:pPr>
        <w:pStyle w:val="Heading1"/>
        <w:spacing w:after="600" w:line="240" w:lineRule="auto"/>
        <w:rPr>
          <w:rtl/>
        </w:rPr>
      </w:pPr>
      <w:r>
        <w:rPr>
          <w:rFonts w:hint="eastAsia"/>
          <w:rtl/>
        </w:rPr>
        <w:t>الجمعية</w:t>
      </w:r>
    </w:p>
    <w:p w:rsidR="002E7810" w:rsidRPr="002E7810" w:rsidRDefault="006952C9" w:rsidP="00A82737">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82737">
        <w:rPr>
          <w:rFonts w:ascii="Arial Black" w:hAnsi="Arial Black" w:cs="PT Bold Heading" w:hint="cs"/>
          <w:sz w:val="30"/>
          <w:szCs w:val="30"/>
          <w:rtl/>
        </w:rPr>
        <w:t>الثالثة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82737">
        <w:rPr>
          <w:rFonts w:ascii="Arial Black" w:hAnsi="Arial Black" w:cs="PT Bold Heading" w:hint="cs"/>
          <w:sz w:val="30"/>
          <w:szCs w:val="30"/>
          <w:rtl/>
        </w:rPr>
        <w:t>العادية</w:t>
      </w:r>
      <w:r>
        <w:rPr>
          <w:rFonts w:ascii="Arial Black" w:hAnsi="Arial Black" w:cs="PT Bold Heading"/>
          <w:sz w:val="30"/>
          <w:szCs w:val="30"/>
          <w:rtl/>
        </w:rPr>
        <w:t xml:space="preserve"> </w:t>
      </w:r>
      <w:r w:rsidR="00A82737">
        <w:rPr>
          <w:rFonts w:ascii="Arial Black" w:hAnsi="Arial Black" w:cs="PT Bold Heading" w:hint="cs"/>
          <w:sz w:val="30"/>
          <w:szCs w:val="30"/>
          <w:rtl/>
        </w:rPr>
        <w:t>الثالثة والعشرون</w:t>
      </w:r>
      <w:r>
        <w:rPr>
          <w:rFonts w:ascii="Arial Black" w:hAnsi="Arial Black" w:cs="PT Bold Heading"/>
          <w:sz w:val="30"/>
          <w:szCs w:val="30"/>
          <w:rtl/>
        </w:rPr>
        <w:t>)</w:t>
      </w:r>
    </w:p>
    <w:p w:rsidR="002E7810" w:rsidRPr="002E7810" w:rsidRDefault="006952C9" w:rsidP="00A82737">
      <w:pPr>
        <w:spacing w:line="600" w:lineRule="auto"/>
        <w:rPr>
          <w:b/>
          <w:bCs/>
        </w:rPr>
      </w:pPr>
      <w:bookmarkStart w:id="9" w:name="Place"/>
      <w:bookmarkEnd w:id="9"/>
      <w:r>
        <w:rPr>
          <w:b/>
          <w:bCs/>
          <w:rtl/>
        </w:rPr>
        <w:t xml:space="preserve">جنيف، من </w:t>
      </w:r>
      <w:r w:rsidR="00A82737">
        <w:rPr>
          <w:rFonts w:hint="cs"/>
          <w:b/>
          <w:bCs/>
          <w:rtl/>
        </w:rPr>
        <w:t>30</w:t>
      </w:r>
      <w:r>
        <w:rPr>
          <w:b/>
          <w:bCs/>
          <w:rtl/>
        </w:rPr>
        <w:t xml:space="preserve"> سبتمبر إلى </w:t>
      </w:r>
      <w:r w:rsidR="00A82737">
        <w:rPr>
          <w:rFonts w:hint="cs"/>
          <w:b/>
          <w:bCs/>
          <w:rtl/>
        </w:rPr>
        <w:t>9</w:t>
      </w:r>
      <w:r>
        <w:rPr>
          <w:b/>
          <w:bCs/>
          <w:rtl/>
        </w:rPr>
        <w:t xml:space="preserve"> أكتوبر </w:t>
      </w:r>
      <w:r w:rsidR="00A82737">
        <w:rPr>
          <w:rFonts w:hint="cs"/>
          <w:b/>
          <w:bCs/>
          <w:rtl/>
        </w:rPr>
        <w:t>2019</w:t>
      </w:r>
    </w:p>
    <w:p w:rsidR="002E7810" w:rsidRPr="002E7810" w:rsidRDefault="00EC2F0D"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اقتراح توزيع فائض اتحاد مدريد للثنائية 2020/21</w:t>
      </w:r>
    </w:p>
    <w:p w:rsidR="003F7284" w:rsidRPr="00BB6440" w:rsidRDefault="00EC2F0D" w:rsidP="007C297A">
      <w:pPr>
        <w:spacing w:before="200" w:after="960"/>
        <w:rPr>
          <w:i/>
          <w:iCs/>
          <w:rtl/>
        </w:rPr>
      </w:pPr>
      <w:bookmarkStart w:id="11" w:name="Doc"/>
      <w:bookmarkEnd w:id="11"/>
      <w:r>
        <w:rPr>
          <w:rFonts w:hint="cs"/>
          <w:i/>
          <w:iCs/>
          <w:rtl/>
        </w:rPr>
        <w:t xml:space="preserve">اقتراح </w:t>
      </w:r>
      <w:r w:rsidR="007C297A">
        <w:rPr>
          <w:rFonts w:hint="cs"/>
          <w:i/>
          <w:iCs/>
          <w:rtl/>
        </w:rPr>
        <w:t>مُقدم من</w:t>
      </w:r>
      <w:r>
        <w:rPr>
          <w:rFonts w:hint="cs"/>
          <w:i/>
          <w:iCs/>
          <w:rtl/>
        </w:rPr>
        <w:t xml:space="preserve"> وفد الولايات المتحدة الأمريكية</w:t>
      </w:r>
      <w:bookmarkStart w:id="12" w:name="Prepared"/>
      <w:bookmarkEnd w:id="12"/>
    </w:p>
    <w:p w:rsidR="00E3612C" w:rsidRDefault="00EC2F0D" w:rsidP="008E5ACB">
      <w:pPr>
        <w:pStyle w:val="BodyText"/>
        <w:rPr>
          <w:rtl/>
        </w:rPr>
      </w:pPr>
      <w:r>
        <w:rPr>
          <w:rFonts w:hint="cs"/>
          <w:rtl/>
        </w:rPr>
        <w:t>في تبليغ موجه إلى الأمانة استُلم في 18 سبتمبر 2019، قدم وفد الولايات المتحدة الأمريكية الاقتراح الوارد في المرفق في</w:t>
      </w:r>
      <w:r w:rsidR="008E5ACB">
        <w:rPr>
          <w:rFonts w:hint="eastAsia"/>
          <w:rtl/>
        </w:rPr>
        <w:t> </w:t>
      </w:r>
      <w:r>
        <w:rPr>
          <w:rFonts w:hint="cs"/>
          <w:rtl/>
        </w:rPr>
        <w:t>إطار بند جدول الأعمال المعنون "نظام مدريد".</w:t>
      </w:r>
    </w:p>
    <w:p w:rsidR="00EC2F0D" w:rsidRPr="00FD6D15" w:rsidRDefault="002B3C3A" w:rsidP="002B3C3A">
      <w:pPr>
        <w:pStyle w:val="Endofdocument-Annex"/>
        <w:rPr>
          <w:rtl/>
        </w:rPr>
      </w:pPr>
      <w:r>
        <w:rPr>
          <w:rFonts w:hint="cs"/>
          <w:rtl/>
        </w:rPr>
        <w:t>[يلي ذلك المرفق]</w:t>
      </w:r>
    </w:p>
    <w:p w:rsidR="002B3C3A" w:rsidRDefault="002B3C3A" w:rsidP="00ED7555">
      <w:pPr>
        <w:pStyle w:val="BodyText"/>
        <w:rPr>
          <w:rtl/>
        </w:rPr>
        <w:sectPr w:rsidR="002B3C3A" w:rsidSect="00EB7752">
          <w:headerReference w:type="default" r:id="rId9"/>
          <w:pgSz w:w="11907" w:h="16840" w:code="9"/>
          <w:pgMar w:top="567" w:right="1418" w:bottom="1418" w:left="1134" w:header="510" w:footer="1021" w:gutter="0"/>
          <w:cols w:space="720"/>
          <w:titlePg/>
          <w:docGrid w:linePitch="299"/>
        </w:sectPr>
      </w:pPr>
    </w:p>
    <w:p w:rsidR="00C41AE0" w:rsidRPr="007C297A" w:rsidRDefault="002B3C3A" w:rsidP="00ED7555">
      <w:pPr>
        <w:pStyle w:val="BodyText"/>
        <w:rPr>
          <w:sz w:val="40"/>
          <w:szCs w:val="40"/>
          <w:rtl/>
        </w:rPr>
      </w:pPr>
      <w:r w:rsidRPr="007C297A">
        <w:rPr>
          <w:rFonts w:hint="cs"/>
          <w:sz w:val="40"/>
          <w:szCs w:val="40"/>
          <w:rtl/>
        </w:rPr>
        <w:lastRenderedPageBreak/>
        <w:t>اقتراح توزيع فائض اتحاد مدريد للثنائية 2020/21</w:t>
      </w:r>
    </w:p>
    <w:p w:rsidR="002B3C3A" w:rsidRPr="007C297A" w:rsidRDefault="007C297A" w:rsidP="00ED7555">
      <w:pPr>
        <w:pStyle w:val="BodyText"/>
        <w:rPr>
          <w:i/>
          <w:iCs/>
          <w:rtl/>
        </w:rPr>
      </w:pPr>
      <w:r w:rsidRPr="007C297A">
        <w:rPr>
          <w:rFonts w:hint="cs"/>
          <w:i/>
          <w:iCs/>
          <w:rtl/>
        </w:rPr>
        <w:t>مُقدم من وفد الولايات المتحدة الأمريكية</w:t>
      </w:r>
    </w:p>
    <w:p w:rsidR="000D7E81" w:rsidRDefault="00C208AC" w:rsidP="00C208AC">
      <w:pPr>
        <w:pStyle w:val="ONUMA"/>
      </w:pPr>
      <w:r>
        <w:rPr>
          <w:rFonts w:hint="cs"/>
          <w:rtl/>
        </w:rPr>
        <w:t xml:space="preserve">كما هو مشار إليه في اقتراح البرنامج والميزانية (الوثيقة </w:t>
      </w:r>
      <w:r w:rsidRPr="00C208AC">
        <w:t>A/56/8</w:t>
      </w:r>
      <w:r>
        <w:rPr>
          <w:rFonts w:hint="cs"/>
          <w:rtl/>
        </w:rPr>
        <w:t>)، من المتوقّع تحقيق فائض في إيرادات اتحاد مدريد مقابل النفقات بقيمة 8.105 مليون فرنك سويسري خلال الثنائية</w:t>
      </w:r>
      <w:r w:rsidR="0078107E">
        <w:rPr>
          <w:rFonts w:hint="cs"/>
          <w:rtl/>
        </w:rPr>
        <w:t>.</w:t>
      </w:r>
    </w:p>
    <w:p w:rsidR="0078107E" w:rsidRDefault="0078107E" w:rsidP="008E5ACB">
      <w:pPr>
        <w:pStyle w:val="ONUMA"/>
      </w:pPr>
      <w:r w:rsidRPr="0078107E">
        <w:rPr>
          <w:rFonts w:hint="cs"/>
          <w:rtl/>
          <w:lang w:bidi="ar-EG"/>
        </w:rPr>
        <w:t xml:space="preserve">وتنص المادة 8(4) من بروتوكول نظام مدريد بشأن التسجيل الدولي للعلامات </w:t>
      </w:r>
      <w:r w:rsidR="008E5ACB">
        <w:rPr>
          <w:rFonts w:hint="cs"/>
          <w:rtl/>
          <w:lang w:bidi="ar-EG"/>
        </w:rPr>
        <w:t xml:space="preserve">على </w:t>
      </w:r>
      <w:r w:rsidR="00A17AFC">
        <w:rPr>
          <w:rFonts w:hint="cs"/>
          <w:rtl/>
          <w:lang w:bidi="ar-EG"/>
        </w:rPr>
        <w:t>ما يلي:</w:t>
      </w:r>
      <w:r w:rsidRPr="0078107E">
        <w:rPr>
          <w:rFonts w:hint="cs"/>
          <w:rtl/>
          <w:lang w:bidi="ar-EG"/>
        </w:rPr>
        <w:t xml:space="preserve"> "</w:t>
      </w:r>
      <w:r w:rsidRPr="0078107E">
        <w:rPr>
          <w:rtl/>
          <w:lang w:bidi="ar-EG"/>
        </w:rPr>
        <w:t>على المكتب الدولي أن يوزع الحصيلة السنوية لمختلف إيرادات التسجيل الدولي، عدا الإيرادات الناجمة عن الرسوم المشار إليها في الفقرة (2)"2" و"3"، بالتساوي بين الأطراف المتعاقدة، وذلك بعد خصم المصاريف والنفقات اللازمة لتنفيذ هذا البروتوكول</w:t>
      </w:r>
      <w:r w:rsidRPr="0078107E">
        <w:rPr>
          <w:rFonts w:hint="cs"/>
          <w:rtl/>
          <w:lang w:bidi="ar-EG"/>
        </w:rPr>
        <w:t xml:space="preserve">". وتنص </w:t>
      </w:r>
      <w:r>
        <w:rPr>
          <w:rFonts w:hint="cs"/>
          <w:rtl/>
          <w:lang w:bidi="ar-EG"/>
        </w:rPr>
        <w:t>المادة</w:t>
      </w:r>
      <w:r w:rsidR="008E5ACB">
        <w:rPr>
          <w:rFonts w:hint="eastAsia"/>
          <w:rtl/>
          <w:lang w:bidi="ar-EG"/>
        </w:rPr>
        <w:t> </w:t>
      </w:r>
      <w:r w:rsidRPr="0078107E">
        <w:rPr>
          <w:rFonts w:hint="cs"/>
          <w:rtl/>
          <w:lang w:bidi="ar-EG"/>
        </w:rPr>
        <w:t>7.4 من النظام المالي ولائحته للمنظمة العالمية للملكية الفكرية على أنه "</w:t>
      </w:r>
      <w:r w:rsidRPr="0078107E">
        <w:rPr>
          <w:rtl/>
          <w:lang w:bidi="ar-EG"/>
        </w:rPr>
        <w:t>إذا تبين وجود فائض في إيرادات أي اتحاد، بعد إقفال الفترة المالية، فإن ذلك الفائض يقيد في باب الاحتياطيات، ما لم تقرر الجمعية العامة أو جمعية الاتحاد المعني خلاف ذلك.</w:t>
      </w:r>
      <w:r w:rsidRPr="0078107E">
        <w:rPr>
          <w:rFonts w:hint="cs"/>
          <w:rtl/>
          <w:lang w:bidi="ar-EG"/>
        </w:rPr>
        <w:t>"</w:t>
      </w:r>
    </w:p>
    <w:p w:rsidR="00FD6D15" w:rsidRDefault="0078107E" w:rsidP="00A17AFC">
      <w:pPr>
        <w:pStyle w:val="ONUMA"/>
      </w:pPr>
      <w:r>
        <w:rPr>
          <w:rFonts w:hint="cs"/>
          <w:rtl/>
          <w:lang w:bidi="ar-EG"/>
        </w:rPr>
        <w:t xml:space="preserve">وتنص </w:t>
      </w:r>
      <w:r w:rsidR="00A17AFC">
        <w:rPr>
          <w:rFonts w:hint="cs"/>
          <w:rtl/>
          <w:lang w:bidi="ar-EG"/>
        </w:rPr>
        <w:t>المادة 12 من بروتوكول مدريد على ما يلي: "</w:t>
      </w:r>
      <w:r w:rsidR="00A17AFC" w:rsidRPr="00A17AFC">
        <w:rPr>
          <w:rFonts w:ascii="Times New Roman" w:eastAsia="Times New Roman" w:hAnsi="Times New Roman" w:cs="Simplified Arabic"/>
          <w:sz w:val="20"/>
          <w:szCs w:val="24"/>
          <w:rtl/>
          <w:lang w:eastAsia="en-US" w:bidi="ar-EG"/>
        </w:rPr>
        <w:t xml:space="preserve"> </w:t>
      </w:r>
      <w:r w:rsidR="00A17AFC" w:rsidRPr="00A17AFC">
        <w:rPr>
          <w:rtl/>
          <w:lang w:bidi="ar-EG"/>
        </w:rPr>
        <w:t>على المكتب الدولي أن يوزع الحصيلة السنوي</w:t>
      </w:r>
      <w:r w:rsidR="00A17AFC">
        <w:rPr>
          <w:rtl/>
          <w:lang w:bidi="ar-EG"/>
        </w:rPr>
        <w:t>ة لمختلف إيرادات التسجيل الدولي</w:t>
      </w:r>
      <w:r w:rsidR="00A17AFC" w:rsidRPr="00A17AFC">
        <w:rPr>
          <w:rtl/>
          <w:lang w:bidi="ar-EG"/>
        </w:rPr>
        <w:t xml:space="preserve"> </w:t>
      </w:r>
      <w:r w:rsidR="00A17AFC">
        <w:rPr>
          <w:rFonts w:hint="cs"/>
          <w:rtl/>
          <w:lang w:bidi="ar-EG"/>
        </w:rPr>
        <w:t>....</w:t>
      </w:r>
      <w:r w:rsidR="00A17AFC" w:rsidRPr="00A17AFC">
        <w:rPr>
          <w:rtl/>
          <w:lang w:bidi="ar-EG"/>
        </w:rPr>
        <w:t xml:space="preserve"> بالتساوي بين الأطراف المتعاقدة، وذلك بعد خصم المصاريف والنفقات اللازمة لتنفيذ هذا البروتوكول</w:t>
      </w:r>
      <w:r w:rsidR="00A17AFC">
        <w:rPr>
          <w:rFonts w:hint="cs"/>
          <w:rtl/>
          <w:lang w:bidi="ar-EG"/>
        </w:rPr>
        <w:t>".</w:t>
      </w:r>
    </w:p>
    <w:p w:rsidR="008372EC" w:rsidRDefault="008372EC" w:rsidP="008372EC">
      <w:pPr>
        <w:pStyle w:val="ONUMA"/>
      </w:pPr>
      <w:r>
        <w:rPr>
          <w:rFonts w:hint="cs"/>
          <w:rtl/>
        </w:rPr>
        <w:t>وفي عام 2007 (</w:t>
      </w:r>
      <w:r w:rsidRPr="008372EC">
        <w:t>MM/A/38/4</w:t>
      </w:r>
      <w:r>
        <w:rPr>
          <w:rFonts w:hint="cs"/>
          <w:rtl/>
        </w:rPr>
        <w:t xml:space="preserve">)، شرحت أمانة الويبو المعايير المتعلقة بتخصيص أو توزيع </w:t>
      </w:r>
      <w:r>
        <w:rPr>
          <w:rFonts w:hint="cs"/>
          <w:rtl/>
        </w:rPr>
        <w:lastRenderedPageBreak/>
        <w:t>فائض يحقّق</w:t>
      </w:r>
      <w:r w:rsidR="008E5ACB">
        <w:rPr>
          <w:rFonts w:hint="cs"/>
          <w:rtl/>
        </w:rPr>
        <w:t>ه</w:t>
      </w:r>
      <w:r>
        <w:rPr>
          <w:rFonts w:hint="cs"/>
          <w:rtl/>
        </w:rPr>
        <w:t xml:space="preserve"> اتحاد مدريد، و</w:t>
      </w:r>
      <w:r w:rsidR="008E5ACB">
        <w:rPr>
          <w:rFonts w:hint="cs"/>
          <w:rtl/>
        </w:rPr>
        <w:t xml:space="preserve">التسلسل </w:t>
      </w:r>
      <w:r>
        <w:rPr>
          <w:rFonts w:hint="cs"/>
          <w:rtl/>
        </w:rPr>
        <w:t>التاريخ</w:t>
      </w:r>
      <w:r w:rsidR="008E5ACB">
        <w:rPr>
          <w:rFonts w:hint="cs"/>
          <w:rtl/>
        </w:rPr>
        <w:t>ي</w:t>
      </w:r>
      <w:r>
        <w:rPr>
          <w:rFonts w:hint="cs"/>
          <w:rtl/>
        </w:rPr>
        <w:t xml:space="preserve"> الحديث لتلك التوزيعات، كما يلي:</w:t>
      </w:r>
    </w:p>
    <w:p w:rsidR="008372EC" w:rsidRDefault="008372EC" w:rsidP="00A61662">
      <w:pPr>
        <w:pStyle w:val="BodyText"/>
        <w:ind w:left="715"/>
        <w:rPr>
          <w:rtl/>
        </w:rPr>
      </w:pPr>
      <w:r>
        <w:rPr>
          <w:rFonts w:hint="cs"/>
          <w:rtl/>
        </w:rPr>
        <w:t>4.</w:t>
      </w:r>
      <w:r>
        <w:rPr>
          <w:rtl/>
        </w:rPr>
        <w:tab/>
      </w:r>
      <w:r>
        <w:rPr>
          <w:rFonts w:hint="cs"/>
          <w:rtl/>
        </w:rPr>
        <w:t xml:space="preserve">تنص المادة 8(4) من الاتفاق والمادة 8(4) من البروتوكول على </w:t>
      </w:r>
      <w:r w:rsidR="00A61662">
        <w:rPr>
          <w:rFonts w:hint="cs"/>
          <w:rtl/>
          <w:lang w:bidi="ar-SA"/>
        </w:rPr>
        <w:t xml:space="preserve">أنه يتعين </w:t>
      </w:r>
      <w:r w:rsidR="00A61662" w:rsidRPr="0078107E">
        <w:rPr>
          <w:rtl/>
        </w:rPr>
        <w:t xml:space="preserve">على المكتب الدولي أن يوزع الحصيلة السنوية لمختلف إيرادات التسجيل الدولي، عدا الإيرادات الناجمة عن الرسوم </w:t>
      </w:r>
      <w:r w:rsidR="00A61662">
        <w:rPr>
          <w:rFonts w:hint="cs"/>
          <w:rtl/>
        </w:rPr>
        <w:t>الإضافية والتكميلية</w:t>
      </w:r>
      <w:r w:rsidR="00A61662" w:rsidRPr="0078107E">
        <w:rPr>
          <w:rtl/>
        </w:rPr>
        <w:t xml:space="preserve">، بالتساوي بين الأطراف المتعاقدة، وذلك بعد خصم المصاريف والنفقات اللازمة لتنفيذ </w:t>
      </w:r>
      <w:r w:rsidR="00A61662">
        <w:rPr>
          <w:rFonts w:hint="cs"/>
          <w:rtl/>
        </w:rPr>
        <w:t>الاتفاق و</w:t>
      </w:r>
      <w:r w:rsidR="00A61662" w:rsidRPr="0078107E">
        <w:rPr>
          <w:rtl/>
        </w:rPr>
        <w:t>البروتوكول</w:t>
      </w:r>
      <w:r w:rsidR="00A61662">
        <w:rPr>
          <w:rFonts w:hint="cs"/>
          <w:rtl/>
        </w:rPr>
        <w:t>.</w:t>
      </w:r>
    </w:p>
    <w:p w:rsidR="00A61662" w:rsidRDefault="00A61662" w:rsidP="00A61662">
      <w:pPr>
        <w:pStyle w:val="BodyText"/>
        <w:ind w:left="715"/>
        <w:rPr>
          <w:rtl/>
        </w:rPr>
      </w:pPr>
      <w:r>
        <w:rPr>
          <w:rFonts w:hint="cs"/>
          <w:rtl/>
        </w:rPr>
        <w:t>5.</w:t>
      </w:r>
      <w:r>
        <w:rPr>
          <w:rtl/>
        </w:rPr>
        <w:tab/>
      </w:r>
      <w:r>
        <w:rPr>
          <w:rFonts w:hint="cs"/>
          <w:rtl/>
        </w:rPr>
        <w:t>وكلما تحقق فائض من هذا القبيل، خضع توزيعه أو تخصيصه لأغراض محدّدة لقرار صادر عن الجمعية العامة لاتحاد مدريد. وطُبقت معايير توزيع مختلفة على مدى السنوات الخمس والثلاثين الماضية.</w:t>
      </w:r>
    </w:p>
    <w:p w:rsidR="00A61662" w:rsidRDefault="00A61662" w:rsidP="008E5ACB">
      <w:pPr>
        <w:pStyle w:val="BodyText"/>
        <w:ind w:left="715"/>
        <w:rPr>
          <w:rtl/>
          <w:lang w:bidi="ar-SA"/>
        </w:rPr>
      </w:pPr>
      <w:r>
        <w:rPr>
          <w:rFonts w:hint="cs"/>
          <w:rtl/>
        </w:rPr>
        <w:t>6.</w:t>
      </w:r>
      <w:r>
        <w:rPr>
          <w:rtl/>
        </w:rPr>
        <w:tab/>
      </w:r>
      <w:r>
        <w:rPr>
          <w:rFonts w:hint="cs"/>
          <w:rtl/>
        </w:rPr>
        <w:t>وفي الفترة بين عامي 1972 و1983، لم يُوزَّع سوى 10 بالمائة من ذلك الفائض على الدول المتعاقدة بموجب اتحاد مدريد. وخُصّص الباقي، أي 90 بالمائة، للصندوق الاحتياطي لاتحاد مدريد. وفي الفترة بين عامي</w:t>
      </w:r>
      <w:r w:rsidR="008E5ACB">
        <w:rPr>
          <w:rFonts w:hint="eastAsia"/>
          <w:rtl/>
        </w:rPr>
        <w:t> </w:t>
      </w:r>
      <w:r>
        <w:rPr>
          <w:rFonts w:hint="cs"/>
          <w:rtl/>
        </w:rPr>
        <w:t xml:space="preserve">1984 و1989، كانت النسبتان المئويتان </w:t>
      </w:r>
      <w:r w:rsidR="001348D9">
        <w:t>20</w:t>
      </w:r>
      <w:r w:rsidR="001348D9">
        <w:rPr>
          <w:rFonts w:hint="cs"/>
          <w:rtl/>
          <w:lang w:bidi="ar-SA"/>
        </w:rPr>
        <w:t xml:space="preserve"> بالمائة و80 بالمائة، على التوالي، وأصبحتا، اعتبارا من عام 1990، 40</w:t>
      </w:r>
      <w:r w:rsidR="008E5ACB">
        <w:rPr>
          <w:rFonts w:hint="eastAsia"/>
          <w:rtl/>
          <w:lang w:bidi="ar-SA"/>
        </w:rPr>
        <w:t> </w:t>
      </w:r>
      <w:r w:rsidR="001348D9">
        <w:rPr>
          <w:rFonts w:hint="cs"/>
          <w:rtl/>
          <w:lang w:bidi="ar-SA"/>
        </w:rPr>
        <w:t xml:space="preserve">بالمائة و60 بالمائة. وبُرّرت المدفوعات إلى الصندوق الاحتياطي للاتحاد، جزئيا، بمتطلبات الاستثمار في تطوير نظام الحوسبة الخاص باتحاد مدريد (انظر الوثيقتين </w:t>
      </w:r>
      <w:r w:rsidR="001348D9" w:rsidRPr="001348D9">
        <w:rPr>
          <w:lang w:bidi="ar-SA"/>
        </w:rPr>
        <w:t>MM/A/XXI/1</w:t>
      </w:r>
      <w:r w:rsidR="001348D9">
        <w:rPr>
          <w:rFonts w:hint="cs"/>
          <w:rtl/>
          <w:lang w:bidi="ar-SA"/>
        </w:rPr>
        <w:t xml:space="preserve"> و</w:t>
      </w:r>
      <w:r w:rsidR="001348D9" w:rsidRPr="001348D9">
        <w:rPr>
          <w:lang w:bidi="ar-SA"/>
        </w:rPr>
        <w:t>MM/A/XXI/</w:t>
      </w:r>
      <w:r w:rsidR="001348D9">
        <w:rPr>
          <w:lang w:bidi="ar-SA"/>
        </w:rPr>
        <w:t>3</w:t>
      </w:r>
      <w:r w:rsidR="001348D9">
        <w:rPr>
          <w:rFonts w:hint="cs"/>
          <w:rtl/>
          <w:lang w:bidi="ar-SA"/>
        </w:rPr>
        <w:t>). واعتبارا من عام</w:t>
      </w:r>
      <w:r w:rsidR="008E5ACB">
        <w:rPr>
          <w:rFonts w:hint="eastAsia"/>
          <w:rtl/>
          <w:lang w:bidi="ar-SA"/>
        </w:rPr>
        <w:t> </w:t>
      </w:r>
      <w:r w:rsidR="001348D9">
        <w:rPr>
          <w:rFonts w:hint="cs"/>
          <w:rtl/>
          <w:lang w:bidi="ar-SA"/>
        </w:rPr>
        <w:t>1990، أجريت تلك المدفوعات إلى الصندوق الاحتياطي الخاص بالمباني الإضافية والحوسبة.</w:t>
      </w:r>
    </w:p>
    <w:p w:rsidR="001348D9" w:rsidRDefault="001348D9" w:rsidP="001348D9">
      <w:pPr>
        <w:pStyle w:val="BodyText"/>
        <w:ind w:left="715"/>
        <w:rPr>
          <w:rtl/>
          <w:lang w:bidi="ar-SA"/>
        </w:rPr>
      </w:pPr>
      <w:r>
        <w:rPr>
          <w:rFonts w:hint="cs"/>
          <w:rtl/>
          <w:lang w:bidi="ar-SA"/>
        </w:rPr>
        <w:lastRenderedPageBreak/>
        <w:t>7.</w:t>
      </w:r>
      <w:r>
        <w:rPr>
          <w:rtl/>
          <w:lang w:bidi="ar-SA"/>
        </w:rPr>
        <w:tab/>
      </w:r>
      <w:r>
        <w:rPr>
          <w:rFonts w:hint="cs"/>
          <w:rtl/>
          <w:lang w:bidi="ar-SA"/>
        </w:rPr>
        <w:t>ولم تكن معايير التوزيع المعتمدة في عام 1989 سارية بشكل فعلي سوى في الفترة من 1990 إلى 1995، لأنه لم يتحقق أي فائض بعدها.</w:t>
      </w:r>
    </w:p>
    <w:p w:rsidR="00511BFF" w:rsidRDefault="00511BFF" w:rsidP="008E5ACB">
      <w:pPr>
        <w:pStyle w:val="BodyText"/>
        <w:ind w:left="715"/>
        <w:rPr>
          <w:rtl/>
          <w:lang w:bidi="ar-SA"/>
        </w:rPr>
      </w:pPr>
      <w:r>
        <w:rPr>
          <w:rFonts w:hint="cs"/>
          <w:rtl/>
          <w:lang w:bidi="ar-SA"/>
        </w:rPr>
        <w:t>8.</w:t>
      </w:r>
      <w:r>
        <w:rPr>
          <w:rtl/>
          <w:lang w:bidi="ar-SA"/>
        </w:rPr>
        <w:tab/>
      </w:r>
      <w:r>
        <w:rPr>
          <w:rFonts w:hint="cs"/>
          <w:rtl/>
          <w:lang w:bidi="ar-SA"/>
        </w:rPr>
        <w:t>وفي عام 2000، وافقت جمعية اتحاد مدريد على أن تُوزّع 100 بالمائة من أي فائض يتحقق خلال الثنائية</w:t>
      </w:r>
      <w:r>
        <w:rPr>
          <w:rFonts w:hint="eastAsia"/>
          <w:rtl/>
          <w:lang w:bidi="ar-SA"/>
        </w:rPr>
        <w:t> </w:t>
      </w:r>
      <w:r>
        <w:rPr>
          <w:rFonts w:hint="cs"/>
          <w:rtl/>
          <w:lang w:bidi="ar-SA"/>
        </w:rPr>
        <w:t xml:space="preserve">2000-2001 على الدول الأعضاء بناء على المادتين 8(4) من اتفاق </w:t>
      </w:r>
      <w:r w:rsidR="008E5ACB">
        <w:rPr>
          <w:rFonts w:hint="cs"/>
          <w:rtl/>
          <w:lang w:bidi="ar-SA"/>
        </w:rPr>
        <w:t xml:space="preserve">مدريد </w:t>
      </w:r>
      <w:r>
        <w:rPr>
          <w:rFonts w:hint="cs"/>
          <w:rtl/>
          <w:lang w:bidi="ar-SA"/>
        </w:rPr>
        <w:t>وبروتوكول</w:t>
      </w:r>
      <w:r w:rsidR="008E5ACB">
        <w:rPr>
          <w:rFonts w:hint="cs"/>
          <w:rtl/>
          <w:lang w:bidi="ar-SA"/>
        </w:rPr>
        <w:t>ه</w:t>
      </w:r>
      <w:r>
        <w:rPr>
          <w:rFonts w:hint="cs"/>
          <w:rtl/>
          <w:lang w:bidi="ar-SA"/>
        </w:rPr>
        <w:t>. غير أنه لم تُوزّع أية أموال، لأن ميزانية اتحاد مدريد أظهرت عجزا بدلا من فائضا في نهاية الثنائية. ولم يتحقّق أي فائض أيضا في ميزانية اتحاد مدريد في الثنائية 2002/2003 أو الثنائية 2004/2005.</w:t>
      </w:r>
    </w:p>
    <w:p w:rsidR="00511BFF" w:rsidRDefault="00511BFF" w:rsidP="00511BFF">
      <w:pPr>
        <w:pStyle w:val="ONUMA"/>
      </w:pPr>
      <w:r>
        <w:rPr>
          <w:rFonts w:hint="cs"/>
          <w:rtl/>
        </w:rPr>
        <w:t>وبالنظر إلى توقّع تحقيق فائض مرّة أخرى، وطبقا لبروتوكول مدريد أو المادة 4.7 من النظام المالي للويبو، فإن جمعية اتحاد مدريد قد تقرّر لزوم أن تُوزّع الإيرادات السنوية الزائدة بالتساوي على أعضاء اتحاد مدريد.</w:t>
      </w:r>
    </w:p>
    <w:p w:rsidR="00A86EFA" w:rsidRDefault="00A86EFA" w:rsidP="00A86EFA">
      <w:pPr>
        <w:pStyle w:val="ONUMA"/>
      </w:pPr>
      <w:r>
        <w:rPr>
          <w:rFonts w:hint="cs"/>
          <w:rtl/>
        </w:rPr>
        <w:t xml:space="preserve">وهناك حاليا 105 أعضاء في اتحاد مدريد، وبالتالي يُفترض أن يحق لكل عضو، إذا كان الفائض المتوقع صحيحا، مبلغ يُقدر بحوالي </w:t>
      </w:r>
      <w:r w:rsidRPr="00A86EFA">
        <w:t>77,000</w:t>
      </w:r>
      <w:r>
        <w:rPr>
          <w:rFonts w:hint="cs"/>
          <w:rtl/>
        </w:rPr>
        <w:t xml:space="preserve"> فرنك سويسري، يمكن للعضو استخدامه في اشتراكه السنوي أو لأغراض أخرى.</w:t>
      </w:r>
    </w:p>
    <w:p w:rsidR="00A86EFA" w:rsidRPr="00C41AE0" w:rsidRDefault="00A86EFA" w:rsidP="00A86EFA">
      <w:pPr>
        <w:pStyle w:val="ONUMA"/>
        <w:rPr>
          <w:rtl/>
        </w:rPr>
      </w:pPr>
      <w:r>
        <w:rPr>
          <w:rFonts w:hint="cs"/>
          <w:rtl/>
        </w:rPr>
        <w:t>وسيكون التوزيع المتوقّع كالتالي:</w:t>
      </w:r>
    </w:p>
    <w:tbl>
      <w:tblPr>
        <w:bidiVisual/>
        <w:tblW w:w="5880" w:type="dxa"/>
        <w:tblInd w:w="113" w:type="dxa"/>
        <w:tblLook w:val="04A0" w:firstRow="1" w:lastRow="0" w:firstColumn="1" w:lastColumn="0" w:noHBand="0" w:noVBand="1"/>
      </w:tblPr>
      <w:tblGrid>
        <w:gridCol w:w="3260"/>
        <w:gridCol w:w="2620"/>
      </w:tblGrid>
      <w:tr w:rsidR="003F5E37" w:rsidRPr="003F5E37" w:rsidTr="006D4B50">
        <w:trPr>
          <w:trHeight w:val="825"/>
        </w:trPr>
        <w:tc>
          <w:tcPr>
            <w:tcW w:w="3260" w:type="dxa"/>
            <w:tcBorders>
              <w:top w:val="single" w:sz="4" w:space="0" w:color="auto"/>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rPr>
                <w:b/>
                <w:bCs/>
              </w:rPr>
            </w:pPr>
            <w:bookmarkStart w:id="14" w:name="ExtraPara"/>
            <w:bookmarkEnd w:id="14"/>
            <w:r w:rsidRPr="003F5E37">
              <w:rPr>
                <w:rFonts w:hint="cs"/>
                <w:b/>
                <w:bCs/>
                <w:rtl/>
                <w:lang w:bidi="ar-SA"/>
              </w:rPr>
              <w:t>أعضاء اتحاد مدريد</w:t>
            </w:r>
          </w:p>
        </w:tc>
        <w:tc>
          <w:tcPr>
            <w:tcW w:w="2620" w:type="dxa"/>
            <w:tcBorders>
              <w:top w:val="single" w:sz="4" w:space="0" w:color="auto"/>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rFonts w:hint="cs"/>
                <w:b/>
                <w:bCs/>
                <w:rtl/>
                <w:lang w:bidi="ar-SA"/>
              </w:rPr>
              <w:t>الفائض المتوقّع</w:t>
            </w:r>
            <w:r w:rsidRPr="003F5E37">
              <w:rPr>
                <w:b/>
                <w:bCs/>
                <w:rtl/>
                <w:lang w:bidi="ar-SA"/>
              </w:rPr>
              <w:br/>
            </w:r>
            <w:r w:rsidRPr="003F5E37">
              <w:rPr>
                <w:rFonts w:hint="cs"/>
                <w:b/>
                <w:bCs/>
                <w:rtl/>
                <w:lang w:bidi="ar-SA"/>
              </w:rPr>
              <w:t>(بالفرنكات السويسرية)</w:t>
            </w:r>
          </w:p>
        </w:tc>
      </w:tr>
      <w:tr w:rsidR="003F5E37" w:rsidRPr="003F5E37" w:rsidTr="006D4B50">
        <w:trPr>
          <w:trHeight w:val="48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Fonts w:hint="cs"/>
                <w:rtl/>
                <w:lang w:bidi="ar-SA"/>
              </w:rPr>
              <w:t>أفغانستان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108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Fonts w:hint="cs"/>
                <w:rtl/>
                <w:lang w:bidi="ar-SA"/>
              </w:rPr>
              <w:lastRenderedPageBreak/>
              <w:t>المنظمة الأفريقية للملكية الفكرية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ألبانيا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الجزائر</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أنتيغوا وبربودا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أرمينيا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أستراليا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النمسا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أذربيجان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البحرين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بيلاروس</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بلجيكا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بوتان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البوسنة والهرسك</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بوتسوانا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بروني دار السلام</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بلغاريا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كمبوديا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كندا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lastRenderedPageBreak/>
              <w:t>الصين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كولومبيا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كرواتيا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كوبا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قبرص</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الجمهورية التشيكية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جمهورية كوريا الديمقراطية الشعبية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الدانمرك</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مصر</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إستونيا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D569D7" w:rsidP="003F5E37">
            <w:pPr>
              <w:pStyle w:val="BodyText"/>
            </w:pPr>
            <w:bdo w:val="rtl">
              <w:r w:rsidR="003F5E37" w:rsidRPr="003F5E37">
                <w:rPr>
                  <w:rFonts w:hint="cs"/>
                  <w:rtl/>
                  <w:lang w:bidi="ar-SA"/>
                </w:rPr>
                <w:t>إسواتيني</w:t>
              </w:r>
              <w:dir w:val="ltr">
                <w:r w:rsidR="00A829D3">
                  <w:t>‬</w:t>
                </w:r>
                <w:r w:rsidR="00A829D3">
                  <w:t>‬</w:t>
                </w:r>
                <w:r>
                  <w:t>‬</w:t>
                </w:r>
                <w:r>
                  <w:t>‬</w:t>
                </w:r>
              </w:dir>
            </w:bdo>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Fonts w:hint="cs"/>
                <w:rtl/>
                <w:lang w:bidi="ar-SA"/>
              </w:rPr>
              <w:t>الاتحاد الأوروبي</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فنلندا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فرنسا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غامبيا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جورجيا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ألمانيا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غانا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اليونان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هنغاريا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lastRenderedPageBreak/>
              <w:t>آيسلندا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الهند</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إندونيسيا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إيران (جمهورية ـ إسلامية)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أيرلندا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إسرائيل</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إيطاليا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اليابان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كازاخستان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كينيا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قيرغيزستان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جمهورية لاو الديمقراطية الشعبية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لاتفيا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ليسوتو</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ليبيريا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ليختنشتاين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ليتوانيا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لكسمبرغ</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مدغشقر</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ملاوي</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lastRenderedPageBreak/>
              <w:t>المكسيك</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موناكو</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منغوليا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الجبل الأسود</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المغرب</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موزامبيق</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ناميبيا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هولندا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نيوزيلندا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مقدونيا الشمالية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النرويج</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عمان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الفلبين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بولندا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البرتغال</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جمهورية كوريا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جمهورية مولدوفا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رومانيا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الاتحاد الروسي</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رواندا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ساموا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lastRenderedPageBreak/>
              <w:t>سان مارينو</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سان تومي وبرينسيبي</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صربيا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سيراليون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سنغافورة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سلوفاكيا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سلوفينيا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إسبانيا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السودان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السويد</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Fonts w:hint="cs"/>
                <w:rtl/>
                <w:lang w:bidi="ar-SA"/>
              </w:rPr>
              <w:t>سويسرا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الجمهورية العربية السورية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طاجيكستان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تايلند</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تونس</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تركيا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تركمانستان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أوكرانيا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المملكة المتحدة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720"/>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lastRenderedPageBreak/>
              <w:t>الولايات المتحدة الأمريكية</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أوزبكستان</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فييت نام</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Fonts w:hint="cs"/>
                <w:rtl/>
                <w:lang w:bidi="ar-SA"/>
              </w:rPr>
              <w:t>زامبيا</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r w:rsidR="003F5E37" w:rsidRPr="003F5E37" w:rsidTr="006D4B50">
        <w:trPr>
          <w:trHeight w:val="375"/>
        </w:trPr>
        <w:tc>
          <w:tcPr>
            <w:tcW w:w="3260" w:type="dxa"/>
            <w:tcBorders>
              <w:top w:val="nil"/>
              <w:left w:val="single" w:sz="4" w:space="0" w:color="auto"/>
              <w:bottom w:val="single" w:sz="4" w:space="0" w:color="auto"/>
              <w:right w:val="single" w:sz="4" w:space="0" w:color="auto"/>
            </w:tcBorders>
            <w:shd w:val="clear" w:color="000000" w:fill="CCFF99"/>
            <w:vAlign w:val="center"/>
            <w:hideMark/>
          </w:tcPr>
          <w:p w:rsidR="003F5E37" w:rsidRPr="003F5E37" w:rsidRDefault="003F5E37" w:rsidP="003F5E37">
            <w:pPr>
              <w:pStyle w:val="BodyText"/>
            </w:pPr>
            <w:r w:rsidRPr="003F5E37">
              <w:rPr>
                <w:rtl/>
                <w:lang w:bidi="ar-SA"/>
              </w:rPr>
              <w:t>زمبابوي</w:t>
            </w:r>
          </w:p>
        </w:tc>
        <w:tc>
          <w:tcPr>
            <w:tcW w:w="2620" w:type="dxa"/>
            <w:tcBorders>
              <w:top w:val="nil"/>
              <w:left w:val="nil"/>
              <w:bottom w:val="single" w:sz="4" w:space="0" w:color="auto"/>
              <w:right w:val="single" w:sz="4" w:space="0" w:color="auto"/>
            </w:tcBorders>
            <w:shd w:val="clear" w:color="000000" w:fill="CCFFFF"/>
            <w:vAlign w:val="center"/>
            <w:hideMark/>
          </w:tcPr>
          <w:p w:rsidR="003F5E37" w:rsidRPr="003F5E37" w:rsidRDefault="003F5E37" w:rsidP="003F5E37">
            <w:pPr>
              <w:pStyle w:val="BodyText"/>
              <w:rPr>
                <w:b/>
                <w:bCs/>
              </w:rPr>
            </w:pPr>
            <w:r w:rsidRPr="003F5E37">
              <w:rPr>
                <w:b/>
                <w:bCs/>
              </w:rPr>
              <w:t>77,190</w:t>
            </w:r>
          </w:p>
        </w:tc>
      </w:tr>
    </w:tbl>
    <w:p w:rsidR="00C50A61" w:rsidRDefault="003F5E37" w:rsidP="008E5ACB">
      <w:pPr>
        <w:pStyle w:val="Decision"/>
        <w:rPr>
          <w:rtl/>
        </w:rPr>
      </w:pPr>
      <w:r>
        <w:rPr>
          <w:rFonts w:hint="cs"/>
          <w:rtl/>
        </w:rPr>
        <w:t xml:space="preserve">إن جمعية اتحاد مدريد مدعوة إلى أن تقرّر أن تُقسَّم </w:t>
      </w:r>
      <w:r w:rsidR="008E5ACB">
        <w:rPr>
          <w:rFonts w:hint="cs"/>
          <w:rtl/>
        </w:rPr>
        <w:t>الإيرادات</w:t>
      </w:r>
      <w:r>
        <w:rPr>
          <w:rFonts w:hint="cs"/>
          <w:rtl/>
        </w:rPr>
        <w:t xml:space="preserve"> السنوية بالتساوي على بلدان الاتحاد، كما هو منصوص عليه في بروتوكول مدريد.</w:t>
      </w:r>
    </w:p>
    <w:p w:rsidR="00A86EFA" w:rsidRPr="00C41AE0" w:rsidRDefault="003F5E37" w:rsidP="003F5E37">
      <w:pPr>
        <w:pStyle w:val="Endofdocument-Annex"/>
        <w:rPr>
          <w:rtl/>
        </w:rPr>
      </w:pPr>
      <w:r>
        <w:rPr>
          <w:rFonts w:hint="cs"/>
          <w:rtl/>
        </w:rPr>
        <w:t>[نهاية المرفق والوثيقة]</w:t>
      </w:r>
    </w:p>
    <w:sectPr w:rsidR="00A86EFA" w:rsidRPr="00C41AE0" w:rsidSect="00511BFF">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F0D" w:rsidRDefault="00EC2F0D">
      <w:r>
        <w:separator/>
      </w:r>
    </w:p>
  </w:endnote>
  <w:endnote w:type="continuationSeparator" w:id="0">
    <w:p w:rsidR="00EC2F0D" w:rsidRDefault="00E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Simplified Arabic">
    <w:altName w:val="Segoe UI"/>
    <w:panose1 w:val="02020603050405020304"/>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F0D" w:rsidRDefault="00EC2F0D" w:rsidP="009622BF">
      <w:bookmarkStart w:id="0" w:name="OLE_LINK1"/>
      <w:bookmarkStart w:id="1" w:name="OLE_LINK2"/>
      <w:r>
        <w:separator/>
      </w:r>
      <w:bookmarkEnd w:id="0"/>
      <w:bookmarkEnd w:id="1"/>
    </w:p>
  </w:footnote>
  <w:footnote w:type="continuationSeparator" w:id="0">
    <w:p w:rsidR="00EC2F0D" w:rsidRDefault="00EC2F0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11BFF">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FF" w:rsidRPr="002B3C3A" w:rsidRDefault="00511BFF" w:rsidP="00511BFF">
    <w:pPr>
      <w:bidi w:val="0"/>
      <w:rPr>
        <w:rFonts w:ascii="Arial" w:eastAsia="SimSun" w:hAnsi="Arial" w:cs="Arial"/>
        <w:sz w:val="22"/>
        <w:szCs w:val="20"/>
        <w:lang w:eastAsia="zh-CN"/>
      </w:rPr>
    </w:pPr>
    <w:r w:rsidRPr="002B3C3A">
      <w:rPr>
        <w:rFonts w:ascii="Arial" w:eastAsia="SimSun" w:hAnsi="Arial" w:cs="Arial"/>
        <w:sz w:val="22"/>
        <w:szCs w:val="20"/>
        <w:lang w:eastAsia="zh-CN"/>
      </w:rPr>
      <w:t>MM/A/53/2</w:t>
    </w:r>
  </w:p>
  <w:p w:rsidR="00511BFF" w:rsidRDefault="00511BFF" w:rsidP="0023693F">
    <w:pPr>
      <w:bidi w:val="0"/>
      <w:rPr>
        <w:rFonts w:ascii="Arial" w:hAnsi="Arial" w:cs="Arial"/>
        <w:sz w:val="22"/>
        <w:szCs w:val="22"/>
      </w:rPr>
    </w:pPr>
    <w:r>
      <w:rPr>
        <w:rFonts w:ascii="Arial" w:hAnsi="Arial" w:cs="Arial"/>
        <w:sz w:val="22"/>
        <w:szCs w:val="22"/>
      </w:rPr>
      <w:t>Annex</w:t>
    </w:r>
  </w:p>
  <w:p w:rsidR="00511BFF" w:rsidRPr="00C50A61" w:rsidRDefault="00511BFF" w:rsidP="00511BF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569D7">
      <w:rPr>
        <w:rFonts w:ascii="Arial" w:hAnsi="Arial" w:cs="Arial"/>
        <w:noProof/>
        <w:sz w:val="22"/>
        <w:szCs w:val="22"/>
        <w:lang w:bidi="ar-EG"/>
      </w:rPr>
      <w:t>9</w:t>
    </w:r>
    <w:r w:rsidRPr="00C50A61">
      <w:rPr>
        <w:rFonts w:ascii="Arial" w:hAnsi="Arial" w:cs="Arial"/>
        <w:sz w:val="22"/>
        <w:szCs w:val="22"/>
      </w:rPr>
      <w:fldChar w:fldCharType="end"/>
    </w:r>
  </w:p>
  <w:p w:rsidR="00511BFF" w:rsidRPr="00C50A61" w:rsidRDefault="00511BFF"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3A" w:rsidRPr="002B3C3A" w:rsidRDefault="002B3C3A" w:rsidP="002B3C3A">
    <w:pPr>
      <w:bidi w:val="0"/>
      <w:rPr>
        <w:rFonts w:ascii="Arial" w:eastAsia="SimSun" w:hAnsi="Arial" w:cs="Arial"/>
        <w:sz w:val="22"/>
        <w:szCs w:val="20"/>
        <w:lang w:eastAsia="zh-CN"/>
      </w:rPr>
    </w:pPr>
    <w:r w:rsidRPr="002B3C3A">
      <w:rPr>
        <w:rFonts w:ascii="Arial" w:eastAsia="SimSun" w:hAnsi="Arial" w:cs="Arial"/>
        <w:sz w:val="22"/>
        <w:szCs w:val="20"/>
        <w:lang w:eastAsia="zh-CN"/>
      </w:rPr>
      <w:t>MM/A/53/2</w:t>
    </w:r>
  </w:p>
  <w:p w:rsidR="002B3C3A" w:rsidRDefault="002B3C3A" w:rsidP="002B3C3A">
    <w:pPr>
      <w:bidi w:val="0"/>
      <w:rPr>
        <w:rFonts w:ascii="Arial" w:eastAsia="SimSun" w:hAnsi="Arial" w:cs="Arial"/>
        <w:sz w:val="22"/>
        <w:szCs w:val="20"/>
        <w:rtl/>
        <w:lang w:eastAsia="zh-CN"/>
      </w:rPr>
    </w:pPr>
    <w:r w:rsidRPr="002B3C3A">
      <w:rPr>
        <w:rFonts w:ascii="Arial" w:eastAsia="SimSun" w:hAnsi="Arial" w:cs="Arial"/>
        <w:sz w:val="22"/>
        <w:szCs w:val="20"/>
        <w:lang w:eastAsia="zh-CN"/>
      </w:rPr>
      <w:t>ANNEX</w:t>
    </w:r>
  </w:p>
  <w:p w:rsidR="002B3C3A" w:rsidRPr="002B3C3A" w:rsidRDefault="002B3C3A" w:rsidP="002B3C3A">
    <w:pPr>
      <w:jc w:val="right"/>
      <w:rPr>
        <w:rFonts w:eastAsia="SimSun"/>
        <w:rtl/>
        <w:lang w:eastAsia="zh-CN"/>
      </w:rPr>
    </w:pPr>
    <w:r w:rsidRPr="002B3C3A">
      <w:rPr>
        <w:rFonts w:eastAsia="SimSun"/>
        <w:rtl/>
        <w:lang w:eastAsia="zh-CN"/>
      </w:rPr>
      <w:t>المرفق</w:t>
    </w:r>
  </w:p>
  <w:p w:rsidR="002B3C3A" w:rsidRPr="002B3C3A" w:rsidRDefault="002B3C3A" w:rsidP="002B3C3A">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0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8D9"/>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06C"/>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67B"/>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3C3A"/>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20B"/>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E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BFF"/>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7E"/>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97A"/>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2EC"/>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AC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ACB"/>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507"/>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DF4"/>
    <w:rsid w:val="00A13E2B"/>
    <w:rsid w:val="00A1562A"/>
    <w:rsid w:val="00A15901"/>
    <w:rsid w:val="00A1618E"/>
    <w:rsid w:val="00A161A1"/>
    <w:rsid w:val="00A17AFC"/>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662"/>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2737"/>
    <w:rsid w:val="00A829D3"/>
    <w:rsid w:val="00A83454"/>
    <w:rsid w:val="00A843FC"/>
    <w:rsid w:val="00A84DA5"/>
    <w:rsid w:val="00A85302"/>
    <w:rsid w:val="00A86119"/>
    <w:rsid w:val="00A8649F"/>
    <w:rsid w:val="00A86D25"/>
    <w:rsid w:val="00A86EFA"/>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8AC"/>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9D7"/>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2F0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FB1E4E5-D0EE-4011-A522-B1E640C2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0667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2B3C3A"/>
  </w:style>
  <w:style w:type="character" w:styleId="CommentReference">
    <w:name w:val="annotation reference"/>
    <w:basedOn w:val="DefaultParagraphFont"/>
    <w:semiHidden/>
    <w:unhideWhenUsed/>
    <w:rsid w:val="00A86EFA"/>
    <w:rPr>
      <w:sz w:val="16"/>
      <w:szCs w:val="16"/>
    </w:rPr>
  </w:style>
  <w:style w:type="paragraph" w:styleId="CommentSubject">
    <w:name w:val="annotation subject"/>
    <w:basedOn w:val="CommentText"/>
    <w:next w:val="CommentText"/>
    <w:link w:val="CommentSubjectChar"/>
    <w:semiHidden/>
    <w:unhideWhenUsed/>
    <w:rsid w:val="00A86EFA"/>
    <w:rPr>
      <w:b/>
      <w:bCs/>
      <w:sz w:val="20"/>
      <w:szCs w:val="20"/>
    </w:rPr>
  </w:style>
  <w:style w:type="character" w:customStyle="1" w:styleId="CommentSubjectChar">
    <w:name w:val="Comment Subject Char"/>
    <w:basedOn w:val="CommentTextChar"/>
    <w:link w:val="CommentSubject"/>
    <w:semiHidden/>
    <w:rsid w:val="00A86EFA"/>
    <w:rPr>
      <w:rFonts w:ascii="Arial" w:hAnsi="Arial" w:cs="Arabic Typesetting"/>
      <w:b/>
      <w:bCs/>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BB23-4645-4FBF-9281-C50923F9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868</Words>
  <Characters>4799</Characters>
  <Application>Microsoft Office Word</Application>
  <DocSecurity>4</DocSecurity>
  <Lines>348</Lines>
  <Paragraphs>238</Paragraphs>
  <ScaleCrop>false</ScaleCrop>
  <HeadingPairs>
    <vt:vector size="2" baseType="variant">
      <vt:variant>
        <vt:lpstr>Title</vt:lpstr>
      </vt:variant>
      <vt:variant>
        <vt:i4>1</vt:i4>
      </vt:variant>
    </vt:vector>
  </HeadingPairs>
  <TitlesOfParts>
    <vt:vector size="1" baseType="lpstr">
      <vt:lpstr>MM/A/53/ (Arabic)</vt:lpstr>
    </vt:vector>
  </TitlesOfParts>
  <Company>World Intellectual Property Organization</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 (Arabic)</dc:title>
  <dc:creator>MERZOUK Fawzi</dc:creator>
  <cp:keywords>PUBLIC</cp:keywords>
  <cp:lastModifiedBy>HÄFLIGER Patience</cp:lastModifiedBy>
  <cp:revision>2</cp:revision>
  <cp:lastPrinted>2019-09-25T08:02:00Z</cp:lastPrinted>
  <dcterms:created xsi:type="dcterms:W3CDTF">2019-09-25T14:01:00Z</dcterms:created>
  <dcterms:modified xsi:type="dcterms:W3CDTF">2019-09-25T14:01:00Z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af8a95b0-ddcd-4d8c-ac64-1b98ccbaa66e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