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C3E1F" w:rsidP="00AC3E1F">
            <w:pPr>
              <w:pStyle w:val="DocumentCodeAR"/>
              <w:bidi/>
              <w:rPr>
                <w:rtl/>
              </w:rPr>
            </w:pPr>
            <w:r>
              <w:t>MM</w:t>
            </w:r>
            <w:r w:rsidR="00772E46">
              <w:t>/</w:t>
            </w:r>
            <w:r w:rsidR="0059089F">
              <w:t>A</w:t>
            </w:r>
            <w:r w:rsidR="00100F97">
              <w:t>/</w:t>
            </w:r>
            <w:r w:rsidR="00D30E1A">
              <w:t>48</w:t>
            </w:r>
            <w:r w:rsidR="0040066A">
              <w:t>/1</w:t>
            </w:r>
          </w:p>
        </w:tc>
      </w:tr>
      <w:tr w:rsidR="001667B6" w:rsidTr="00BF164F">
        <w:tc>
          <w:tcPr>
            <w:tcW w:w="9571" w:type="dxa"/>
            <w:gridSpan w:val="3"/>
          </w:tcPr>
          <w:p w:rsidR="001667B6" w:rsidRPr="00B6101C" w:rsidRDefault="00B6101C" w:rsidP="0040066A">
            <w:pPr>
              <w:pStyle w:val="DocumentLanguageAR"/>
              <w:bidi/>
              <w:rPr>
                <w:rtl/>
              </w:rPr>
            </w:pPr>
            <w:r w:rsidRPr="00B6101C">
              <w:rPr>
                <w:rFonts w:hint="cs"/>
                <w:rtl/>
              </w:rPr>
              <w:t xml:space="preserve">الأصل: </w:t>
            </w:r>
            <w:r w:rsidR="0040066A">
              <w:rPr>
                <w:rFonts w:hint="cs"/>
                <w:rtl/>
              </w:rPr>
              <w:t>بالإنكليزية</w:t>
            </w:r>
          </w:p>
        </w:tc>
      </w:tr>
      <w:tr w:rsidR="001667B6" w:rsidTr="00BF164F">
        <w:tc>
          <w:tcPr>
            <w:tcW w:w="9571" w:type="dxa"/>
            <w:gridSpan w:val="3"/>
          </w:tcPr>
          <w:p w:rsidR="001667B6" w:rsidRPr="00B6101C" w:rsidRDefault="00B6101C" w:rsidP="0040066A">
            <w:pPr>
              <w:pStyle w:val="DocumentDateAR"/>
              <w:bidi/>
              <w:rPr>
                <w:rtl/>
              </w:rPr>
            </w:pPr>
            <w:r w:rsidRPr="00B6101C">
              <w:rPr>
                <w:rFonts w:hint="cs"/>
                <w:rtl/>
              </w:rPr>
              <w:t xml:space="preserve">التاريخ: </w:t>
            </w:r>
            <w:r w:rsidR="0040066A">
              <w:rPr>
                <w:rFonts w:hint="cs"/>
                <w:rtl/>
              </w:rPr>
              <w:t>23</w:t>
            </w:r>
            <w:r w:rsidRPr="00B6101C">
              <w:rPr>
                <w:rFonts w:hint="cs"/>
                <w:rtl/>
              </w:rPr>
              <w:t xml:space="preserve"> </w:t>
            </w:r>
            <w:r w:rsidR="0040066A">
              <w:rPr>
                <w:rFonts w:hint="cs"/>
                <w:rtl/>
              </w:rPr>
              <w:t>يونيو</w:t>
            </w:r>
            <w:r w:rsidRPr="00B6101C">
              <w:rPr>
                <w:rFonts w:hint="cs"/>
                <w:rtl/>
              </w:rPr>
              <w:t xml:space="preserve"> </w:t>
            </w:r>
            <w:r w:rsidR="00D30E1A">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1775E" w:rsidRDefault="00E1775E" w:rsidP="00E1775E">
      <w:pPr>
        <w:pStyle w:val="MeetingTitleAR"/>
        <w:bidi/>
        <w:rPr>
          <w:rtl/>
        </w:rPr>
      </w:pPr>
      <w:r>
        <w:rPr>
          <w:rFonts w:hint="cs"/>
          <w:rtl/>
        </w:rPr>
        <w:t>الاتحاد الخاص للتسجيل الدولي للعلامات</w:t>
      </w:r>
    </w:p>
    <w:p w:rsidR="00E1775E" w:rsidRPr="00840AF7" w:rsidRDefault="00E1775E" w:rsidP="00E1775E">
      <w:pPr>
        <w:pStyle w:val="NormalParaAR"/>
        <w:rPr>
          <w:rFonts w:cs="PT Bold Heading"/>
          <w:sz w:val="32"/>
          <w:szCs w:val="32"/>
          <w:rtl/>
        </w:rPr>
      </w:pPr>
      <w:r w:rsidRPr="00840AF7">
        <w:rPr>
          <w:rFonts w:cs="PT Bold Heading" w:hint="cs"/>
          <w:sz w:val="32"/>
          <w:szCs w:val="32"/>
          <w:rtl/>
        </w:rPr>
        <w:t>(اتحاد مدريد)</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D30E1A">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D30E1A">
        <w:rPr>
          <w:rFonts w:ascii="Cambria Math" w:hAnsi="Cambria Math" w:hint="cs"/>
          <w:rtl/>
          <w:lang w:val="fr-CH"/>
        </w:rPr>
        <w:t>الثامنة</w:t>
      </w:r>
      <w:r>
        <w:rPr>
          <w:rFonts w:ascii="Cambria Math" w:hAnsi="Cambria Math" w:hint="cs"/>
          <w:rtl/>
          <w:lang w:val="fr-CH"/>
        </w:rPr>
        <w:t xml:space="preserve"> </w:t>
      </w:r>
      <w:r w:rsidR="000438DD">
        <w:rPr>
          <w:rFonts w:ascii="Cambria Math" w:hAnsi="Cambria Math" w:hint="cs"/>
          <w:rtl/>
        </w:rPr>
        <w:t>و</w:t>
      </w:r>
      <w:r>
        <w:rPr>
          <w:rFonts w:ascii="Cambria Math" w:hAnsi="Cambria Math" w:hint="cs"/>
          <w:rtl/>
        </w:rPr>
        <w:t xml:space="preserve">الأربعون </w:t>
      </w:r>
      <w:r w:rsidR="0059089F" w:rsidRPr="0059089F">
        <w:rPr>
          <w:rFonts w:ascii="Cambria Math" w:hAnsi="Cambria Math"/>
          <w:rtl/>
        </w:rPr>
        <w:t xml:space="preserve">(الدورة </w:t>
      </w:r>
      <w:r w:rsidR="00D30E1A">
        <w:rPr>
          <w:rFonts w:ascii="Cambria Math" w:hAnsi="Cambria Math" w:hint="cs"/>
          <w:rtl/>
        </w:rPr>
        <w:t>الاستثنائية الثامنة و</w:t>
      </w:r>
      <w:r w:rsidR="0059089F">
        <w:rPr>
          <w:rFonts w:ascii="Cambria Math" w:hAnsi="Cambria Math" w:hint="cs"/>
          <w:rtl/>
        </w:rPr>
        <w:t xml:space="preserve"> </w:t>
      </w:r>
      <w:r w:rsidR="0059089F" w:rsidRPr="0059089F">
        <w:rPr>
          <w:rFonts w:ascii="Cambria Math" w:hAnsi="Cambria Math"/>
          <w:rtl/>
        </w:rPr>
        <w:t>العشرون)</w:t>
      </w:r>
    </w:p>
    <w:p w:rsidR="00D61541" w:rsidRPr="00D61541" w:rsidRDefault="00D61541" w:rsidP="00D30E1A">
      <w:pPr>
        <w:pStyle w:val="MeetingDatesAR"/>
        <w:bidi/>
        <w:rPr>
          <w:rtl/>
        </w:rPr>
      </w:pPr>
      <w:r w:rsidRPr="00D61541">
        <w:rPr>
          <w:rFonts w:hint="cs"/>
          <w:rtl/>
        </w:rPr>
        <w:t xml:space="preserve">جنيف، من </w:t>
      </w:r>
      <w:r w:rsidR="00D30E1A">
        <w:rPr>
          <w:rFonts w:hint="cs"/>
          <w:rtl/>
        </w:rPr>
        <w:t>22</w:t>
      </w:r>
      <w:r w:rsidR="00983389">
        <w:rPr>
          <w:rFonts w:hint="cs"/>
          <w:rtl/>
        </w:rPr>
        <w:t xml:space="preserve"> </w:t>
      </w:r>
      <w:r w:rsidR="00100F97">
        <w:rPr>
          <w:rFonts w:hint="cs"/>
          <w:rtl/>
        </w:rPr>
        <w:t xml:space="preserve">إلى </w:t>
      </w:r>
      <w:r w:rsidR="00D30E1A">
        <w:rPr>
          <w:rFonts w:hint="cs"/>
          <w:rtl/>
        </w:rPr>
        <w:t>30 سبتمبر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1853B7" w:rsidRDefault="0040066A" w:rsidP="00FB7EC9">
      <w:pPr>
        <w:pStyle w:val="DocumentTitleAR"/>
        <w:bidi/>
        <w:rPr>
          <w:rFonts w:hint="cs"/>
          <w:rtl/>
        </w:rPr>
      </w:pPr>
      <w:r>
        <w:rPr>
          <w:rFonts w:hint="cs"/>
          <w:rtl/>
        </w:rPr>
        <w:t xml:space="preserve">برنامج تحديث تكنولوجيا المعلومات </w:t>
      </w:r>
    </w:p>
    <w:p w:rsidR="00D61541" w:rsidRPr="00D61541" w:rsidRDefault="0040066A" w:rsidP="001853B7">
      <w:pPr>
        <w:pStyle w:val="DocumentTitleAR"/>
        <w:bidi/>
        <w:rPr>
          <w:rtl/>
        </w:rPr>
      </w:pPr>
      <w:r>
        <w:rPr>
          <w:rFonts w:hint="cs"/>
          <w:rtl/>
        </w:rPr>
        <w:t>(نظام مدريد للتسجيل الدولي): تقرير مرحلي</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40066A">
        <w:rPr>
          <w:rFonts w:hint="cs"/>
          <w:rtl/>
        </w:rPr>
        <w:t xml:space="preserve"> المكتب الدولي</w:t>
      </w:r>
    </w:p>
    <w:p w:rsidR="00D30E1A" w:rsidRPr="0040066A" w:rsidRDefault="0040066A" w:rsidP="001853B7">
      <w:pPr>
        <w:pStyle w:val="NormalParaAR"/>
        <w:keepNext/>
        <w:rPr>
          <w:b/>
          <w:bCs/>
          <w:sz w:val="40"/>
          <w:szCs w:val="40"/>
          <w:rtl/>
        </w:rPr>
      </w:pPr>
      <w:r w:rsidRPr="0040066A">
        <w:rPr>
          <w:rFonts w:hint="cs"/>
          <w:b/>
          <w:bCs/>
          <w:sz w:val="40"/>
          <w:szCs w:val="40"/>
          <w:rtl/>
        </w:rPr>
        <w:t>مقدمة</w:t>
      </w:r>
    </w:p>
    <w:p w:rsidR="0040066A" w:rsidRDefault="00CF20DB" w:rsidP="007D694B">
      <w:pPr>
        <w:pStyle w:val="NumberedParaAR"/>
      </w:pPr>
      <w:r>
        <w:rPr>
          <w:rFonts w:hint="cs"/>
          <w:rtl/>
        </w:rPr>
        <w:t xml:space="preserve">الغرض من هذه الوثيقة هو عرض  التقدم المحرز في برنامج تحديث تكنولوجيا المعلومات (المشار إليه فيما يلي بكلمة "البرنامج") منذ الجمعية السابقة لاتحاد مدريد (المشار إليها فيما يلي بكلمة "الجمعية") المعقودة في أكتوبر 2013. كما ترمي الوثيقة إلى إطلاع أعضاء الجمعية على أي تغيير </w:t>
      </w:r>
      <w:r w:rsidR="007D694B">
        <w:rPr>
          <w:rFonts w:hint="cs"/>
          <w:rtl/>
        </w:rPr>
        <w:t>في</w:t>
      </w:r>
      <w:r>
        <w:rPr>
          <w:rFonts w:hint="cs"/>
          <w:rtl/>
        </w:rPr>
        <w:t xml:space="preserve"> النهج العام </w:t>
      </w:r>
      <w:r w:rsidR="007D694B">
        <w:rPr>
          <w:rFonts w:hint="cs"/>
          <w:rtl/>
        </w:rPr>
        <w:t>نحو</w:t>
      </w:r>
      <w:r>
        <w:rPr>
          <w:rFonts w:hint="cs"/>
          <w:rtl/>
        </w:rPr>
        <w:t xml:space="preserve"> </w:t>
      </w:r>
      <w:r w:rsidR="007D694B">
        <w:rPr>
          <w:rFonts w:hint="cs"/>
          <w:rtl/>
        </w:rPr>
        <w:t xml:space="preserve">استكمال البرنامج، فضلا عن </w:t>
      </w:r>
      <w:r>
        <w:rPr>
          <w:rFonts w:hint="cs"/>
          <w:rtl/>
        </w:rPr>
        <w:t>الإخطار بأي تغيير في الجدول الزمني للبرنامج.</w:t>
      </w:r>
    </w:p>
    <w:p w:rsidR="00CF20DB" w:rsidRDefault="00CF20DB" w:rsidP="00CF20DB">
      <w:pPr>
        <w:pStyle w:val="NumberedParaAR"/>
      </w:pPr>
      <w:r>
        <w:rPr>
          <w:rFonts w:hint="cs"/>
          <w:rtl/>
        </w:rPr>
        <w:t>وتحتوي الوثيقة</w:t>
      </w:r>
      <w:r>
        <w:rPr>
          <w:rFonts w:hint="eastAsia"/>
          <w:rtl/>
        </w:rPr>
        <w:t> </w:t>
      </w:r>
      <w:r w:rsidRPr="00CF20DB">
        <w:t>MM/A/46/1</w:t>
      </w:r>
      <w:r>
        <w:rPr>
          <w:rFonts w:hint="cs"/>
          <w:rtl/>
        </w:rPr>
        <w:t xml:space="preserve"> على التقرير المرحلي السابق الخاص بالبرنامج.</w:t>
      </w:r>
    </w:p>
    <w:p w:rsidR="00CF20DB" w:rsidRDefault="00CF20DB" w:rsidP="007D694B">
      <w:pPr>
        <w:pStyle w:val="NumberedParaAR"/>
      </w:pPr>
      <w:r>
        <w:rPr>
          <w:rFonts w:hint="cs"/>
          <w:rtl/>
        </w:rPr>
        <w:t xml:space="preserve">ويجدر التذكير بأنّه من </w:t>
      </w:r>
      <w:r w:rsidR="007D694B">
        <w:rPr>
          <w:rFonts w:hint="cs"/>
          <w:rtl/>
        </w:rPr>
        <w:t>المقرّر</w:t>
      </w:r>
      <w:r>
        <w:rPr>
          <w:rFonts w:hint="cs"/>
          <w:rtl/>
        </w:rPr>
        <w:t xml:space="preserve"> </w:t>
      </w:r>
      <w:r w:rsidR="007D694B">
        <w:rPr>
          <w:rFonts w:hint="cs"/>
          <w:rtl/>
        </w:rPr>
        <w:t xml:space="preserve">تنفيذ </w:t>
      </w:r>
      <w:r>
        <w:rPr>
          <w:rFonts w:hint="cs"/>
          <w:rtl/>
        </w:rPr>
        <w:t xml:space="preserve">البرنامج </w:t>
      </w:r>
      <w:r w:rsidR="007D694B">
        <w:rPr>
          <w:rFonts w:hint="cs"/>
          <w:rtl/>
        </w:rPr>
        <w:t>على</w:t>
      </w:r>
      <w:r>
        <w:rPr>
          <w:rFonts w:hint="cs"/>
          <w:rtl/>
        </w:rPr>
        <w:t xml:space="preserve"> ثلاث مراحل: المرحلة الأولى والمرحلة الثانية والمرحلة الثالثة. وتتألف المرحلة الأولى </w:t>
      </w:r>
      <w:r w:rsidR="00A6309B">
        <w:rPr>
          <w:rFonts w:hint="cs"/>
          <w:rtl/>
        </w:rPr>
        <w:t xml:space="preserve">من مشروعات فرعية </w:t>
      </w:r>
      <w:r w:rsidR="007D694B">
        <w:rPr>
          <w:rFonts w:hint="cs"/>
          <w:rtl/>
        </w:rPr>
        <w:t>تستهدف</w:t>
      </w:r>
      <w:r w:rsidR="00A6309B">
        <w:rPr>
          <w:rFonts w:hint="cs"/>
          <w:rtl/>
        </w:rPr>
        <w:t xml:space="preserve"> </w:t>
      </w:r>
      <w:r w:rsidR="007D694B">
        <w:rPr>
          <w:rFonts w:hint="cs"/>
          <w:rtl/>
        </w:rPr>
        <w:t>التوصّل إلى</w:t>
      </w:r>
      <w:r w:rsidR="00A6309B">
        <w:rPr>
          <w:rFonts w:hint="cs"/>
          <w:rtl/>
        </w:rPr>
        <w:t xml:space="preserve"> نتائج إيجابية فورية أو </w:t>
      </w:r>
      <w:r w:rsidR="007D694B">
        <w:rPr>
          <w:rFonts w:hint="cs"/>
          <w:rtl/>
        </w:rPr>
        <w:t>إرساء</w:t>
      </w:r>
      <w:r w:rsidR="00A6309B">
        <w:rPr>
          <w:rFonts w:hint="cs"/>
          <w:rtl/>
        </w:rPr>
        <w:t xml:space="preserve"> الأسس التقنية للمرحلة الثانية. </w:t>
      </w:r>
      <w:r w:rsidR="007D694B">
        <w:rPr>
          <w:rFonts w:hint="cs"/>
          <w:rtl/>
        </w:rPr>
        <w:t xml:space="preserve">وتنطوي </w:t>
      </w:r>
      <w:r w:rsidR="00026100">
        <w:rPr>
          <w:rFonts w:hint="cs"/>
          <w:rtl/>
        </w:rPr>
        <w:t xml:space="preserve">المرحلة الثانية </w:t>
      </w:r>
      <w:r w:rsidR="007D694B">
        <w:rPr>
          <w:rFonts w:hint="cs"/>
          <w:rtl/>
        </w:rPr>
        <w:t>على</w:t>
      </w:r>
      <w:r w:rsidR="00026100">
        <w:rPr>
          <w:rFonts w:hint="cs"/>
          <w:rtl/>
        </w:rPr>
        <w:t xml:space="preserve"> التحوّل التقني الفعلي </w:t>
      </w:r>
      <w:r w:rsidR="00BE36CF">
        <w:rPr>
          <w:rFonts w:hint="cs"/>
          <w:rtl/>
        </w:rPr>
        <w:t xml:space="preserve">بالتقابل المباشر </w:t>
      </w:r>
      <w:r w:rsidR="00026100">
        <w:rPr>
          <w:rFonts w:hint="cs"/>
          <w:rtl/>
        </w:rPr>
        <w:t xml:space="preserve">من نظام تكنولوجيا المعلومات </w:t>
      </w:r>
      <w:r w:rsidR="007D694B">
        <w:rPr>
          <w:rFonts w:hint="cs"/>
          <w:rtl/>
        </w:rPr>
        <w:t>الحالي</w:t>
      </w:r>
      <w:r w:rsidR="00026100">
        <w:rPr>
          <w:rFonts w:hint="cs"/>
          <w:rtl/>
        </w:rPr>
        <w:t xml:space="preserve">، الذي يدعم </w:t>
      </w:r>
      <w:r w:rsidR="007D694B">
        <w:rPr>
          <w:rFonts w:hint="cs"/>
          <w:rtl/>
        </w:rPr>
        <w:t>إجراءات التسجيل الدولي ل</w:t>
      </w:r>
      <w:r w:rsidR="00026100">
        <w:rPr>
          <w:rFonts w:hint="cs"/>
          <w:rtl/>
        </w:rPr>
        <w:t xml:space="preserve">كل من نظامي مدريد ولاهاي، إلى تكنولوجيا حديثة تضمن استفادة أصحاب المصالح في نظامي مدريد ولاهاي، </w:t>
      </w:r>
      <w:r w:rsidR="007D694B">
        <w:rPr>
          <w:rFonts w:hint="cs"/>
          <w:rtl/>
        </w:rPr>
        <w:t>على مدى</w:t>
      </w:r>
      <w:r w:rsidR="00026100">
        <w:rPr>
          <w:rFonts w:hint="cs"/>
          <w:rtl/>
        </w:rPr>
        <w:t xml:space="preserve"> الأعوام المقبلة، من منصة تقنية </w:t>
      </w:r>
      <w:r w:rsidR="007D694B">
        <w:rPr>
          <w:rFonts w:hint="cs"/>
          <w:rtl/>
        </w:rPr>
        <w:t>موحدة على مستوى كل دوائر القطاع المعنية</w:t>
      </w:r>
      <w:r w:rsidR="008738EF">
        <w:rPr>
          <w:rFonts w:hint="cs"/>
          <w:rtl/>
        </w:rPr>
        <w:t xml:space="preserve">. أما المرحلة الثالثة فهي مرحلة اختيارية </w:t>
      </w:r>
      <w:r w:rsidR="007D694B">
        <w:rPr>
          <w:rFonts w:hint="cs"/>
          <w:rtl/>
        </w:rPr>
        <w:t xml:space="preserve">من المقرّر أن </w:t>
      </w:r>
      <w:r w:rsidR="008738EF">
        <w:rPr>
          <w:rFonts w:hint="cs"/>
          <w:rtl/>
        </w:rPr>
        <w:t>يضطلع بها المكتب الدولي من أجل السعي إلى ضمان استقرار النظام الجديد بعد تاريخ بدء تشغيله رسميا.</w:t>
      </w:r>
    </w:p>
    <w:p w:rsidR="008738EF" w:rsidRPr="001853B7" w:rsidRDefault="008738EF" w:rsidP="001853B7">
      <w:pPr>
        <w:pStyle w:val="NormalParaAR"/>
        <w:keepNext/>
        <w:rPr>
          <w:b/>
          <w:bCs/>
          <w:sz w:val="40"/>
          <w:szCs w:val="40"/>
          <w:rtl/>
        </w:rPr>
      </w:pPr>
      <w:r w:rsidRPr="001853B7">
        <w:rPr>
          <w:rFonts w:hint="cs"/>
          <w:b/>
          <w:bCs/>
          <w:sz w:val="40"/>
          <w:szCs w:val="40"/>
          <w:rtl/>
        </w:rPr>
        <w:lastRenderedPageBreak/>
        <w:t xml:space="preserve">المرحلة الأولى </w:t>
      </w:r>
      <w:r w:rsidRPr="001853B7">
        <w:rPr>
          <w:b/>
          <w:bCs/>
          <w:sz w:val="40"/>
          <w:szCs w:val="40"/>
          <w:rtl/>
        </w:rPr>
        <w:t>–</w:t>
      </w:r>
      <w:r w:rsidRPr="001853B7">
        <w:rPr>
          <w:rFonts w:hint="cs"/>
          <w:b/>
          <w:bCs/>
          <w:sz w:val="40"/>
          <w:szCs w:val="40"/>
          <w:rtl/>
        </w:rPr>
        <w:t xml:space="preserve"> حالة التنفيذ</w:t>
      </w:r>
    </w:p>
    <w:p w:rsidR="008738EF" w:rsidRDefault="00F17991" w:rsidP="00F17991">
      <w:pPr>
        <w:pStyle w:val="NumberedParaAR"/>
      </w:pPr>
      <w:r>
        <w:rPr>
          <w:rFonts w:hint="cs"/>
          <w:rtl/>
        </w:rPr>
        <w:t>عقب الإطلاق الناجح لم</w:t>
      </w:r>
      <w:r w:rsidRPr="00F17991">
        <w:rPr>
          <w:rtl/>
        </w:rPr>
        <w:t>شروع دمج عمليات التسجيل الدولي</w:t>
      </w:r>
      <w:r>
        <w:rPr>
          <w:rFonts w:hint="cs"/>
          <w:rtl/>
        </w:rPr>
        <w:t xml:space="preserve"> (</w:t>
      </w:r>
      <w:r w:rsidRPr="00F17991">
        <w:t>IRPI</w:t>
      </w:r>
      <w:r>
        <w:rPr>
          <w:rFonts w:hint="cs"/>
          <w:rtl/>
        </w:rPr>
        <w:t>) (</w:t>
      </w:r>
      <w:r w:rsidR="00CA6509">
        <w:rPr>
          <w:rFonts w:hint="cs"/>
          <w:rtl/>
        </w:rPr>
        <w:t xml:space="preserve">في </w:t>
      </w:r>
      <w:r>
        <w:rPr>
          <w:rFonts w:hint="cs"/>
          <w:rtl/>
        </w:rPr>
        <w:t xml:space="preserve">صيف عام 2013)، استُكملت المرحلة الأولى من البرنامج بنجاح. ونتيجة لذلك سيُستخدم ما تبقى من أموال المرحلة الأولى في المرحلة الثانية، وسيتوقف الإبلاغ عن المرحلة الأولى من البرنامج في وثائق </w:t>
      </w:r>
      <w:r w:rsidR="009443C4">
        <w:rPr>
          <w:rFonts w:hint="cs"/>
          <w:rtl/>
        </w:rPr>
        <w:t>دورات الجمعية</w:t>
      </w:r>
      <w:r>
        <w:rPr>
          <w:rFonts w:hint="cs"/>
          <w:rtl/>
        </w:rPr>
        <w:t xml:space="preserve"> القادمة.</w:t>
      </w:r>
    </w:p>
    <w:p w:rsidR="00F17991" w:rsidRPr="001853B7" w:rsidRDefault="00F17991" w:rsidP="001853B7">
      <w:pPr>
        <w:pStyle w:val="NormalParaAR"/>
        <w:keepNext/>
        <w:rPr>
          <w:b/>
          <w:bCs/>
          <w:sz w:val="40"/>
          <w:szCs w:val="40"/>
          <w:rtl/>
        </w:rPr>
      </w:pPr>
      <w:r w:rsidRPr="001853B7">
        <w:rPr>
          <w:rFonts w:hint="cs"/>
          <w:b/>
          <w:bCs/>
          <w:sz w:val="40"/>
          <w:szCs w:val="40"/>
          <w:rtl/>
        </w:rPr>
        <w:t xml:space="preserve">المرحلة الثانية </w:t>
      </w:r>
      <w:r w:rsidRPr="001853B7">
        <w:rPr>
          <w:b/>
          <w:bCs/>
          <w:sz w:val="40"/>
          <w:szCs w:val="40"/>
          <w:rtl/>
        </w:rPr>
        <w:t>–</w:t>
      </w:r>
      <w:r w:rsidRPr="001853B7">
        <w:rPr>
          <w:rFonts w:hint="cs"/>
          <w:b/>
          <w:bCs/>
          <w:sz w:val="40"/>
          <w:szCs w:val="40"/>
          <w:rtl/>
        </w:rPr>
        <w:t xml:space="preserve"> معلومات أساسية</w:t>
      </w:r>
    </w:p>
    <w:p w:rsidR="00F17991" w:rsidRDefault="009A255E" w:rsidP="009A255E">
      <w:pPr>
        <w:pStyle w:val="NumberedParaAR"/>
      </w:pPr>
      <w:r>
        <w:rPr>
          <w:rFonts w:hint="cs"/>
          <w:rtl/>
        </w:rPr>
        <w:t>ي</w:t>
      </w:r>
      <w:r w:rsidRPr="009A255E">
        <w:rPr>
          <w:rtl/>
        </w:rPr>
        <w:t>جدر التذكير بأنّ النهج المعتمد لتنفيذ المرحلة الثانية من البرنامج هو إجراء ترحيل تقني بالتقابل المباشر من نظام تكنولوجيا المعلومات الحالي إلى هيكل حديث موجّه نحو الخدمات عن طريق اختيار شريك خارجي مؤهّل في مجال تكنولوجيا المعلومات.</w:t>
      </w:r>
      <w:r w:rsidRPr="009A255E">
        <w:rPr>
          <w:rFonts w:hint="cs"/>
          <w:rtl/>
        </w:rPr>
        <w:t xml:space="preserve"> </w:t>
      </w:r>
      <w:r>
        <w:rPr>
          <w:rFonts w:hint="cs"/>
          <w:rtl/>
        </w:rPr>
        <w:t>(</w:t>
      </w:r>
      <w:r w:rsidRPr="009A255E">
        <w:rPr>
          <w:i/>
        </w:rPr>
        <w:t>ELCA </w:t>
      </w:r>
      <w:proofErr w:type="spellStart"/>
      <w:r w:rsidRPr="009A255E">
        <w:rPr>
          <w:i/>
        </w:rPr>
        <w:t>Informatique</w:t>
      </w:r>
      <w:proofErr w:type="spellEnd"/>
      <w:r w:rsidRPr="009A255E">
        <w:rPr>
          <w:i/>
        </w:rPr>
        <w:t xml:space="preserve"> SA</w:t>
      </w:r>
      <w:r>
        <w:rPr>
          <w:rFonts w:hint="cs"/>
          <w:rtl/>
        </w:rPr>
        <w:t>).</w:t>
      </w:r>
    </w:p>
    <w:p w:rsidR="009A255E" w:rsidRDefault="00DB37DE" w:rsidP="00492D4F">
      <w:pPr>
        <w:pStyle w:val="NumberedParaAR"/>
      </w:pPr>
      <w:r w:rsidRPr="00DB37DE">
        <w:rPr>
          <w:rtl/>
        </w:rPr>
        <w:t xml:space="preserve">والغرض من الترحيل التقني هو الانتقال بالبرنامج الحاسوبي وقاعدة البيانات وتدفق العمل </w:t>
      </w:r>
      <w:r w:rsidR="00492D4F">
        <w:rPr>
          <w:rFonts w:hint="cs"/>
          <w:rtl/>
        </w:rPr>
        <w:t xml:space="preserve">الخاص </w:t>
      </w:r>
      <w:r w:rsidRPr="00DB37DE">
        <w:rPr>
          <w:rtl/>
        </w:rPr>
        <w:t xml:space="preserve">من لغة البرمجة الطبيعية ونظام </w:t>
      </w:r>
      <w:proofErr w:type="spellStart"/>
      <w:r w:rsidRPr="00DB37DE">
        <w:rPr>
          <w:rtl/>
        </w:rPr>
        <w:t>أداباس</w:t>
      </w:r>
      <w:proofErr w:type="spellEnd"/>
      <w:r w:rsidRPr="00DB37DE">
        <w:rPr>
          <w:rtl/>
        </w:rPr>
        <w:t xml:space="preserve"> (</w:t>
      </w:r>
      <w:proofErr w:type="spellStart"/>
      <w:r w:rsidRPr="00DB37DE">
        <w:t>Adabas</w:t>
      </w:r>
      <w:proofErr w:type="spellEnd"/>
      <w:r w:rsidRPr="00DB37DE">
        <w:rPr>
          <w:rtl/>
        </w:rPr>
        <w:t xml:space="preserve">) لإدارة قواعد البيانات إلى لغة البرمجة </w:t>
      </w:r>
      <w:r w:rsidRPr="00DB37DE">
        <w:t>Java</w:t>
      </w:r>
      <w:r w:rsidRPr="00DB37DE">
        <w:rPr>
          <w:rtl/>
        </w:rPr>
        <w:t xml:space="preserve"> ونظام </w:t>
      </w:r>
      <w:r w:rsidRPr="00DB37DE">
        <w:t>Oracle</w:t>
      </w:r>
      <w:r w:rsidRPr="00DB37DE">
        <w:rPr>
          <w:rtl/>
        </w:rPr>
        <w:t xml:space="preserve"> لإدارة قواعد البيانات، بما في ذلك دمج أحدث أداة لإدارة الإجراءات المؤسسية.</w:t>
      </w:r>
      <w:r>
        <w:rPr>
          <w:rFonts w:hint="cs"/>
          <w:rtl/>
        </w:rPr>
        <w:t xml:space="preserve"> </w:t>
      </w:r>
      <w:r w:rsidRPr="00DB37DE">
        <w:rPr>
          <w:rtl/>
        </w:rPr>
        <w:t>وسيزيل إنجاز ذلك الترحيل مخاطر تقادم البنية التحتية القائمة.</w:t>
      </w:r>
    </w:p>
    <w:p w:rsidR="003F256A" w:rsidRPr="001853B7" w:rsidRDefault="003F256A" w:rsidP="001853B7">
      <w:pPr>
        <w:pStyle w:val="NormalParaAR"/>
        <w:keepNext/>
        <w:rPr>
          <w:b/>
          <w:bCs/>
          <w:sz w:val="40"/>
          <w:szCs w:val="40"/>
          <w:rtl/>
        </w:rPr>
      </w:pPr>
      <w:r w:rsidRPr="001853B7">
        <w:rPr>
          <w:rFonts w:hint="cs"/>
          <w:b/>
          <w:bCs/>
          <w:sz w:val="40"/>
          <w:szCs w:val="40"/>
          <w:rtl/>
        </w:rPr>
        <w:t xml:space="preserve">المرحلة الثانية </w:t>
      </w:r>
      <w:r w:rsidRPr="001853B7">
        <w:rPr>
          <w:b/>
          <w:bCs/>
          <w:sz w:val="40"/>
          <w:szCs w:val="40"/>
          <w:rtl/>
        </w:rPr>
        <w:t>–</w:t>
      </w:r>
      <w:r w:rsidRPr="001853B7">
        <w:rPr>
          <w:rFonts w:hint="cs"/>
          <w:b/>
          <w:bCs/>
          <w:sz w:val="40"/>
          <w:szCs w:val="40"/>
          <w:rtl/>
        </w:rPr>
        <w:t xml:space="preserve"> النتائج المُحققة</w:t>
      </w:r>
    </w:p>
    <w:p w:rsidR="003F256A" w:rsidRDefault="003F256A" w:rsidP="00C040CF">
      <w:pPr>
        <w:pStyle w:val="NumberedParaAR"/>
      </w:pPr>
      <w:r w:rsidRPr="003F256A">
        <w:rPr>
          <w:rtl/>
        </w:rPr>
        <w:t xml:space="preserve">عقب استكمال </w:t>
      </w:r>
      <w:r>
        <w:rPr>
          <w:rFonts w:hint="cs"/>
          <w:rtl/>
        </w:rPr>
        <w:t xml:space="preserve">الأطوار 1 و2 و3 من المرحلة الثانية بنجاح </w:t>
      </w:r>
      <w:r w:rsidRPr="003F256A">
        <w:rPr>
          <w:rtl/>
        </w:rPr>
        <w:t>(التحليل والتصميم</w:t>
      </w:r>
      <w:r>
        <w:rPr>
          <w:rFonts w:hint="cs"/>
          <w:rtl/>
        </w:rPr>
        <w:t xml:space="preserve"> والتنفيذ التجريبي</w:t>
      </w:r>
      <w:r w:rsidR="00CA6509">
        <w:rPr>
          <w:rtl/>
        </w:rPr>
        <w:t>) أجر</w:t>
      </w:r>
      <w:r w:rsidR="00CA6509">
        <w:rPr>
          <w:rFonts w:hint="cs"/>
          <w:rtl/>
        </w:rPr>
        <w:t xml:space="preserve">ى </w:t>
      </w:r>
      <w:r w:rsidRPr="003F256A">
        <w:rPr>
          <w:rtl/>
        </w:rPr>
        <w:t>الشريك الخارجي المختار المتخصّص في تكنولوجيا المعلومات</w:t>
      </w:r>
      <w:r>
        <w:rPr>
          <w:rFonts w:hint="cs"/>
          <w:rtl/>
        </w:rPr>
        <w:t>، خلال عام 2013</w:t>
      </w:r>
      <w:r w:rsidRPr="003F256A">
        <w:rPr>
          <w:rtl/>
        </w:rPr>
        <w:t xml:space="preserve">، </w:t>
      </w:r>
      <w:r w:rsidR="00C17AEF">
        <w:rPr>
          <w:rFonts w:hint="cs"/>
          <w:rtl/>
        </w:rPr>
        <w:t>أوّل عملية تكرارية للتحوّل التقني من البرنامج الحاسوبي الحالي لنظام اتفاق وبروتوكول مدريد</w:t>
      </w:r>
      <w:r w:rsidR="00C040CF">
        <w:rPr>
          <w:rFonts w:hint="cs"/>
          <w:rtl/>
        </w:rPr>
        <w:t xml:space="preserve"> (</w:t>
      </w:r>
      <w:r w:rsidR="00C040CF" w:rsidRPr="00C040CF">
        <w:t>MAPS</w:t>
      </w:r>
      <w:r w:rsidR="00C040CF">
        <w:rPr>
          <w:rFonts w:hint="cs"/>
          <w:rtl/>
        </w:rPr>
        <w:t>)</w:t>
      </w:r>
      <w:r w:rsidR="00C17AEF">
        <w:rPr>
          <w:rFonts w:hint="cs"/>
          <w:rtl/>
        </w:rPr>
        <w:t>.</w:t>
      </w:r>
    </w:p>
    <w:p w:rsidR="00C17AEF" w:rsidRDefault="00C17AEF" w:rsidP="00CA6509">
      <w:pPr>
        <w:pStyle w:val="NumberedParaAR"/>
      </w:pPr>
      <w:r>
        <w:rPr>
          <w:rFonts w:hint="cs"/>
          <w:rtl/>
        </w:rPr>
        <w:t>وعقب التحوّل التقني، رُكّب</w:t>
      </w:r>
      <w:r w:rsidR="00980EA6">
        <w:rPr>
          <w:rFonts w:hint="cs"/>
          <w:rtl/>
        </w:rPr>
        <w:t>ت</w:t>
      </w:r>
      <w:r>
        <w:rPr>
          <w:rFonts w:hint="cs"/>
          <w:rtl/>
        </w:rPr>
        <w:t xml:space="preserve"> أوّل </w:t>
      </w:r>
      <w:r w:rsidR="00C8006D">
        <w:rPr>
          <w:rFonts w:hint="cs"/>
          <w:rtl/>
        </w:rPr>
        <w:t>نسخة</w:t>
      </w:r>
      <w:r>
        <w:rPr>
          <w:rFonts w:hint="cs"/>
          <w:rtl/>
        </w:rPr>
        <w:t xml:space="preserve"> رئيسي</w:t>
      </w:r>
      <w:r w:rsidR="00C8006D">
        <w:rPr>
          <w:rFonts w:hint="cs"/>
          <w:rtl/>
        </w:rPr>
        <w:t>ة</w:t>
      </w:r>
      <w:r w:rsidR="00CA6509">
        <w:rPr>
          <w:rFonts w:hint="cs"/>
          <w:rtl/>
        </w:rPr>
        <w:t xml:space="preserve"> (</w:t>
      </w:r>
      <w:r w:rsidR="00CA6509" w:rsidRPr="00C8006D">
        <w:t>Beta</w:t>
      </w:r>
      <w:r w:rsidR="00CA6509">
        <w:t> </w:t>
      </w:r>
      <w:r w:rsidR="00CA6509" w:rsidRPr="00C8006D">
        <w:t>1</w:t>
      </w:r>
      <w:r w:rsidR="00CA6509">
        <w:rPr>
          <w:rFonts w:hint="cs"/>
          <w:rtl/>
        </w:rPr>
        <w:t>) ل</w:t>
      </w:r>
      <w:r w:rsidR="00980EA6">
        <w:rPr>
          <w:rFonts w:hint="cs"/>
          <w:rtl/>
        </w:rPr>
        <w:t>لنظام الجديد لمعلومات سجلات مدريد الدولية (</w:t>
      </w:r>
      <w:r w:rsidR="00980EA6" w:rsidRPr="00980EA6">
        <w:t>MIRIS</w:t>
      </w:r>
      <w:r w:rsidR="00980EA6">
        <w:rPr>
          <w:rFonts w:hint="cs"/>
          <w:rtl/>
        </w:rPr>
        <w:t>) على مستوى المكتب الدولي في 17 يناير 2014.</w:t>
      </w:r>
      <w:r w:rsidR="000C5E21">
        <w:rPr>
          <w:rFonts w:hint="cs"/>
          <w:rtl/>
        </w:rPr>
        <w:t xml:space="preserve"> وخضعت نسخة </w:t>
      </w:r>
      <w:r w:rsidR="000C5E21" w:rsidRPr="00C8006D">
        <w:t>Beta</w:t>
      </w:r>
      <w:r w:rsidR="00AF497F">
        <w:t> </w:t>
      </w:r>
      <w:r w:rsidR="000C5E21" w:rsidRPr="00C8006D">
        <w:t>1</w:t>
      </w:r>
      <w:r w:rsidR="00867C13">
        <w:rPr>
          <w:rFonts w:hint="cs"/>
          <w:rtl/>
        </w:rPr>
        <w:t xml:space="preserve"> ل</w:t>
      </w:r>
      <w:r w:rsidR="000C5E21">
        <w:rPr>
          <w:rFonts w:hint="cs"/>
          <w:rtl/>
        </w:rPr>
        <w:t>نظام</w:t>
      </w:r>
      <w:r w:rsidR="00AF497F">
        <w:rPr>
          <w:rFonts w:hint="eastAsia"/>
          <w:rtl/>
        </w:rPr>
        <w:t> </w:t>
      </w:r>
      <w:r w:rsidR="000C5E21" w:rsidRPr="000C5E21">
        <w:t>MIRIS</w:t>
      </w:r>
      <w:r w:rsidR="000C5E21">
        <w:rPr>
          <w:rFonts w:hint="cs"/>
          <w:rtl/>
        </w:rPr>
        <w:t xml:space="preserve"> فورا لعملية اختبارية أجراها فريق المشروع بغرض الكشف، في مراحل مبكّر</w:t>
      </w:r>
      <w:r w:rsidR="00CA6509">
        <w:rPr>
          <w:rFonts w:hint="cs"/>
          <w:rtl/>
        </w:rPr>
        <w:t>ة، عن عيوب و مشاكل في أداء البرنامج الحاسوبي</w:t>
      </w:r>
      <w:r w:rsidR="000C5E21">
        <w:rPr>
          <w:rFonts w:hint="cs"/>
          <w:rtl/>
        </w:rPr>
        <w:t xml:space="preserve">. وتم، عقب ذلك، تركيب </w:t>
      </w:r>
      <w:r w:rsidR="007730E4">
        <w:rPr>
          <w:rFonts w:hint="cs"/>
          <w:rtl/>
        </w:rPr>
        <w:t xml:space="preserve">عدة </w:t>
      </w:r>
      <w:r w:rsidR="000C5E21">
        <w:rPr>
          <w:rFonts w:hint="cs"/>
          <w:rtl/>
        </w:rPr>
        <w:t xml:space="preserve">نُسخ </w:t>
      </w:r>
      <w:r w:rsidR="007730E4">
        <w:rPr>
          <w:rFonts w:hint="cs"/>
          <w:rtl/>
        </w:rPr>
        <w:t xml:space="preserve">في المكتب الدولي خلال </w:t>
      </w:r>
      <w:r w:rsidR="00CA6509">
        <w:rPr>
          <w:rFonts w:hint="cs"/>
          <w:rtl/>
        </w:rPr>
        <w:t>الربع الأول والربع</w:t>
      </w:r>
      <w:r w:rsidR="007730E4">
        <w:rPr>
          <w:rFonts w:hint="cs"/>
          <w:rtl/>
        </w:rPr>
        <w:t xml:space="preserve"> الثاني من العام نفسه بغرض </w:t>
      </w:r>
      <w:r w:rsidR="000C5E21">
        <w:rPr>
          <w:rFonts w:hint="cs"/>
          <w:rtl/>
        </w:rPr>
        <w:t xml:space="preserve">إصلاح </w:t>
      </w:r>
      <w:r w:rsidR="007730E4">
        <w:rPr>
          <w:rFonts w:hint="cs"/>
          <w:rtl/>
        </w:rPr>
        <w:t>ال</w:t>
      </w:r>
      <w:r w:rsidR="000C5E21">
        <w:rPr>
          <w:rFonts w:hint="cs"/>
          <w:rtl/>
        </w:rPr>
        <w:t xml:space="preserve">أخطاء وتحسين </w:t>
      </w:r>
      <w:r w:rsidR="007730E4">
        <w:rPr>
          <w:rFonts w:hint="cs"/>
          <w:rtl/>
        </w:rPr>
        <w:t>الأداء.</w:t>
      </w:r>
    </w:p>
    <w:p w:rsidR="007730E4" w:rsidRDefault="00AF497F" w:rsidP="00C040CF">
      <w:pPr>
        <w:pStyle w:val="NumberedParaAR"/>
      </w:pPr>
      <w:r>
        <w:rPr>
          <w:rFonts w:hint="cs"/>
          <w:rtl/>
        </w:rPr>
        <w:t xml:space="preserve">ونُظّمت تظاهرة إعلامية كبيرة في 17 مارس 2014 لتعريف أوساط مستخدمي نظام مدريد بالنسخة الأولية </w:t>
      </w:r>
      <w:r w:rsidRPr="00C8006D">
        <w:t>Beta</w:t>
      </w:r>
      <w:r>
        <w:t> </w:t>
      </w:r>
      <w:r w:rsidRPr="00C8006D">
        <w:t>1</w:t>
      </w:r>
      <w:r>
        <w:rPr>
          <w:rFonts w:hint="cs"/>
          <w:rtl/>
        </w:rPr>
        <w:t xml:space="preserve"> من نظام</w:t>
      </w:r>
      <w:r>
        <w:rPr>
          <w:rFonts w:hint="eastAsia"/>
          <w:rtl/>
        </w:rPr>
        <w:t> </w:t>
      </w:r>
      <w:r w:rsidRPr="000C5E21">
        <w:t>MIRIS</w:t>
      </w:r>
      <w:r>
        <w:rPr>
          <w:rFonts w:hint="cs"/>
          <w:rtl/>
        </w:rPr>
        <w:t>. وكان الغرض من التظاهرة هو تقاسم المعارف والتأكيد لأوساط المستخدمين أنّ نظام</w:t>
      </w:r>
      <w:r>
        <w:rPr>
          <w:rFonts w:hint="eastAsia"/>
          <w:rtl/>
        </w:rPr>
        <w:t> </w:t>
      </w:r>
      <w:r w:rsidRPr="000C5E21">
        <w:t>MIRIS</w:t>
      </w:r>
      <w:r>
        <w:rPr>
          <w:rFonts w:hint="cs"/>
          <w:rtl/>
        </w:rPr>
        <w:t xml:space="preserve"> </w:t>
      </w:r>
      <w:r w:rsidR="00C040CF">
        <w:rPr>
          <w:rFonts w:hint="cs"/>
          <w:rtl/>
        </w:rPr>
        <w:t>المقرّر بدء العمل به في المستقبل مماثل لنظام</w:t>
      </w:r>
      <w:r w:rsidR="00C040CF">
        <w:rPr>
          <w:rFonts w:hint="eastAsia"/>
          <w:rtl/>
        </w:rPr>
        <w:t> </w:t>
      </w:r>
      <w:r w:rsidR="00C040CF" w:rsidRPr="00C040CF">
        <w:t>MAPS</w:t>
      </w:r>
      <w:r w:rsidR="00C040CF">
        <w:rPr>
          <w:rFonts w:hint="cs"/>
          <w:rtl/>
        </w:rPr>
        <w:t xml:space="preserve"> الحالي من حيث الوظائف وتفاعل المستخدمين، ممّا يمكّن من بتقليص </w:t>
      </w:r>
      <w:r w:rsidR="00CA6509">
        <w:rPr>
          <w:rFonts w:hint="cs"/>
          <w:rtl/>
        </w:rPr>
        <w:t>ال</w:t>
      </w:r>
      <w:r w:rsidR="00C040CF">
        <w:rPr>
          <w:rFonts w:hint="cs"/>
          <w:rtl/>
        </w:rPr>
        <w:t xml:space="preserve">فترة </w:t>
      </w:r>
      <w:r w:rsidR="00CA6509">
        <w:rPr>
          <w:rFonts w:hint="cs"/>
          <w:rtl/>
        </w:rPr>
        <w:t>اللازمة ل</w:t>
      </w:r>
      <w:r w:rsidR="00C040CF">
        <w:rPr>
          <w:rFonts w:hint="cs"/>
          <w:rtl/>
        </w:rPr>
        <w:t>إلمامهم به وتكيّفهم معه ويحافظ، في الوقت ذاته، على إنتاجيتهم.</w:t>
      </w:r>
    </w:p>
    <w:p w:rsidR="00C040CF" w:rsidRDefault="00CA6509" w:rsidP="00591C9A">
      <w:pPr>
        <w:pStyle w:val="NumberedParaAR"/>
      </w:pPr>
      <w:r>
        <w:rPr>
          <w:rFonts w:hint="cs"/>
          <w:rtl/>
        </w:rPr>
        <w:t>و</w:t>
      </w:r>
      <w:r w:rsidR="00B80CF0">
        <w:rPr>
          <w:rFonts w:hint="cs"/>
          <w:rtl/>
        </w:rPr>
        <w:t xml:space="preserve">اعتبارا من 13 يناير 2014، </w:t>
      </w:r>
      <w:r>
        <w:rPr>
          <w:rFonts w:hint="cs"/>
          <w:rtl/>
        </w:rPr>
        <w:t>استُهلت عملية اختبار مهنية للبرامج الحاسوبي</w:t>
      </w:r>
      <w:r w:rsidR="00591C9A">
        <w:rPr>
          <w:rFonts w:hint="cs"/>
          <w:rtl/>
        </w:rPr>
        <w:t>ة</w:t>
      </w:r>
      <w:r>
        <w:rPr>
          <w:rFonts w:hint="cs"/>
          <w:rtl/>
        </w:rPr>
        <w:t xml:space="preserve"> من أ</w:t>
      </w:r>
      <w:r w:rsidR="00B80CF0">
        <w:rPr>
          <w:rFonts w:hint="cs"/>
          <w:rtl/>
        </w:rPr>
        <w:t xml:space="preserve">جل (1) تعزيز </w:t>
      </w:r>
      <w:r w:rsidR="00591C9A">
        <w:rPr>
          <w:rFonts w:hint="cs"/>
          <w:rtl/>
        </w:rPr>
        <w:t>ال</w:t>
      </w:r>
      <w:r w:rsidR="00B80CF0">
        <w:rPr>
          <w:rFonts w:hint="cs"/>
          <w:rtl/>
        </w:rPr>
        <w:t>قد</w:t>
      </w:r>
      <w:r>
        <w:rPr>
          <w:rFonts w:hint="cs"/>
          <w:rtl/>
        </w:rPr>
        <w:t xml:space="preserve">رات </w:t>
      </w:r>
      <w:r w:rsidR="00591C9A">
        <w:rPr>
          <w:rFonts w:hint="cs"/>
          <w:rtl/>
        </w:rPr>
        <w:t>الاختبارية على مستويي النظام والمستخدم</w:t>
      </w:r>
      <w:r w:rsidR="00B80CF0">
        <w:rPr>
          <w:rFonts w:hint="cs"/>
          <w:rtl/>
        </w:rPr>
        <w:t xml:space="preserve"> (2) وتبسيط </w:t>
      </w:r>
      <w:proofErr w:type="spellStart"/>
      <w:r w:rsidR="00B80CF0">
        <w:rPr>
          <w:rFonts w:hint="cs"/>
          <w:rtl/>
        </w:rPr>
        <w:t>وأتمتة</w:t>
      </w:r>
      <w:proofErr w:type="spellEnd"/>
      <w:r w:rsidR="00B80CF0">
        <w:rPr>
          <w:rFonts w:hint="cs"/>
          <w:rtl/>
        </w:rPr>
        <w:t xml:space="preserve"> الحالات الاختبارية (3) وتنفيذ سلسلة الأدوات الاختبارية المؤتمتة. ولا بدّ من إجراء حملة اختبارية واسعة لنظام</w:t>
      </w:r>
      <w:r w:rsidR="00B80CF0">
        <w:rPr>
          <w:rFonts w:hint="eastAsia"/>
          <w:rtl/>
        </w:rPr>
        <w:t> </w:t>
      </w:r>
      <w:r w:rsidR="00B80CF0" w:rsidRPr="000C5E21">
        <w:t>MIRIS</w:t>
      </w:r>
      <w:r w:rsidR="00B80CF0">
        <w:rPr>
          <w:rFonts w:hint="cs"/>
          <w:rtl/>
        </w:rPr>
        <w:t xml:space="preserve"> وستكون تلك الحملة مدعومة بالأدوات الاختبارية المؤتمتة، ممّا يوفر أدلة موضوعية لنتائج الاختبارات وتغطية اختبارية لنظام</w:t>
      </w:r>
      <w:r w:rsidR="00B80CF0">
        <w:rPr>
          <w:rFonts w:hint="eastAsia"/>
          <w:rtl/>
        </w:rPr>
        <w:t> </w:t>
      </w:r>
      <w:r w:rsidR="00B80CF0" w:rsidRPr="000C5E21">
        <w:t>MIRIS</w:t>
      </w:r>
      <w:r w:rsidR="00B80CF0">
        <w:rPr>
          <w:rFonts w:hint="cs"/>
          <w:rtl/>
        </w:rPr>
        <w:t xml:space="preserve">. </w:t>
      </w:r>
      <w:r w:rsidR="008F2841">
        <w:rPr>
          <w:rFonts w:hint="cs"/>
          <w:rtl/>
        </w:rPr>
        <w:t xml:space="preserve">وهناك أكثر من 500 حالة اختبار جارية </w:t>
      </w:r>
      <w:r>
        <w:rPr>
          <w:rFonts w:hint="cs"/>
          <w:rtl/>
        </w:rPr>
        <w:t xml:space="preserve">على </w:t>
      </w:r>
      <w:r w:rsidR="008F2841">
        <w:rPr>
          <w:rFonts w:hint="cs"/>
          <w:rtl/>
        </w:rPr>
        <w:t>مدار الساعة من خلال أدوات برمجية محوسبة تحفّز تفاعل المستخدمين مع نظام</w:t>
      </w:r>
      <w:r w:rsidR="008F2841">
        <w:rPr>
          <w:rFonts w:hint="eastAsia"/>
          <w:rtl/>
        </w:rPr>
        <w:t> </w:t>
      </w:r>
      <w:r w:rsidR="008F2841" w:rsidRPr="000C5E21">
        <w:t>MIRIS</w:t>
      </w:r>
      <w:r w:rsidR="008F2841">
        <w:rPr>
          <w:rFonts w:hint="cs"/>
          <w:rtl/>
        </w:rPr>
        <w:t xml:space="preserve"> </w:t>
      </w:r>
      <w:r w:rsidR="00591C9A">
        <w:rPr>
          <w:rFonts w:hint="cs"/>
          <w:rtl/>
        </w:rPr>
        <w:t>الجديد</w:t>
      </w:r>
      <w:r w:rsidR="008F2841">
        <w:rPr>
          <w:rFonts w:hint="cs"/>
          <w:rtl/>
        </w:rPr>
        <w:t xml:space="preserve">. وتمكّن تلك السلسلة من الأدوات الاختبارية المؤتمتة من إجراء اختبار الانحدار </w:t>
      </w:r>
      <w:r w:rsidR="00260BF3">
        <w:rPr>
          <w:rFonts w:hint="cs"/>
          <w:rtl/>
        </w:rPr>
        <w:t>على ال</w:t>
      </w:r>
      <w:r w:rsidR="008F2841">
        <w:rPr>
          <w:rFonts w:hint="cs"/>
          <w:rtl/>
        </w:rPr>
        <w:t xml:space="preserve">برامج الحاسوبية </w:t>
      </w:r>
      <w:r w:rsidR="00260BF3">
        <w:rPr>
          <w:rFonts w:hint="cs"/>
          <w:rtl/>
        </w:rPr>
        <w:t>دون أي تدخل بشري، وبالتالي دون أية تكاليف مالية، ويمكّن في الوقت نفسه من الكشف المبكّر عن أي</w:t>
      </w:r>
      <w:r w:rsidR="00591C9A">
        <w:rPr>
          <w:rFonts w:hint="cs"/>
          <w:rtl/>
        </w:rPr>
        <w:t>ة</w:t>
      </w:r>
      <w:r w:rsidR="00260BF3">
        <w:rPr>
          <w:rFonts w:hint="cs"/>
          <w:rtl/>
        </w:rPr>
        <w:t xml:space="preserve"> ع</w:t>
      </w:r>
      <w:r w:rsidR="00591C9A">
        <w:rPr>
          <w:rFonts w:hint="cs"/>
          <w:rtl/>
        </w:rPr>
        <w:t>يوب برمجية لم تكن موجودة في نُسخ</w:t>
      </w:r>
      <w:r w:rsidR="00260BF3">
        <w:rPr>
          <w:rFonts w:hint="cs"/>
          <w:rtl/>
        </w:rPr>
        <w:t xml:space="preserve"> البرامج الحاسوبية المقبولة سابقا. ونظرا لأنّ حالات الاختبار الخمسمائة الحالية لا تمثّل سوى نحو 40 بالمائة من سيناريوهات الاستخدام، يجب زيادة عدد حالات الاختبار بقدر كبير ، بما في ذلك بإضافة سيناريوهات أكثر تعقيدا، وذلك قبل دخول نظام</w:t>
      </w:r>
      <w:r w:rsidR="00260BF3">
        <w:rPr>
          <w:rFonts w:hint="eastAsia"/>
          <w:rtl/>
        </w:rPr>
        <w:t> </w:t>
      </w:r>
      <w:r w:rsidR="00260BF3" w:rsidRPr="000C5E21">
        <w:t>MIRIS</w:t>
      </w:r>
      <w:r w:rsidR="00260BF3">
        <w:rPr>
          <w:rFonts w:hint="cs"/>
          <w:rtl/>
        </w:rPr>
        <w:t xml:space="preserve"> طور </w:t>
      </w:r>
      <w:r w:rsidR="00591C9A">
        <w:rPr>
          <w:rFonts w:hint="cs"/>
          <w:rtl/>
        </w:rPr>
        <w:t>التشغيل</w:t>
      </w:r>
      <w:r w:rsidR="00260BF3">
        <w:rPr>
          <w:rFonts w:hint="cs"/>
          <w:rtl/>
        </w:rPr>
        <w:t xml:space="preserve">. </w:t>
      </w:r>
      <w:r w:rsidR="00260BF3">
        <w:rPr>
          <w:rFonts w:hint="cs"/>
          <w:rtl/>
        </w:rPr>
        <w:lastRenderedPageBreak/>
        <w:t>ومن الأهمية بمكان رصد كيفية تفاعل نظام</w:t>
      </w:r>
      <w:r w:rsidR="00260BF3">
        <w:rPr>
          <w:rFonts w:hint="eastAsia"/>
          <w:rtl/>
        </w:rPr>
        <w:t> </w:t>
      </w:r>
      <w:r w:rsidR="00260BF3" w:rsidRPr="000C5E21">
        <w:t>MIRIS</w:t>
      </w:r>
      <w:r w:rsidR="00260BF3">
        <w:rPr>
          <w:rFonts w:hint="cs"/>
          <w:rtl/>
        </w:rPr>
        <w:t xml:space="preserve"> مع تلك السيناريوهات الاختبارية الإضافية قبل البتّ نهائيا في إمكانية </w:t>
      </w:r>
      <w:r w:rsidR="00CF5399">
        <w:rPr>
          <w:rFonts w:hint="cs"/>
          <w:rtl/>
        </w:rPr>
        <w:t>الأخذ به. وممّا يزيد الأمر تعقيدا التجربة التاريخية المحدودة لموظفي نظام مدريد المعنيين بالفحص في إنشاء سيناريوهات استخدام اختبارية كاملة وشاملة.</w:t>
      </w:r>
    </w:p>
    <w:p w:rsidR="00CF5399" w:rsidRPr="001853B7" w:rsidRDefault="00CF5399" w:rsidP="001853B7">
      <w:pPr>
        <w:pStyle w:val="NormalParaAR"/>
        <w:keepNext/>
        <w:rPr>
          <w:b/>
          <w:bCs/>
          <w:sz w:val="40"/>
          <w:szCs w:val="40"/>
          <w:rtl/>
        </w:rPr>
      </w:pPr>
      <w:r w:rsidRPr="001853B7">
        <w:rPr>
          <w:rFonts w:hint="cs"/>
          <w:b/>
          <w:bCs/>
          <w:sz w:val="40"/>
          <w:szCs w:val="40"/>
          <w:rtl/>
        </w:rPr>
        <w:t xml:space="preserve">المرحلة الثانية </w:t>
      </w:r>
      <w:r w:rsidRPr="001853B7">
        <w:rPr>
          <w:b/>
          <w:bCs/>
          <w:sz w:val="40"/>
          <w:szCs w:val="40"/>
          <w:rtl/>
        </w:rPr>
        <w:t>–</w:t>
      </w:r>
      <w:r w:rsidRPr="001853B7">
        <w:rPr>
          <w:rFonts w:hint="cs"/>
          <w:b/>
          <w:bCs/>
          <w:sz w:val="40"/>
          <w:szCs w:val="40"/>
          <w:rtl/>
        </w:rPr>
        <w:t xml:space="preserve"> الخطة</w:t>
      </w:r>
      <w:r w:rsidR="00591C9A" w:rsidRPr="001853B7">
        <w:rPr>
          <w:rFonts w:hint="cs"/>
          <w:b/>
          <w:bCs/>
          <w:sz w:val="40"/>
          <w:szCs w:val="40"/>
          <w:rtl/>
        </w:rPr>
        <w:t xml:space="preserve"> المفصّلة لتنفيذ المشروع والسبيل</w:t>
      </w:r>
      <w:r w:rsidRPr="001853B7">
        <w:rPr>
          <w:rFonts w:hint="cs"/>
          <w:b/>
          <w:bCs/>
          <w:sz w:val="40"/>
          <w:szCs w:val="40"/>
          <w:rtl/>
        </w:rPr>
        <w:t xml:space="preserve"> نحو تشغيل نظام</w:t>
      </w:r>
      <w:r w:rsidRPr="001853B7">
        <w:rPr>
          <w:rFonts w:hint="eastAsia"/>
          <w:b/>
          <w:bCs/>
          <w:sz w:val="40"/>
          <w:szCs w:val="40"/>
          <w:rtl/>
        </w:rPr>
        <w:t> </w:t>
      </w:r>
      <w:r w:rsidRPr="001853B7">
        <w:rPr>
          <w:b/>
          <w:bCs/>
          <w:sz w:val="40"/>
          <w:szCs w:val="40"/>
        </w:rPr>
        <w:t>MIRIS</w:t>
      </w:r>
      <w:r w:rsidR="001F2086" w:rsidRPr="001853B7">
        <w:rPr>
          <w:rFonts w:hint="cs"/>
          <w:b/>
          <w:bCs/>
          <w:sz w:val="40"/>
          <w:szCs w:val="40"/>
          <w:rtl/>
        </w:rPr>
        <w:t xml:space="preserve">: </w:t>
      </w:r>
      <w:proofErr w:type="spellStart"/>
      <w:r w:rsidR="001F2086" w:rsidRPr="001853B7">
        <w:rPr>
          <w:rFonts w:hint="cs"/>
          <w:b/>
          <w:bCs/>
          <w:sz w:val="40"/>
          <w:szCs w:val="40"/>
          <w:rtl/>
        </w:rPr>
        <w:t>الحوكمة</w:t>
      </w:r>
      <w:proofErr w:type="spellEnd"/>
      <w:r w:rsidR="001F2086" w:rsidRPr="001853B7">
        <w:rPr>
          <w:rFonts w:hint="cs"/>
          <w:b/>
          <w:bCs/>
          <w:sz w:val="40"/>
          <w:szCs w:val="40"/>
          <w:rtl/>
        </w:rPr>
        <w:t xml:space="preserve"> وإدارة المخاطر وض</w:t>
      </w:r>
      <w:r w:rsidR="007D5265" w:rsidRPr="001853B7">
        <w:rPr>
          <w:rFonts w:hint="cs"/>
          <w:b/>
          <w:bCs/>
          <w:sz w:val="40"/>
          <w:szCs w:val="40"/>
          <w:rtl/>
        </w:rPr>
        <w:t>بط</w:t>
      </w:r>
      <w:r w:rsidRPr="001853B7">
        <w:rPr>
          <w:rFonts w:hint="cs"/>
          <w:b/>
          <w:bCs/>
          <w:sz w:val="40"/>
          <w:szCs w:val="40"/>
          <w:rtl/>
        </w:rPr>
        <w:t xml:space="preserve"> الجودة</w:t>
      </w:r>
    </w:p>
    <w:p w:rsidR="00CF5399" w:rsidRDefault="00384D2E" w:rsidP="00591C9A">
      <w:pPr>
        <w:pStyle w:val="NumberedParaAR"/>
      </w:pPr>
      <w:r>
        <w:rPr>
          <w:rFonts w:hint="cs"/>
          <w:rtl/>
        </w:rPr>
        <w:t>إنّ</w:t>
      </w:r>
      <w:r w:rsidR="00C66E5D">
        <w:rPr>
          <w:rFonts w:hint="cs"/>
          <w:rtl/>
        </w:rPr>
        <w:t xml:space="preserve"> تحويل نظام حاسوبي طُوّر داخليا وعمره 17 سنة، ويشتمل على أكثر من 6000 برنامج ومليوني خط من خطوط </w:t>
      </w:r>
      <w:r w:rsidR="009B75DD">
        <w:rPr>
          <w:rFonts w:hint="cs"/>
          <w:rtl/>
        </w:rPr>
        <w:t xml:space="preserve">شفرة اللغة الطبيعية، إلى </w:t>
      </w:r>
      <w:r>
        <w:rPr>
          <w:rFonts w:hint="cs"/>
          <w:rtl/>
        </w:rPr>
        <w:t xml:space="preserve">بيئة </w:t>
      </w:r>
      <w:r w:rsidR="009B75DD">
        <w:rPr>
          <w:rFonts w:hint="cs"/>
          <w:rtl/>
        </w:rPr>
        <w:t xml:space="preserve">هيكل </w:t>
      </w:r>
      <w:r w:rsidR="009B75DD" w:rsidRPr="009B75DD">
        <w:t>Oracle</w:t>
      </w:r>
      <w:r w:rsidR="009B75DD">
        <w:rPr>
          <w:rFonts w:hint="cs"/>
          <w:rtl/>
        </w:rPr>
        <w:t xml:space="preserve"> الموجّه</w:t>
      </w:r>
      <w:r w:rsidR="00591C9A">
        <w:rPr>
          <w:rFonts w:hint="cs"/>
          <w:rtl/>
        </w:rPr>
        <w:t>ة</w:t>
      </w:r>
      <w:r w:rsidR="009B75DD">
        <w:rPr>
          <w:rFonts w:hint="cs"/>
          <w:rtl/>
        </w:rPr>
        <w:t xml:space="preserve"> نحو الخدمات </w:t>
      </w:r>
      <w:r w:rsidR="00591C9A">
        <w:rPr>
          <w:rFonts w:hint="cs"/>
          <w:rtl/>
        </w:rPr>
        <w:t xml:space="preserve">مع </w:t>
      </w:r>
      <w:r>
        <w:rPr>
          <w:rFonts w:hint="cs"/>
          <w:rtl/>
        </w:rPr>
        <w:t xml:space="preserve">استخدام </w:t>
      </w:r>
      <w:r>
        <w:rPr>
          <w:rtl/>
        </w:rPr>
        <w:t xml:space="preserve">لغة البرمجة </w:t>
      </w:r>
      <w:r>
        <w:t>Java</w:t>
      </w:r>
      <w:r>
        <w:rPr>
          <w:rFonts w:hint="cs"/>
          <w:rtl/>
        </w:rPr>
        <w:t xml:space="preserve"> ودمج </w:t>
      </w:r>
      <w:r>
        <w:rPr>
          <w:rtl/>
        </w:rPr>
        <w:t xml:space="preserve">أحدث أداة لإدارة </w:t>
      </w:r>
      <w:r>
        <w:rPr>
          <w:rFonts w:hint="cs"/>
          <w:rtl/>
        </w:rPr>
        <w:t xml:space="preserve">تدفق </w:t>
      </w:r>
      <w:r>
        <w:rPr>
          <w:rtl/>
        </w:rPr>
        <w:t>الإجراءات المؤسسية</w:t>
      </w:r>
      <w:r>
        <w:rPr>
          <w:rFonts w:hint="cs"/>
          <w:rtl/>
        </w:rPr>
        <w:t xml:space="preserve">، يُعتبر من المهام الشاقة. وعليه فإنّ من </w:t>
      </w:r>
      <w:r w:rsidR="00591C9A">
        <w:rPr>
          <w:rFonts w:hint="cs"/>
          <w:rtl/>
        </w:rPr>
        <w:t>المهم للغاية</w:t>
      </w:r>
      <w:r>
        <w:rPr>
          <w:rFonts w:hint="cs"/>
          <w:rtl/>
        </w:rPr>
        <w:t xml:space="preserve"> بالنسبة للمكتب الدولي إخضاع النظام الجديد</w:t>
      </w:r>
      <w:r>
        <w:rPr>
          <w:rFonts w:hint="eastAsia"/>
          <w:rtl/>
        </w:rPr>
        <w:t> </w:t>
      </w:r>
      <w:r w:rsidRPr="000C5E21">
        <w:t>MIRIS</w:t>
      </w:r>
      <w:r>
        <w:rPr>
          <w:rFonts w:hint="cs"/>
          <w:rtl/>
        </w:rPr>
        <w:t xml:space="preserve"> لاختبار كامل قبل بدء </w:t>
      </w:r>
      <w:r w:rsidR="00867C13">
        <w:rPr>
          <w:rFonts w:hint="cs"/>
          <w:rtl/>
        </w:rPr>
        <w:t>نشره</w:t>
      </w:r>
      <w:r>
        <w:rPr>
          <w:rFonts w:hint="cs"/>
          <w:rtl/>
        </w:rPr>
        <w:t xml:space="preserve"> من أجل تلافي خطر عرقلة مهمة المكتب الدولي المتمثّلة في خدمة المستخدمين والأطراف المتعاقدة في تسجيل العلامات الدولية وإدارتها. </w:t>
      </w:r>
      <w:r w:rsidR="00867C13">
        <w:rPr>
          <w:rFonts w:hint="cs"/>
          <w:rtl/>
        </w:rPr>
        <w:t>ولهذا السبب وطبقا لنهج النشر التدريجي لمنهجية</w:t>
      </w:r>
      <w:r w:rsidR="00867C13">
        <w:rPr>
          <w:rFonts w:hint="eastAsia"/>
          <w:rtl/>
        </w:rPr>
        <w:t> </w:t>
      </w:r>
      <w:r w:rsidR="00867C13" w:rsidRPr="00867C13">
        <w:t>PRINCE2</w:t>
      </w:r>
      <w:r w:rsidR="00867C13">
        <w:rPr>
          <w:rFonts w:hint="cs"/>
          <w:rtl/>
        </w:rPr>
        <w:t xml:space="preserve"> الخاصة بإدارة المشروعات، من المتوقّع دمج النُسخ التالية لاستكمال </w:t>
      </w:r>
      <w:r w:rsidR="00591C9A">
        <w:rPr>
          <w:rFonts w:hint="cs"/>
          <w:rtl/>
        </w:rPr>
        <w:t>التحوّ</w:t>
      </w:r>
      <w:r w:rsidR="00867C13">
        <w:rPr>
          <w:rFonts w:hint="cs"/>
          <w:rtl/>
        </w:rPr>
        <w:t xml:space="preserve">ل </w:t>
      </w:r>
      <w:r w:rsidR="00591C9A">
        <w:rPr>
          <w:rFonts w:hint="cs"/>
          <w:rtl/>
        </w:rPr>
        <w:t xml:space="preserve">من </w:t>
      </w:r>
      <w:r w:rsidR="00867C13">
        <w:rPr>
          <w:rFonts w:hint="cs"/>
          <w:rtl/>
        </w:rPr>
        <w:t>النظام الحالي: نسخة</w:t>
      </w:r>
      <w:r w:rsidR="00867C13">
        <w:rPr>
          <w:rFonts w:hint="eastAsia"/>
          <w:rtl/>
        </w:rPr>
        <w:t> </w:t>
      </w:r>
      <w:r w:rsidR="00867C13">
        <w:t>Beta 2</w:t>
      </w:r>
      <w:r w:rsidR="00867C13">
        <w:rPr>
          <w:rFonts w:hint="cs"/>
          <w:rtl/>
        </w:rPr>
        <w:t xml:space="preserve"> لنظام</w:t>
      </w:r>
      <w:r w:rsidR="00867C13">
        <w:rPr>
          <w:rFonts w:hint="eastAsia"/>
          <w:rtl/>
        </w:rPr>
        <w:t> </w:t>
      </w:r>
      <w:r w:rsidR="00867C13" w:rsidRPr="000C5E21">
        <w:t>MIRIS</w:t>
      </w:r>
      <w:r w:rsidR="00867C13">
        <w:rPr>
          <w:rFonts w:hint="cs"/>
          <w:rtl/>
        </w:rPr>
        <w:t>، والنسخة المرشحة لنظام</w:t>
      </w:r>
      <w:r w:rsidR="00867C13">
        <w:rPr>
          <w:rFonts w:hint="eastAsia"/>
          <w:rtl/>
        </w:rPr>
        <w:t> </w:t>
      </w:r>
      <w:r w:rsidR="00867C13" w:rsidRPr="000C5E21">
        <w:t>MIRIS</w:t>
      </w:r>
      <w:r w:rsidR="00867C13">
        <w:rPr>
          <w:rFonts w:hint="cs"/>
          <w:rtl/>
        </w:rPr>
        <w:t xml:space="preserve"> (</w:t>
      </w:r>
      <w:r w:rsidR="00867C13" w:rsidRPr="00867C13">
        <w:t>RC</w:t>
      </w:r>
      <w:r w:rsidR="00867C13">
        <w:rPr>
          <w:rFonts w:hint="cs"/>
          <w:rtl/>
        </w:rPr>
        <w:t>)، والنسخة النهائية لنظام</w:t>
      </w:r>
      <w:r w:rsidR="00867C13">
        <w:rPr>
          <w:rFonts w:hint="eastAsia"/>
          <w:rtl/>
        </w:rPr>
        <w:t> </w:t>
      </w:r>
      <w:r w:rsidR="00867C13" w:rsidRPr="000C5E21">
        <w:t>MIRIS</w:t>
      </w:r>
      <w:r w:rsidR="00867C13">
        <w:rPr>
          <w:rFonts w:hint="cs"/>
          <w:rtl/>
        </w:rPr>
        <w:t>، والنسخة</w:t>
      </w:r>
      <w:r w:rsidR="00867C13">
        <w:rPr>
          <w:rFonts w:hint="eastAsia"/>
          <w:rtl/>
        </w:rPr>
        <w:t> </w:t>
      </w:r>
      <w:r w:rsidR="00867C13">
        <w:rPr>
          <w:rFonts w:hint="cs"/>
          <w:rtl/>
        </w:rPr>
        <w:t>1.0</w:t>
      </w:r>
      <w:r w:rsidR="00867C13">
        <w:rPr>
          <w:rFonts w:hint="eastAsia"/>
          <w:rtl/>
        </w:rPr>
        <w:t> </w:t>
      </w:r>
      <w:r w:rsidR="00867C13">
        <w:rPr>
          <w:rFonts w:hint="cs"/>
          <w:rtl/>
        </w:rPr>
        <w:t>لنظام</w:t>
      </w:r>
      <w:r w:rsidR="00867C13">
        <w:rPr>
          <w:rFonts w:hint="eastAsia"/>
          <w:rtl/>
        </w:rPr>
        <w:t> </w:t>
      </w:r>
      <w:r w:rsidR="00867C13" w:rsidRPr="000C5E21">
        <w:t>MIRIS</w:t>
      </w:r>
      <w:r w:rsidR="00867C13">
        <w:rPr>
          <w:rFonts w:hint="cs"/>
          <w:rtl/>
        </w:rPr>
        <w:t xml:space="preserve">. ومن المزمع </w:t>
      </w:r>
      <w:r w:rsidR="00655779">
        <w:rPr>
          <w:rFonts w:hint="cs"/>
          <w:rtl/>
        </w:rPr>
        <w:t>تسليم</w:t>
      </w:r>
      <w:r w:rsidR="00867C13">
        <w:rPr>
          <w:rFonts w:hint="cs"/>
          <w:rtl/>
        </w:rPr>
        <w:t xml:space="preserve"> نسخة</w:t>
      </w:r>
      <w:r w:rsidR="00867C13">
        <w:rPr>
          <w:rFonts w:hint="eastAsia"/>
          <w:rtl/>
        </w:rPr>
        <w:t> </w:t>
      </w:r>
      <w:r w:rsidR="00867C13">
        <w:t>Beta 2</w:t>
      </w:r>
      <w:r w:rsidR="00867C13">
        <w:rPr>
          <w:rFonts w:hint="cs"/>
          <w:rtl/>
        </w:rPr>
        <w:t xml:space="preserve"> لنظام</w:t>
      </w:r>
      <w:r w:rsidR="00867C13">
        <w:rPr>
          <w:rFonts w:hint="eastAsia"/>
          <w:rtl/>
        </w:rPr>
        <w:t> </w:t>
      </w:r>
      <w:r w:rsidR="00867C13" w:rsidRPr="000C5E21">
        <w:t>MIRIS</w:t>
      </w:r>
      <w:r w:rsidR="00B81836">
        <w:rPr>
          <w:rFonts w:hint="cs"/>
          <w:rtl/>
        </w:rPr>
        <w:t xml:space="preserve"> في نهاية يونيو 2014 وعند ذلك فقط سيمكن الشروع في اختبار النظام بأكمله واختبار استخدامه، وسيتم بعد ذلك إخضاع كل نسخة تالية لمعايير القبول نفسها </w:t>
      </w:r>
      <w:r w:rsidR="00591C9A">
        <w:rPr>
          <w:rFonts w:hint="cs"/>
          <w:rtl/>
        </w:rPr>
        <w:t xml:space="preserve">الأشدّ </w:t>
      </w:r>
      <w:r w:rsidR="00B81836">
        <w:rPr>
          <w:rFonts w:hint="cs"/>
          <w:rtl/>
        </w:rPr>
        <w:t>صرامة.</w:t>
      </w:r>
    </w:p>
    <w:p w:rsidR="00874AAD" w:rsidRDefault="00B81836" w:rsidP="00FD0D21">
      <w:pPr>
        <w:pStyle w:val="NumberedParaAR"/>
      </w:pPr>
      <w:r>
        <w:rPr>
          <w:rFonts w:hint="cs"/>
          <w:rtl/>
        </w:rPr>
        <w:t xml:space="preserve">والتحديات التي طُرحت أمام سجل مدريد </w:t>
      </w:r>
      <w:r w:rsidR="00074147">
        <w:rPr>
          <w:rFonts w:hint="cs"/>
          <w:rtl/>
        </w:rPr>
        <w:t xml:space="preserve">عند بدء برنامج تحديث تكنولوجيا المعلومات في عام 2008 مختلفة تماما عن التحديات المطروحة اليوم. وبالنظر إلى الطبيعة النشطة والمتغيّرة </w:t>
      </w:r>
      <w:r w:rsidR="00B4422C">
        <w:rPr>
          <w:rFonts w:hint="cs"/>
          <w:rtl/>
        </w:rPr>
        <w:t>التي تتسم بها إجراءات مدريد للتسجيل الدولي للعلامات التجارية، فإنّ من الأهمية القصوى بمكان أن يكون نظام</w:t>
      </w:r>
      <w:r w:rsidR="00B4422C">
        <w:rPr>
          <w:rFonts w:hint="eastAsia"/>
          <w:rtl/>
        </w:rPr>
        <w:t> </w:t>
      </w:r>
      <w:r w:rsidR="00B4422C" w:rsidRPr="000C5E21">
        <w:t>MIRIS</w:t>
      </w:r>
      <w:r w:rsidR="00B4422C">
        <w:rPr>
          <w:rFonts w:hint="cs"/>
          <w:rtl/>
        </w:rPr>
        <w:t xml:space="preserve"> قادرا على مواجهة التحديات الأصلية وتلك التي كُشف عنها حديثا. وللحدّ من أية مخاطر في هذا السياق، استُهل استعراض خارجي لبرنامج تحديث تكنولوجيا المعلومات في أواخر </w:t>
      </w:r>
      <w:r w:rsidR="00FD0D21">
        <w:rPr>
          <w:rFonts w:hint="cs"/>
          <w:rtl/>
        </w:rPr>
        <w:t>الربع</w:t>
      </w:r>
      <w:r w:rsidR="00B4422C">
        <w:rPr>
          <w:rFonts w:hint="cs"/>
          <w:rtl/>
        </w:rPr>
        <w:t xml:space="preserve"> الثاني من عام 2014، علماً بأنّه صدرت، عقب تدقيق داخلي لإجراءات تحصيل إيرادات قطاع العلامات والتصاميم، توصية تدعو إلى </w:t>
      </w:r>
      <w:r w:rsidR="002A018E">
        <w:rPr>
          <w:rFonts w:hint="cs"/>
          <w:rtl/>
        </w:rPr>
        <w:t xml:space="preserve">إجراء استعراض بعد تنفيذ المرحلة الثانية من برنامج تحديث تكنولوجيا المعلومات. </w:t>
      </w:r>
      <w:r w:rsidR="00336644">
        <w:rPr>
          <w:rFonts w:hint="cs"/>
          <w:rtl/>
        </w:rPr>
        <w:t>وتشتمل مواصفات الاستعراض على نهج عام، ووظائف النظام، وأداء النظام، وإجراءات اختبار النظام واختبار استخدامه، واستراتيجيات التشغيل</w:t>
      </w:r>
    </w:p>
    <w:p w:rsidR="00B81836" w:rsidRDefault="00655779" w:rsidP="00FD0D21">
      <w:pPr>
        <w:pStyle w:val="NumberedParaAR"/>
      </w:pPr>
      <w:r>
        <w:rPr>
          <w:rFonts w:hint="cs"/>
          <w:rtl/>
        </w:rPr>
        <w:t xml:space="preserve">وتجدر الإشارة إلى أنّه يجب على الشريك الخارجي أن يكفل، </w:t>
      </w:r>
      <w:r w:rsidR="00FD0D21">
        <w:rPr>
          <w:rFonts w:hint="cs"/>
          <w:rtl/>
        </w:rPr>
        <w:t>دون مقابل و</w:t>
      </w:r>
      <w:r>
        <w:rPr>
          <w:rFonts w:hint="cs"/>
          <w:rtl/>
        </w:rPr>
        <w:t>لمدة 12 شهرا بعد قبول المكتب الدولي البرنامج الحاسوبي</w:t>
      </w:r>
      <w:r>
        <w:rPr>
          <w:rFonts w:hint="eastAsia"/>
          <w:rtl/>
        </w:rPr>
        <w:t> </w:t>
      </w:r>
      <w:r w:rsidRPr="000C5E21">
        <w:t>MIRIS</w:t>
      </w:r>
      <w:r w:rsidR="00FD0D21">
        <w:rPr>
          <w:rFonts w:hint="cs"/>
          <w:rtl/>
        </w:rPr>
        <w:t xml:space="preserve"> المُسلَّم</w:t>
      </w:r>
      <w:r>
        <w:rPr>
          <w:rFonts w:hint="cs"/>
          <w:rtl/>
        </w:rPr>
        <w:t>، فترة ضمان يلتزم فيها بإصلاح أي خطأ يُكشف عنه في البرنامج ويتعلق بالتحوّل التقني من نظام</w:t>
      </w:r>
      <w:r>
        <w:rPr>
          <w:rFonts w:hint="eastAsia"/>
          <w:rtl/>
        </w:rPr>
        <w:t> </w:t>
      </w:r>
      <w:r w:rsidRPr="00C040CF">
        <w:t>MAPS</w:t>
      </w:r>
      <w:r>
        <w:rPr>
          <w:rFonts w:hint="cs"/>
          <w:rtl/>
        </w:rPr>
        <w:t xml:space="preserve"> الحالي.</w:t>
      </w:r>
    </w:p>
    <w:p w:rsidR="00655779" w:rsidRDefault="00FD0D21" w:rsidP="00AA02A4">
      <w:pPr>
        <w:pStyle w:val="NumberedParaAR"/>
        <w:keepNext/>
      </w:pPr>
      <w:r>
        <w:rPr>
          <w:rFonts w:hint="cs"/>
          <w:rtl/>
        </w:rPr>
        <w:t>و</w:t>
      </w:r>
      <w:r w:rsidR="00655779" w:rsidRPr="00655779">
        <w:rPr>
          <w:rtl/>
        </w:rPr>
        <w:t>استُهلت المرحلة الثانية من البرنامج في الربع الثالث من عام 2010. واستُكمل فعلا تنفيذ المهام من 1 إلى 10 من الخطة المفصّلة لتنفيذ المشروع ، المبيّنة في الشكل 1 أدناه، ويجري تنفيذ المهمة 11. والبرنامج جار وفق الجدول التالي</w:t>
      </w:r>
      <w:r w:rsidR="00655779">
        <w:rPr>
          <w:rFonts w:hint="cs"/>
          <w:rtl/>
        </w:rPr>
        <w:t xml:space="preserve"> الذي سيتم </w:t>
      </w:r>
      <w:r w:rsidR="00AA02A4">
        <w:rPr>
          <w:rFonts w:hint="cs"/>
          <w:rtl/>
        </w:rPr>
        <w:t>تدقيقه</w:t>
      </w:r>
      <w:r w:rsidR="00655779">
        <w:rPr>
          <w:rFonts w:hint="cs"/>
          <w:rtl/>
        </w:rPr>
        <w:t xml:space="preserve"> </w:t>
      </w:r>
      <w:r w:rsidR="00AA02A4">
        <w:rPr>
          <w:rFonts w:hint="cs"/>
          <w:rtl/>
        </w:rPr>
        <w:t>في الاستعراض الخارجي  لبرنامج تحديث تكنولوجيا المعلومات:</w:t>
      </w:r>
    </w:p>
    <w:p w:rsidR="00AA02A4" w:rsidRDefault="00AA02A4" w:rsidP="00F82DEF">
      <w:pPr>
        <w:pStyle w:val="NumberedParaAR"/>
        <w:numPr>
          <w:ilvl w:val="0"/>
          <w:numId w:val="0"/>
        </w:numPr>
        <w:spacing w:after="0" w:line="240" w:lineRule="auto"/>
        <w:rPr>
          <w:rtl/>
        </w:rPr>
      </w:pPr>
      <w:r w:rsidRPr="00AA02A4">
        <w:rPr>
          <w:noProof/>
          <w:rtl/>
        </w:rPr>
        <w:drawing>
          <wp:inline distT="0" distB="0" distL="0" distR="0">
            <wp:extent cx="5937250" cy="2413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0" cy="2413000"/>
                    </a:xfrm>
                    <a:prstGeom prst="rect">
                      <a:avLst/>
                    </a:prstGeom>
                    <a:noFill/>
                    <a:ln>
                      <a:noFill/>
                    </a:ln>
                  </pic:spPr>
                </pic:pic>
              </a:graphicData>
            </a:graphic>
          </wp:inline>
        </w:drawing>
      </w:r>
    </w:p>
    <w:p w:rsidR="00AA02A4" w:rsidRPr="00F82DEF" w:rsidRDefault="00AA02A4" w:rsidP="00AA02A4">
      <w:pPr>
        <w:pStyle w:val="NumberedParaAR"/>
        <w:numPr>
          <w:ilvl w:val="0"/>
          <w:numId w:val="0"/>
        </w:numPr>
        <w:spacing w:line="240" w:lineRule="auto"/>
        <w:jc w:val="center"/>
        <w:rPr>
          <w:b/>
          <w:bCs/>
          <w:rtl/>
        </w:rPr>
      </w:pPr>
      <w:r w:rsidRPr="00F82DEF">
        <w:rPr>
          <w:rFonts w:hint="cs"/>
          <w:b/>
          <w:bCs/>
          <w:sz w:val="28"/>
          <w:szCs w:val="28"/>
          <w:rtl/>
        </w:rPr>
        <w:t>الشكل 1- الخطة المفصّلة لتنفيذ المشروع في المرحلة الثانية</w:t>
      </w:r>
    </w:p>
    <w:p w:rsidR="0074262D" w:rsidRDefault="00AA02A4" w:rsidP="00CE5A2A">
      <w:pPr>
        <w:pStyle w:val="NumberedParaAR"/>
        <w:rPr>
          <w:rtl/>
        </w:rPr>
      </w:pPr>
      <w:r>
        <w:rPr>
          <w:rFonts w:hint="cs"/>
          <w:rtl/>
        </w:rPr>
        <w:t>كما أشير إليه في التقارير المرحلية السابقة عن برنامج تحديث تكنولوجيا المعلومات سيقترح المكتب الدولي، عند اللزوم فقط، الدخول في مرحلة الإنجاز الثالثة من البرنامج من أجل تكييف أنشطة ما بعد التشغيل، مثل إصلاح الأخطاء، وتحسين الأداء، فضلا عن تغيير واجهة المستخدم</w:t>
      </w:r>
      <w:r w:rsidR="00F82DEF" w:rsidRPr="00F82DEF">
        <w:rPr>
          <w:rFonts w:ascii="Arial" w:hAnsi="Arial" w:cs="Arial"/>
          <w:sz w:val="22"/>
          <w:szCs w:val="20"/>
          <w:rtl/>
        </w:rPr>
        <w:t xml:space="preserve"> </w:t>
      </w:r>
      <w:r w:rsidR="00F82DEF" w:rsidRPr="00F82DEF">
        <w:rPr>
          <w:rtl/>
        </w:rPr>
        <w:t>وأيّة إعادة محتملة لهندسة الإجراءات</w:t>
      </w:r>
      <w:r w:rsidR="00F82DEF">
        <w:rPr>
          <w:rFonts w:hint="cs"/>
          <w:rtl/>
        </w:rPr>
        <w:t xml:space="preserve">. وبالنظر إلى عدم التمكّن من تقدير الحاجة إلى مرحلة ثالثة محتملة </w:t>
      </w:r>
      <w:r w:rsidR="00CE5A2A">
        <w:rPr>
          <w:rFonts w:hint="cs"/>
          <w:rtl/>
        </w:rPr>
        <w:t>إلاّ بعد عملية النشر، سيُطنب</w:t>
      </w:r>
      <w:r w:rsidR="00FD0D21">
        <w:rPr>
          <w:rFonts w:hint="cs"/>
          <w:rtl/>
        </w:rPr>
        <w:t xml:space="preserve"> </w:t>
      </w:r>
      <w:r w:rsidR="00F82DEF">
        <w:rPr>
          <w:rFonts w:hint="cs"/>
          <w:rtl/>
        </w:rPr>
        <w:t>في شرح تفاصيل المرحلة الثالثة المحتملة في تقرير مرحلي لاحق.</w:t>
      </w:r>
    </w:p>
    <w:p w:rsidR="0074262D" w:rsidRDefault="0074262D">
      <w:pPr>
        <w:rPr>
          <w:rFonts w:ascii="Arabic Typesetting" w:hAnsi="Arabic Typesetting" w:cs="Arabic Typesetting"/>
          <w:sz w:val="36"/>
          <w:szCs w:val="36"/>
          <w:rtl/>
        </w:rPr>
      </w:pPr>
      <w:r>
        <w:rPr>
          <w:rtl/>
        </w:rPr>
        <w:br w:type="page"/>
      </w:r>
    </w:p>
    <w:p w:rsidR="000415CA" w:rsidRPr="001853B7" w:rsidRDefault="001F2086" w:rsidP="001853B7">
      <w:pPr>
        <w:pStyle w:val="NormalParaAR"/>
        <w:keepNext/>
        <w:rPr>
          <w:b/>
          <w:bCs/>
          <w:sz w:val="40"/>
          <w:szCs w:val="40"/>
          <w:rtl/>
        </w:rPr>
      </w:pPr>
      <w:bookmarkStart w:id="2" w:name="_GoBack"/>
      <w:r w:rsidRPr="001853B7">
        <w:rPr>
          <w:rFonts w:hint="cs"/>
          <w:b/>
          <w:bCs/>
          <w:sz w:val="40"/>
          <w:szCs w:val="40"/>
          <w:rtl/>
        </w:rPr>
        <w:t>استخدام الميزانية</w:t>
      </w:r>
    </w:p>
    <w:bookmarkEnd w:id="2"/>
    <w:p w:rsidR="001F2086" w:rsidRDefault="001F2086" w:rsidP="00361FE1">
      <w:pPr>
        <w:pStyle w:val="NumberedParaAR"/>
      </w:pPr>
      <w:r>
        <w:rPr>
          <w:rFonts w:hint="cs"/>
          <w:rtl/>
        </w:rPr>
        <w:t xml:space="preserve">اعتُمد لأغراض المشروع غلاف مالي قدره </w:t>
      </w:r>
      <w:r w:rsidR="00361FE1">
        <w:rPr>
          <w:rFonts w:hint="cs"/>
          <w:rtl/>
        </w:rPr>
        <w:t xml:space="preserve">13,804 </w:t>
      </w:r>
      <w:r>
        <w:rPr>
          <w:rFonts w:hint="cs"/>
          <w:rtl/>
        </w:rPr>
        <w:t>مليون فرنك فرنسي (</w:t>
      </w:r>
      <w:r w:rsidR="00361FE1">
        <w:rPr>
          <w:rFonts w:hint="cs"/>
          <w:rtl/>
        </w:rPr>
        <w:t xml:space="preserve">10,804 </w:t>
      </w:r>
      <w:r>
        <w:rPr>
          <w:rFonts w:hint="cs"/>
          <w:rtl/>
        </w:rPr>
        <w:t xml:space="preserve">مليون فرنك سويسري من قبل جمعية اتحاد مدريد و 3 ملايين فرنك سويسري من قبل جمعية اتحاد لاهاي). وبلغت المبالغ المُنفقة فعلا على المشروع، حتى الآن، </w:t>
      </w:r>
      <w:r w:rsidR="00361FE1">
        <w:rPr>
          <w:rFonts w:hint="cs"/>
          <w:rtl/>
        </w:rPr>
        <w:t xml:space="preserve">10,464 </w:t>
      </w:r>
      <w:r>
        <w:rPr>
          <w:rFonts w:hint="cs"/>
          <w:rtl/>
        </w:rPr>
        <w:t xml:space="preserve">مليون فرنك سويسري، أو 76 بالمائة من ميزانية المشروع. ومن المتوقّع أن تكون الموارد المتبقية كافية لاستكمال المرحلة الثانية من البرنامج، علماً بأنّ استنتاجات الاستعراض الخارجي قد تسفر عن تخصيص موارد إضافية لضمان إدارة المخاطر وضبط الجودة </w:t>
      </w:r>
      <w:r w:rsidR="007D5265">
        <w:rPr>
          <w:rFonts w:hint="cs"/>
          <w:rtl/>
        </w:rPr>
        <w:t>على نحو ملائم</w:t>
      </w:r>
      <w:r>
        <w:rPr>
          <w:rFonts w:hint="cs"/>
          <w:rtl/>
        </w:rPr>
        <w:t>.</w:t>
      </w:r>
    </w:p>
    <w:p w:rsidR="0074262D" w:rsidRPr="0074262D" w:rsidRDefault="0074262D" w:rsidP="0074262D">
      <w:pPr>
        <w:pStyle w:val="NumberedParaAR"/>
        <w:numPr>
          <w:ilvl w:val="0"/>
          <w:numId w:val="0"/>
        </w:numPr>
        <w:spacing w:after="0"/>
        <w:jc w:val="center"/>
        <w:rPr>
          <w:b/>
          <w:bCs/>
          <w:sz w:val="28"/>
          <w:szCs w:val="28"/>
        </w:rPr>
      </w:pPr>
      <w:r w:rsidRPr="0074262D">
        <w:rPr>
          <w:rFonts w:hint="cs"/>
          <w:b/>
          <w:bCs/>
          <w:sz w:val="28"/>
          <w:szCs w:val="28"/>
          <w:rtl/>
        </w:rPr>
        <w:t xml:space="preserve">الجدول 1. الوضع </w:t>
      </w:r>
      <w:r w:rsidR="00361FE1">
        <w:rPr>
          <w:rFonts w:hint="cs"/>
          <w:b/>
          <w:bCs/>
          <w:sz w:val="28"/>
          <w:szCs w:val="28"/>
          <w:rtl/>
        </w:rPr>
        <w:t>المالي (بآلاف</w:t>
      </w:r>
      <w:r w:rsidRPr="0074262D">
        <w:rPr>
          <w:rFonts w:hint="cs"/>
          <w:b/>
          <w:bCs/>
          <w:sz w:val="28"/>
          <w:szCs w:val="28"/>
          <w:rtl/>
        </w:rPr>
        <w:t xml:space="preserve"> الفرنكات السويسرية)، في أواخر مارس 2014</w:t>
      </w:r>
    </w:p>
    <w:tbl>
      <w:tblPr>
        <w:tblStyle w:val="TableGrid"/>
        <w:bidiVisual/>
        <w:tblW w:w="0" w:type="auto"/>
        <w:tblLook w:val="04A0" w:firstRow="1" w:lastRow="0" w:firstColumn="1" w:lastColumn="0" w:noHBand="0" w:noVBand="1"/>
      </w:tblPr>
      <w:tblGrid>
        <w:gridCol w:w="2392"/>
        <w:gridCol w:w="2393"/>
        <w:gridCol w:w="2393"/>
        <w:gridCol w:w="2393"/>
      </w:tblGrid>
      <w:tr w:rsidR="007D5265" w:rsidTr="00361FE1">
        <w:trPr>
          <w:trHeight w:val="1104"/>
        </w:trPr>
        <w:tc>
          <w:tcPr>
            <w:tcW w:w="2392" w:type="dxa"/>
            <w:shd w:val="clear" w:color="auto" w:fill="548DD4" w:themeFill="text2" w:themeFillTint="99"/>
          </w:tcPr>
          <w:p w:rsidR="007D5265" w:rsidRPr="00361FE1" w:rsidRDefault="007D5265" w:rsidP="007D5265">
            <w:pPr>
              <w:pStyle w:val="NumberedParaAR"/>
              <w:numPr>
                <w:ilvl w:val="0"/>
                <w:numId w:val="0"/>
              </w:numPr>
              <w:rPr>
                <w:color w:val="FFFFFF" w:themeColor="background1"/>
                <w:rtl/>
              </w:rPr>
            </w:pPr>
          </w:p>
        </w:tc>
        <w:tc>
          <w:tcPr>
            <w:tcW w:w="2393" w:type="dxa"/>
            <w:shd w:val="clear" w:color="auto" w:fill="548DD4" w:themeFill="text2" w:themeFillTint="99"/>
          </w:tcPr>
          <w:p w:rsidR="007D5265" w:rsidRPr="00361FE1" w:rsidRDefault="007D5265" w:rsidP="007D5265">
            <w:pPr>
              <w:pStyle w:val="NumberedParaAR"/>
              <w:numPr>
                <w:ilvl w:val="0"/>
                <w:numId w:val="0"/>
              </w:numPr>
              <w:rPr>
                <w:color w:val="FFFFFF" w:themeColor="background1"/>
                <w:rtl/>
              </w:rPr>
            </w:pPr>
            <w:r w:rsidRPr="00361FE1">
              <w:rPr>
                <w:rFonts w:hint="cs"/>
                <w:color w:val="FFFFFF" w:themeColor="background1"/>
                <w:rtl/>
              </w:rPr>
              <w:t>الموارد المتاحة من الأموال الاحتياطية</w:t>
            </w:r>
          </w:p>
        </w:tc>
        <w:tc>
          <w:tcPr>
            <w:tcW w:w="2393" w:type="dxa"/>
            <w:shd w:val="clear" w:color="auto" w:fill="548DD4" w:themeFill="text2" w:themeFillTint="99"/>
          </w:tcPr>
          <w:p w:rsidR="007D5265" w:rsidRPr="00361FE1" w:rsidRDefault="007D5265" w:rsidP="007D5265">
            <w:pPr>
              <w:pStyle w:val="NumberedParaAR"/>
              <w:numPr>
                <w:ilvl w:val="0"/>
                <w:numId w:val="0"/>
              </w:numPr>
              <w:rPr>
                <w:color w:val="FFFFFF" w:themeColor="background1"/>
                <w:rtl/>
              </w:rPr>
            </w:pPr>
            <w:r w:rsidRPr="00361FE1">
              <w:rPr>
                <w:rFonts w:hint="cs"/>
                <w:color w:val="FFFFFF" w:themeColor="background1"/>
                <w:rtl/>
              </w:rPr>
              <w:t>النفقات باستثناء الالتزامات والأعباء المالية السابقة</w:t>
            </w:r>
          </w:p>
        </w:tc>
        <w:tc>
          <w:tcPr>
            <w:tcW w:w="2393" w:type="dxa"/>
            <w:shd w:val="clear" w:color="auto" w:fill="548DD4" w:themeFill="text2" w:themeFillTint="99"/>
          </w:tcPr>
          <w:p w:rsidR="007D5265" w:rsidRPr="00361FE1" w:rsidRDefault="007D5265" w:rsidP="007D5265">
            <w:pPr>
              <w:pStyle w:val="NumberedParaAR"/>
              <w:numPr>
                <w:ilvl w:val="0"/>
                <w:numId w:val="0"/>
              </w:numPr>
              <w:rPr>
                <w:color w:val="FFFFFF" w:themeColor="background1"/>
                <w:rtl/>
              </w:rPr>
            </w:pPr>
            <w:r w:rsidRPr="00361FE1">
              <w:rPr>
                <w:rFonts w:hint="cs"/>
                <w:color w:val="FFFFFF" w:themeColor="background1"/>
                <w:rtl/>
              </w:rPr>
              <w:t>الرصيد في أواخر مارس 2014</w:t>
            </w:r>
          </w:p>
        </w:tc>
      </w:tr>
      <w:tr w:rsidR="007D5265" w:rsidTr="007D5265">
        <w:tc>
          <w:tcPr>
            <w:tcW w:w="2392" w:type="dxa"/>
          </w:tcPr>
          <w:p w:rsidR="007D5265" w:rsidRDefault="007D5265" w:rsidP="007D5265">
            <w:pPr>
              <w:pStyle w:val="NumberedParaAR"/>
              <w:numPr>
                <w:ilvl w:val="0"/>
                <w:numId w:val="0"/>
              </w:numPr>
              <w:rPr>
                <w:rtl/>
              </w:rPr>
            </w:pPr>
            <w:r>
              <w:rPr>
                <w:rFonts w:hint="cs"/>
                <w:rtl/>
              </w:rPr>
              <w:t>المرحلة الأولى</w:t>
            </w:r>
          </w:p>
        </w:tc>
        <w:tc>
          <w:tcPr>
            <w:tcW w:w="2393" w:type="dxa"/>
          </w:tcPr>
          <w:p w:rsidR="007D5265" w:rsidRDefault="0074262D" w:rsidP="0074262D">
            <w:pPr>
              <w:pStyle w:val="NumberedParaAR"/>
              <w:numPr>
                <w:ilvl w:val="0"/>
                <w:numId w:val="0"/>
              </w:numPr>
              <w:rPr>
                <w:rtl/>
              </w:rPr>
            </w:pPr>
            <w:r>
              <w:rPr>
                <w:rFonts w:hint="cs"/>
                <w:rtl/>
              </w:rPr>
              <w:t>569</w:t>
            </w:r>
            <w:r>
              <w:rPr>
                <w:rFonts w:hint="eastAsia"/>
                <w:rtl/>
              </w:rPr>
              <w:t> </w:t>
            </w:r>
            <w:r>
              <w:rPr>
                <w:rFonts w:hint="cs"/>
                <w:rtl/>
              </w:rPr>
              <w:t>3</w:t>
            </w:r>
          </w:p>
        </w:tc>
        <w:tc>
          <w:tcPr>
            <w:tcW w:w="2393" w:type="dxa"/>
          </w:tcPr>
          <w:p w:rsidR="007D5265" w:rsidRDefault="0074262D" w:rsidP="0074262D">
            <w:pPr>
              <w:pStyle w:val="NumberedParaAR"/>
              <w:numPr>
                <w:ilvl w:val="0"/>
                <w:numId w:val="0"/>
              </w:numPr>
              <w:rPr>
                <w:rtl/>
              </w:rPr>
            </w:pPr>
            <w:r>
              <w:rPr>
                <w:rFonts w:hint="cs"/>
                <w:rtl/>
              </w:rPr>
              <w:t>277</w:t>
            </w:r>
            <w:r>
              <w:rPr>
                <w:rFonts w:hint="eastAsia"/>
                <w:rtl/>
              </w:rPr>
              <w:t> </w:t>
            </w:r>
            <w:r>
              <w:rPr>
                <w:rFonts w:hint="cs"/>
                <w:rtl/>
              </w:rPr>
              <w:t>3</w:t>
            </w:r>
          </w:p>
        </w:tc>
        <w:tc>
          <w:tcPr>
            <w:tcW w:w="2393" w:type="dxa"/>
          </w:tcPr>
          <w:p w:rsidR="007D5265" w:rsidRDefault="0074262D" w:rsidP="007D5265">
            <w:pPr>
              <w:pStyle w:val="NumberedParaAR"/>
              <w:numPr>
                <w:ilvl w:val="0"/>
                <w:numId w:val="0"/>
              </w:numPr>
              <w:rPr>
                <w:rtl/>
              </w:rPr>
            </w:pPr>
            <w:r>
              <w:rPr>
                <w:rFonts w:hint="cs"/>
                <w:rtl/>
              </w:rPr>
              <w:t>292</w:t>
            </w:r>
          </w:p>
        </w:tc>
      </w:tr>
      <w:tr w:rsidR="007D5265" w:rsidTr="00361FE1">
        <w:tc>
          <w:tcPr>
            <w:tcW w:w="2392" w:type="dxa"/>
            <w:tcBorders>
              <w:bottom w:val="single" w:sz="4" w:space="0" w:color="auto"/>
            </w:tcBorders>
          </w:tcPr>
          <w:p w:rsidR="007D5265" w:rsidRDefault="007D5265" w:rsidP="007D5265">
            <w:pPr>
              <w:pStyle w:val="NumberedParaAR"/>
              <w:numPr>
                <w:ilvl w:val="0"/>
                <w:numId w:val="0"/>
              </w:numPr>
              <w:rPr>
                <w:rtl/>
              </w:rPr>
            </w:pPr>
            <w:r>
              <w:rPr>
                <w:rFonts w:hint="cs"/>
                <w:rtl/>
              </w:rPr>
              <w:t>المرحلة الثانية</w:t>
            </w:r>
          </w:p>
        </w:tc>
        <w:tc>
          <w:tcPr>
            <w:tcW w:w="2393" w:type="dxa"/>
            <w:tcBorders>
              <w:bottom w:val="single" w:sz="4" w:space="0" w:color="auto"/>
            </w:tcBorders>
          </w:tcPr>
          <w:p w:rsidR="007D5265" w:rsidRDefault="0074262D" w:rsidP="0074262D">
            <w:pPr>
              <w:pStyle w:val="NumberedParaAR"/>
              <w:numPr>
                <w:ilvl w:val="0"/>
                <w:numId w:val="0"/>
              </w:numPr>
              <w:rPr>
                <w:rtl/>
              </w:rPr>
            </w:pPr>
            <w:r>
              <w:rPr>
                <w:rFonts w:hint="cs"/>
                <w:rtl/>
              </w:rPr>
              <w:t>235</w:t>
            </w:r>
            <w:r>
              <w:rPr>
                <w:rFonts w:hint="eastAsia"/>
                <w:rtl/>
              </w:rPr>
              <w:t> </w:t>
            </w:r>
            <w:r>
              <w:rPr>
                <w:rFonts w:hint="cs"/>
                <w:rtl/>
              </w:rPr>
              <w:t>10</w:t>
            </w:r>
          </w:p>
        </w:tc>
        <w:tc>
          <w:tcPr>
            <w:tcW w:w="2393" w:type="dxa"/>
            <w:tcBorders>
              <w:bottom w:val="single" w:sz="4" w:space="0" w:color="auto"/>
            </w:tcBorders>
          </w:tcPr>
          <w:p w:rsidR="007D5265" w:rsidRDefault="0074262D" w:rsidP="0074262D">
            <w:pPr>
              <w:pStyle w:val="NumberedParaAR"/>
              <w:numPr>
                <w:ilvl w:val="0"/>
                <w:numId w:val="0"/>
              </w:numPr>
              <w:rPr>
                <w:rtl/>
              </w:rPr>
            </w:pPr>
            <w:r>
              <w:rPr>
                <w:rFonts w:hint="cs"/>
                <w:rtl/>
              </w:rPr>
              <w:t>187</w:t>
            </w:r>
            <w:r>
              <w:rPr>
                <w:rFonts w:hint="eastAsia"/>
                <w:rtl/>
              </w:rPr>
              <w:t> </w:t>
            </w:r>
            <w:r>
              <w:rPr>
                <w:rFonts w:hint="cs"/>
                <w:rtl/>
              </w:rPr>
              <w:t>7</w:t>
            </w:r>
          </w:p>
        </w:tc>
        <w:tc>
          <w:tcPr>
            <w:tcW w:w="2393" w:type="dxa"/>
            <w:tcBorders>
              <w:bottom w:val="single" w:sz="4" w:space="0" w:color="auto"/>
            </w:tcBorders>
          </w:tcPr>
          <w:p w:rsidR="007D5265" w:rsidRDefault="0074262D" w:rsidP="0074262D">
            <w:pPr>
              <w:pStyle w:val="NumberedParaAR"/>
              <w:numPr>
                <w:ilvl w:val="0"/>
                <w:numId w:val="0"/>
              </w:numPr>
              <w:rPr>
                <w:rtl/>
              </w:rPr>
            </w:pPr>
            <w:r>
              <w:rPr>
                <w:rFonts w:hint="cs"/>
                <w:rtl/>
              </w:rPr>
              <w:t>048</w:t>
            </w:r>
            <w:r>
              <w:rPr>
                <w:rFonts w:hint="eastAsia"/>
                <w:rtl/>
              </w:rPr>
              <w:t> </w:t>
            </w:r>
            <w:r>
              <w:rPr>
                <w:rFonts w:hint="cs"/>
                <w:rtl/>
              </w:rPr>
              <w:t>3</w:t>
            </w:r>
          </w:p>
        </w:tc>
      </w:tr>
      <w:tr w:rsidR="007D5265" w:rsidTr="00361FE1">
        <w:tc>
          <w:tcPr>
            <w:tcW w:w="2392" w:type="dxa"/>
            <w:shd w:val="clear" w:color="auto" w:fill="548DD4" w:themeFill="text2" w:themeFillTint="99"/>
          </w:tcPr>
          <w:p w:rsidR="007D5265" w:rsidRPr="00361FE1" w:rsidRDefault="007D5265" w:rsidP="007D5265">
            <w:pPr>
              <w:pStyle w:val="NumberedParaAR"/>
              <w:numPr>
                <w:ilvl w:val="0"/>
                <w:numId w:val="0"/>
              </w:numPr>
              <w:rPr>
                <w:color w:val="FFFFFF" w:themeColor="background1"/>
                <w:rtl/>
              </w:rPr>
            </w:pPr>
            <w:r w:rsidRPr="00361FE1">
              <w:rPr>
                <w:rFonts w:hint="cs"/>
                <w:color w:val="FFFFFF" w:themeColor="background1"/>
                <w:rtl/>
              </w:rPr>
              <w:t>المجموع</w:t>
            </w:r>
          </w:p>
        </w:tc>
        <w:tc>
          <w:tcPr>
            <w:tcW w:w="2393" w:type="dxa"/>
            <w:shd w:val="clear" w:color="auto" w:fill="548DD4" w:themeFill="text2" w:themeFillTint="99"/>
          </w:tcPr>
          <w:p w:rsidR="007D5265" w:rsidRPr="00361FE1" w:rsidRDefault="0074262D" w:rsidP="0074262D">
            <w:pPr>
              <w:pStyle w:val="NumberedParaAR"/>
              <w:numPr>
                <w:ilvl w:val="0"/>
                <w:numId w:val="0"/>
              </w:numPr>
              <w:rPr>
                <w:color w:val="FFFFFF" w:themeColor="background1"/>
                <w:rtl/>
              </w:rPr>
            </w:pPr>
            <w:r w:rsidRPr="00361FE1">
              <w:rPr>
                <w:rFonts w:hint="cs"/>
                <w:color w:val="FFFFFF" w:themeColor="background1"/>
                <w:rtl/>
              </w:rPr>
              <w:t>804</w:t>
            </w:r>
            <w:r w:rsidRPr="00361FE1">
              <w:rPr>
                <w:rFonts w:hint="eastAsia"/>
                <w:color w:val="FFFFFF" w:themeColor="background1"/>
                <w:rtl/>
              </w:rPr>
              <w:t> </w:t>
            </w:r>
            <w:r w:rsidRPr="00361FE1">
              <w:rPr>
                <w:rFonts w:hint="cs"/>
                <w:color w:val="FFFFFF" w:themeColor="background1"/>
                <w:rtl/>
              </w:rPr>
              <w:t>13</w:t>
            </w:r>
          </w:p>
        </w:tc>
        <w:tc>
          <w:tcPr>
            <w:tcW w:w="2393" w:type="dxa"/>
            <w:shd w:val="clear" w:color="auto" w:fill="548DD4" w:themeFill="text2" w:themeFillTint="99"/>
          </w:tcPr>
          <w:p w:rsidR="007D5265" w:rsidRPr="00361FE1" w:rsidRDefault="0074262D" w:rsidP="0074262D">
            <w:pPr>
              <w:pStyle w:val="NumberedParaAR"/>
              <w:numPr>
                <w:ilvl w:val="0"/>
                <w:numId w:val="0"/>
              </w:numPr>
              <w:rPr>
                <w:color w:val="FFFFFF" w:themeColor="background1"/>
                <w:rtl/>
              </w:rPr>
            </w:pPr>
            <w:r w:rsidRPr="00361FE1">
              <w:rPr>
                <w:rFonts w:hint="cs"/>
                <w:color w:val="FFFFFF" w:themeColor="background1"/>
                <w:rtl/>
              </w:rPr>
              <w:t>464</w:t>
            </w:r>
            <w:r w:rsidRPr="00361FE1">
              <w:rPr>
                <w:rFonts w:hint="eastAsia"/>
                <w:color w:val="FFFFFF" w:themeColor="background1"/>
                <w:rtl/>
              </w:rPr>
              <w:t> </w:t>
            </w:r>
            <w:r w:rsidRPr="00361FE1">
              <w:rPr>
                <w:rFonts w:hint="cs"/>
                <w:color w:val="FFFFFF" w:themeColor="background1"/>
                <w:rtl/>
              </w:rPr>
              <w:t>10</w:t>
            </w:r>
          </w:p>
        </w:tc>
        <w:tc>
          <w:tcPr>
            <w:tcW w:w="2393" w:type="dxa"/>
            <w:shd w:val="clear" w:color="auto" w:fill="548DD4" w:themeFill="text2" w:themeFillTint="99"/>
          </w:tcPr>
          <w:p w:rsidR="007D5265" w:rsidRPr="00361FE1" w:rsidRDefault="0074262D" w:rsidP="0074262D">
            <w:pPr>
              <w:pStyle w:val="NumberedParaAR"/>
              <w:numPr>
                <w:ilvl w:val="0"/>
                <w:numId w:val="0"/>
              </w:numPr>
              <w:rPr>
                <w:color w:val="FFFFFF" w:themeColor="background1"/>
                <w:rtl/>
              </w:rPr>
            </w:pPr>
            <w:r w:rsidRPr="00361FE1">
              <w:rPr>
                <w:rFonts w:hint="cs"/>
                <w:color w:val="FFFFFF" w:themeColor="background1"/>
                <w:rtl/>
              </w:rPr>
              <w:t>340</w:t>
            </w:r>
            <w:r w:rsidRPr="00361FE1">
              <w:rPr>
                <w:rFonts w:hint="eastAsia"/>
                <w:color w:val="FFFFFF" w:themeColor="background1"/>
                <w:rtl/>
              </w:rPr>
              <w:t> </w:t>
            </w:r>
            <w:r w:rsidRPr="00361FE1">
              <w:rPr>
                <w:rFonts w:hint="cs"/>
                <w:color w:val="FFFFFF" w:themeColor="background1"/>
                <w:rtl/>
              </w:rPr>
              <w:t>3</w:t>
            </w:r>
          </w:p>
        </w:tc>
      </w:tr>
    </w:tbl>
    <w:p w:rsidR="007D5265" w:rsidRDefault="0074262D" w:rsidP="0074262D">
      <w:pPr>
        <w:pStyle w:val="DecisionParaAR"/>
        <w:spacing w:before="240"/>
      </w:pPr>
      <w:r>
        <w:rPr>
          <w:rFonts w:hint="cs"/>
          <w:rtl/>
        </w:rPr>
        <w:t xml:space="preserve">إن الجمعية مدعوة إلى الإحاطة علما بمضمون التقرير المرحلي بشأن برنامج تحديث تكنولوجيا المعلومات (نظام مدريد للتسجيل </w:t>
      </w:r>
      <w:r w:rsidRPr="0074262D">
        <w:rPr>
          <w:rFonts w:hint="cs"/>
          <w:rtl/>
        </w:rPr>
        <w:t>الدولي) (الوثيقة</w:t>
      </w:r>
      <w:r w:rsidRPr="0074262D">
        <w:rPr>
          <w:rFonts w:hint="eastAsia"/>
          <w:rtl/>
        </w:rPr>
        <w:t> </w:t>
      </w:r>
      <w:r w:rsidRPr="0074262D">
        <w:t>MM/A/48/1</w:t>
      </w:r>
      <w:r w:rsidRPr="0074262D">
        <w:rPr>
          <w:rFonts w:hint="cs"/>
          <w:rtl/>
        </w:rPr>
        <w:t>).</w:t>
      </w:r>
    </w:p>
    <w:p w:rsidR="0074262D" w:rsidRPr="0074262D" w:rsidRDefault="0074262D" w:rsidP="0074262D">
      <w:pPr>
        <w:pStyle w:val="EndofDocumentAR"/>
        <w:rPr>
          <w:rtl/>
        </w:rPr>
      </w:pPr>
      <w:r>
        <w:rPr>
          <w:rFonts w:hint="cs"/>
          <w:rtl/>
        </w:rPr>
        <w:t>[نهاية الوثيقة]</w:t>
      </w:r>
    </w:p>
    <w:sectPr w:rsidR="0074262D" w:rsidRPr="0074262D"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6A" w:rsidRDefault="0040066A">
      <w:r>
        <w:separator/>
      </w:r>
    </w:p>
  </w:endnote>
  <w:endnote w:type="continuationSeparator" w:id="0">
    <w:p w:rsidR="0040066A" w:rsidRDefault="0040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6A" w:rsidRDefault="0040066A" w:rsidP="009622BF">
      <w:pPr>
        <w:bidi/>
      </w:pPr>
      <w:bookmarkStart w:id="0" w:name="OLE_LINK1"/>
      <w:bookmarkStart w:id="1" w:name="OLE_LINK2"/>
      <w:r>
        <w:separator/>
      </w:r>
      <w:bookmarkEnd w:id="0"/>
      <w:bookmarkEnd w:id="1"/>
    </w:p>
  </w:footnote>
  <w:footnote w:type="continuationSeparator" w:id="0">
    <w:p w:rsidR="0040066A" w:rsidRDefault="0040066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E1775E" w:rsidP="00D30E1A">
    <w:r>
      <w:t>MM</w:t>
    </w:r>
    <w:r w:rsidR="00772E46">
      <w:t>/</w:t>
    </w:r>
    <w:r w:rsidR="0059089F">
      <w:t>A</w:t>
    </w:r>
    <w:r w:rsidR="002F77FC">
      <w:t>/</w:t>
    </w:r>
    <w:r w:rsidR="00D30E1A">
      <w:t>48</w:t>
    </w:r>
    <w:r w:rsidR="009A255E">
      <w:t>/</w:t>
    </w:r>
    <w:r w:rsidR="009A255E">
      <w:rPr>
        <w:rFonts w:hint="cs"/>
        <w:rtl/>
      </w:rPr>
      <w:t>1</w:t>
    </w:r>
  </w:p>
  <w:p w:rsidR="002F77FC" w:rsidRDefault="002F77FC" w:rsidP="00D61541">
    <w:r>
      <w:fldChar w:fldCharType="begin"/>
    </w:r>
    <w:r>
      <w:instrText xml:space="preserve"> PAGE  \* MERGEFORMAT </w:instrText>
    </w:r>
    <w:r>
      <w:fldChar w:fldCharType="separate"/>
    </w:r>
    <w:r w:rsidR="00F5307F">
      <w:rPr>
        <w:noProof/>
      </w:rPr>
      <w:t>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6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100"/>
    <w:rsid w:val="00031B2C"/>
    <w:rsid w:val="00033D2C"/>
    <w:rsid w:val="00035CE8"/>
    <w:rsid w:val="00036041"/>
    <w:rsid w:val="00040637"/>
    <w:rsid w:val="00040688"/>
    <w:rsid w:val="0004070F"/>
    <w:rsid w:val="0004115B"/>
    <w:rsid w:val="000415CA"/>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4147"/>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E21"/>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3B7"/>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040"/>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086"/>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0BF3"/>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18E"/>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644"/>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1FE1"/>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4D2E"/>
    <w:rsid w:val="00385427"/>
    <w:rsid w:val="00387542"/>
    <w:rsid w:val="00387C6B"/>
    <w:rsid w:val="00390FC0"/>
    <w:rsid w:val="003911B2"/>
    <w:rsid w:val="00391AFE"/>
    <w:rsid w:val="00392705"/>
    <w:rsid w:val="00393A79"/>
    <w:rsid w:val="0039419C"/>
    <w:rsid w:val="00395987"/>
    <w:rsid w:val="00396375"/>
    <w:rsid w:val="00396801"/>
    <w:rsid w:val="00396E82"/>
    <w:rsid w:val="00397C56"/>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56A"/>
    <w:rsid w:val="003F4C37"/>
    <w:rsid w:val="003F67AE"/>
    <w:rsid w:val="003F6BBB"/>
    <w:rsid w:val="003F719F"/>
    <w:rsid w:val="0040033D"/>
    <w:rsid w:val="0040066A"/>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2D4F"/>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63F3"/>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1C9A"/>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391"/>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5779"/>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5364"/>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262D"/>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0E4"/>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265"/>
    <w:rsid w:val="007D538F"/>
    <w:rsid w:val="007D668A"/>
    <w:rsid w:val="007D694B"/>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7C13"/>
    <w:rsid w:val="0087049C"/>
    <w:rsid w:val="00870AAD"/>
    <w:rsid w:val="00870EDE"/>
    <w:rsid w:val="00871DA0"/>
    <w:rsid w:val="00872030"/>
    <w:rsid w:val="008738EF"/>
    <w:rsid w:val="00873973"/>
    <w:rsid w:val="00874AAD"/>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841"/>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C4"/>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EA6"/>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55E"/>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DD"/>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09B"/>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2A4"/>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97F"/>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1A6A"/>
    <w:rsid w:val="00B44049"/>
    <w:rsid w:val="00B4422C"/>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0CF0"/>
    <w:rsid w:val="00B81836"/>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6CF"/>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0CF"/>
    <w:rsid w:val="00C07988"/>
    <w:rsid w:val="00C07C5E"/>
    <w:rsid w:val="00C10068"/>
    <w:rsid w:val="00C10AC5"/>
    <w:rsid w:val="00C12DAD"/>
    <w:rsid w:val="00C12E17"/>
    <w:rsid w:val="00C14741"/>
    <w:rsid w:val="00C1544B"/>
    <w:rsid w:val="00C1665A"/>
    <w:rsid w:val="00C1739F"/>
    <w:rsid w:val="00C177FF"/>
    <w:rsid w:val="00C17AE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66E5D"/>
    <w:rsid w:val="00C7044F"/>
    <w:rsid w:val="00C720F8"/>
    <w:rsid w:val="00C7294B"/>
    <w:rsid w:val="00C75139"/>
    <w:rsid w:val="00C7525C"/>
    <w:rsid w:val="00C76CF7"/>
    <w:rsid w:val="00C8006D"/>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09"/>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5A2A"/>
    <w:rsid w:val="00CE64A5"/>
    <w:rsid w:val="00CE669E"/>
    <w:rsid w:val="00CE66B5"/>
    <w:rsid w:val="00CE6BFE"/>
    <w:rsid w:val="00CE7031"/>
    <w:rsid w:val="00CE7258"/>
    <w:rsid w:val="00CF0B9B"/>
    <w:rsid w:val="00CF0F7C"/>
    <w:rsid w:val="00CF13B8"/>
    <w:rsid w:val="00CF20DB"/>
    <w:rsid w:val="00CF285E"/>
    <w:rsid w:val="00CF3739"/>
    <w:rsid w:val="00CF539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E1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7DE"/>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B19"/>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1799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07F"/>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DEF"/>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0D21"/>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24E6-ED7A-42E2-A58A-F60B278D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MM_A_48_AR.dotx</Template>
  <TotalTime>546</TotalTime>
  <Pages>5</Pages>
  <Words>1370</Words>
  <Characters>7157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MM/A/48/1 (Arabic)</vt:lpstr>
    </vt:vector>
  </TitlesOfParts>
  <Company>World Intellectual Property Organization</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MM/A/48/1 (Arabic)</dc:title>
  <dc:creator>من إعداد المكتب الدولي</dc:creator>
  <cp:lastModifiedBy>MERZOUK Fawzi</cp:lastModifiedBy>
  <cp:revision>29</cp:revision>
  <cp:lastPrinted>2014-07-01T15:00:00Z</cp:lastPrinted>
  <dcterms:created xsi:type="dcterms:W3CDTF">2014-06-30T12:30:00Z</dcterms:created>
  <dcterms:modified xsi:type="dcterms:W3CDTF">2014-07-01T15:01:00Z</dcterms:modified>
</cp:coreProperties>
</file>