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C3E1F" w:rsidP="00AC3E1F">
            <w:pPr>
              <w:pStyle w:val="DocumentCodeAR"/>
              <w:bidi/>
              <w:rPr>
                <w:rtl/>
              </w:rPr>
            </w:pPr>
            <w:r>
              <w:t>MM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>
              <w:t>46</w:t>
            </w:r>
            <w:r w:rsidR="00050FB8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50FB8">
            <w:pPr>
              <w:pStyle w:val="DocumentLanguageAR"/>
              <w:bidi/>
            </w:pPr>
            <w:r w:rsidRPr="00B6101C">
              <w:rPr>
                <w:rFonts w:hint="cs"/>
                <w:rtl/>
              </w:rPr>
              <w:t xml:space="preserve">الأصل: </w:t>
            </w:r>
            <w:r w:rsidR="00050FB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5C1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45C1C">
              <w:rPr>
                <w:rFonts w:hint="cs"/>
                <w:rtl/>
              </w:rPr>
              <w:t>24</w:t>
            </w:r>
            <w:r w:rsidRPr="00B6101C">
              <w:rPr>
                <w:rFonts w:hint="cs"/>
                <w:rtl/>
              </w:rPr>
              <w:t xml:space="preserve"> </w:t>
            </w:r>
            <w:r w:rsidR="00445C1C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0438DD" w:rsidRDefault="000438DD" w:rsidP="000438DD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1775E" w:rsidRDefault="00E1775E" w:rsidP="00E1775E">
      <w:pPr>
        <w:pStyle w:val="MeetingTitleAR"/>
        <w:bidi/>
        <w:rPr>
          <w:rtl/>
        </w:rPr>
      </w:pPr>
      <w:r>
        <w:rPr>
          <w:rFonts w:hint="cs"/>
          <w:rtl/>
        </w:rPr>
        <w:t>الاتحاد الخاص للتسجيل الدولي للعلامات</w:t>
      </w:r>
    </w:p>
    <w:p w:rsidR="00E1775E" w:rsidRPr="00840AF7" w:rsidRDefault="00E1775E" w:rsidP="00E1775E">
      <w:pPr>
        <w:pStyle w:val="NormalParaAR"/>
        <w:rPr>
          <w:rFonts w:cs="PT Bold Heading"/>
          <w:sz w:val="32"/>
          <w:szCs w:val="32"/>
          <w:rtl/>
        </w:rPr>
      </w:pPr>
      <w:r w:rsidRPr="00840AF7">
        <w:rPr>
          <w:rFonts w:cs="PT Bold Heading" w:hint="cs"/>
          <w:sz w:val="32"/>
          <w:szCs w:val="32"/>
          <w:rtl/>
        </w:rPr>
        <w:t>(اتحاد مدريد)</w:t>
      </w: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0438DD" w:rsidP="000438DD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E1775E" w:rsidP="00E1775E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السادسة </w:t>
      </w:r>
      <w:r w:rsidR="000438DD">
        <w:rPr>
          <w:rFonts w:ascii="Cambria Math" w:hAnsi="Cambria Math" w:hint="cs"/>
          <w:rtl/>
        </w:rPr>
        <w:t>و</w:t>
      </w:r>
      <w:r>
        <w:rPr>
          <w:rFonts w:ascii="Cambria Math" w:hAnsi="Cambria Math" w:hint="cs"/>
          <w:rtl/>
        </w:rPr>
        <w:t xml:space="preserve">الأربعون </w:t>
      </w:r>
      <w:r w:rsidR="0059089F" w:rsidRPr="0059089F">
        <w:rPr>
          <w:rFonts w:ascii="Cambria Math" w:hAnsi="Cambria Math"/>
          <w:rtl/>
        </w:rPr>
        <w:t xml:space="preserve">(الدورة </w:t>
      </w:r>
      <w:r w:rsidR="0059089F">
        <w:rPr>
          <w:rFonts w:ascii="Cambria Math" w:hAnsi="Cambria Math" w:hint="cs"/>
          <w:rtl/>
        </w:rPr>
        <w:t xml:space="preserve">العادية </w:t>
      </w:r>
      <w:r w:rsidR="0059089F" w:rsidRPr="0059089F">
        <w:rPr>
          <w:rFonts w:ascii="Cambria Math" w:hAnsi="Cambria Math"/>
          <w:rtl/>
        </w:rPr>
        <w:t>العشرون)</w:t>
      </w:r>
    </w:p>
    <w:p w:rsidR="00D61541" w:rsidRPr="00D61541" w:rsidRDefault="00D61541" w:rsidP="000D7BA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0D7BA7">
        <w:rPr>
          <w:rFonts w:hint="cs"/>
          <w:rtl/>
        </w:rPr>
        <w:t>23</w:t>
      </w:r>
      <w:r w:rsidR="00983389">
        <w:rPr>
          <w:rFonts w:hint="cs"/>
          <w:rtl/>
        </w:rPr>
        <w:t xml:space="preserve"> </w:t>
      </w:r>
      <w:r w:rsidR="000D7BA7">
        <w:rPr>
          <w:rFonts w:hint="cs"/>
          <w:rtl/>
        </w:rPr>
        <w:t xml:space="preserve">سبتمبر </w:t>
      </w:r>
      <w:r w:rsidR="00100F97">
        <w:rPr>
          <w:rFonts w:hint="cs"/>
          <w:rtl/>
        </w:rPr>
        <w:t xml:space="preserve">إلى </w:t>
      </w:r>
      <w:r w:rsidR="000D7BA7">
        <w:rPr>
          <w:rFonts w:hint="cs"/>
          <w:rtl/>
        </w:rPr>
        <w:t>2</w:t>
      </w:r>
      <w:r w:rsidR="00783D11">
        <w:rPr>
          <w:rFonts w:hint="cs"/>
          <w:rtl/>
        </w:rPr>
        <w:t xml:space="preserve"> </w:t>
      </w:r>
      <w:r w:rsidR="000D7BA7">
        <w:rPr>
          <w:rFonts w:hint="cs"/>
          <w:rtl/>
        </w:rPr>
        <w:t xml:space="preserve">أكتوبر </w:t>
      </w:r>
      <w:r w:rsidR="00100F97">
        <w:rPr>
          <w:rFonts w:hint="cs"/>
          <w:rtl/>
        </w:rPr>
        <w:t>201</w:t>
      </w:r>
      <w:r w:rsidR="00783D11"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07486" w:rsidRDefault="00445C1C" w:rsidP="00FB7EC9">
      <w:pPr>
        <w:pStyle w:val="DocumentTitleAR"/>
        <w:bidi/>
        <w:rPr>
          <w:rtl/>
        </w:rPr>
      </w:pPr>
      <w:r>
        <w:rPr>
          <w:rFonts w:hint="cs"/>
          <w:rtl/>
        </w:rPr>
        <w:t xml:space="preserve">برنامج تحديث تكنولوجيا المعلومات </w:t>
      </w:r>
    </w:p>
    <w:p w:rsidR="00D61541" w:rsidRPr="00D61541" w:rsidRDefault="00445C1C" w:rsidP="00207486">
      <w:pPr>
        <w:pStyle w:val="DocumentTitleAR"/>
        <w:bidi/>
        <w:rPr>
          <w:rtl/>
        </w:rPr>
      </w:pPr>
      <w:r>
        <w:rPr>
          <w:rFonts w:hint="cs"/>
          <w:rtl/>
        </w:rPr>
        <w:t>(نظام مدريد للتسجيل الدولي)</w:t>
      </w:r>
      <w:r w:rsidR="00207486">
        <w:rPr>
          <w:rFonts w:hint="cs"/>
          <w:rtl/>
        </w:rPr>
        <w:t>: تقرير مرحلي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445C1C">
        <w:rPr>
          <w:rFonts w:hint="cs"/>
          <w:rtl/>
        </w:rPr>
        <w:t xml:space="preserve"> المكتب الدولي</w:t>
      </w:r>
    </w:p>
    <w:p w:rsidR="00D61541" w:rsidRPr="00445C1C" w:rsidRDefault="00445C1C" w:rsidP="00612C59">
      <w:pPr>
        <w:pStyle w:val="NormalParaAR"/>
        <w:keepNext/>
        <w:rPr>
          <w:b/>
          <w:bCs/>
          <w:sz w:val="40"/>
          <w:szCs w:val="40"/>
        </w:rPr>
      </w:pPr>
      <w:r w:rsidRPr="00445C1C">
        <w:rPr>
          <w:rFonts w:hint="cs"/>
          <w:b/>
          <w:bCs/>
          <w:sz w:val="40"/>
          <w:szCs w:val="40"/>
          <w:rtl/>
        </w:rPr>
        <w:t>مقدمة</w:t>
      </w:r>
    </w:p>
    <w:p w:rsidR="002F77FC" w:rsidRDefault="00445C1C" w:rsidP="007B4E5B">
      <w:pPr>
        <w:pStyle w:val="NumberedParaAR"/>
      </w:pPr>
      <w:r w:rsidRPr="00445C1C">
        <w:rPr>
          <w:rtl/>
        </w:rPr>
        <w:t>الغرض من هذه الوثيقة هو عرض التقدم المحرز في برنا</w:t>
      </w:r>
      <w:r w:rsidR="0064028B">
        <w:rPr>
          <w:rtl/>
        </w:rPr>
        <w:t>مج تحديث تكنولوجيا المعلومات (</w:t>
      </w:r>
      <w:r w:rsidR="0064028B">
        <w:rPr>
          <w:rFonts w:hint="cs"/>
          <w:rtl/>
        </w:rPr>
        <w:t>الم</w:t>
      </w:r>
      <w:r w:rsidR="007B4E5B">
        <w:rPr>
          <w:rtl/>
        </w:rPr>
        <w:t xml:space="preserve">شار إليه فيما </w:t>
      </w:r>
      <w:r w:rsidR="007B4E5B">
        <w:rPr>
          <w:rFonts w:hint="cs"/>
          <w:rtl/>
        </w:rPr>
        <w:t>بعد</w:t>
      </w:r>
      <w:r w:rsidRPr="00445C1C">
        <w:rPr>
          <w:rtl/>
        </w:rPr>
        <w:t xml:space="preserve"> باسم "البرنامج") منذ آخر </w:t>
      </w:r>
      <w:r>
        <w:rPr>
          <w:rFonts w:hint="cs"/>
          <w:rtl/>
        </w:rPr>
        <w:t>دورة عقدتها</w:t>
      </w:r>
      <w:r>
        <w:rPr>
          <w:rtl/>
        </w:rPr>
        <w:t xml:space="preserve"> </w:t>
      </w:r>
      <w:r>
        <w:rPr>
          <w:rFonts w:hint="cs"/>
          <w:rtl/>
        </w:rPr>
        <w:t>جم</w:t>
      </w:r>
      <w:r w:rsidR="0064028B">
        <w:rPr>
          <w:rtl/>
        </w:rPr>
        <w:t>عية اتحاد مدريد (</w:t>
      </w:r>
      <w:r w:rsidR="0064028B">
        <w:rPr>
          <w:rFonts w:hint="cs"/>
          <w:rtl/>
        </w:rPr>
        <w:t>الم</w:t>
      </w:r>
      <w:r w:rsidR="007B4E5B">
        <w:rPr>
          <w:rtl/>
        </w:rPr>
        <w:t>شار إليها فيما</w:t>
      </w:r>
      <w:r w:rsidR="007B4E5B">
        <w:rPr>
          <w:rFonts w:hint="cs"/>
          <w:rtl/>
        </w:rPr>
        <w:t xml:space="preserve"> بعد</w:t>
      </w:r>
      <w:r w:rsidRPr="00445C1C">
        <w:rPr>
          <w:rtl/>
        </w:rPr>
        <w:t xml:space="preserve"> باسم "الجمعية") في </w:t>
      </w:r>
      <w:r>
        <w:rPr>
          <w:rFonts w:hint="cs"/>
          <w:rtl/>
        </w:rPr>
        <w:t>أكتوبر</w:t>
      </w:r>
      <w:r w:rsidRPr="00445C1C">
        <w:rPr>
          <w:rtl/>
        </w:rPr>
        <w:t xml:space="preserve"> </w:t>
      </w:r>
      <w:r>
        <w:rPr>
          <w:rFonts w:hint="cs"/>
          <w:rtl/>
        </w:rPr>
        <w:t>2012</w:t>
      </w:r>
      <w:r w:rsidR="007B4E5B">
        <w:rPr>
          <w:rtl/>
        </w:rPr>
        <w:t>. كما ت</w:t>
      </w:r>
      <w:r w:rsidR="007B4E5B">
        <w:rPr>
          <w:rFonts w:hint="cs"/>
          <w:rtl/>
        </w:rPr>
        <w:t xml:space="preserve">رمي </w:t>
      </w:r>
      <w:r w:rsidRPr="00445C1C">
        <w:rPr>
          <w:rtl/>
        </w:rPr>
        <w:t xml:space="preserve">الوثيقة </w:t>
      </w:r>
      <w:r w:rsidR="007B4E5B">
        <w:rPr>
          <w:rFonts w:hint="cs"/>
          <w:rtl/>
        </w:rPr>
        <w:t>إلى</w:t>
      </w:r>
      <w:r w:rsidRPr="00445C1C">
        <w:rPr>
          <w:rtl/>
        </w:rPr>
        <w:t xml:space="preserve"> إطلاع أعضاء اتحاد مدريد على أي تغيير في النهج العام نحو استكمال البرنامج، </w:t>
      </w:r>
      <w:r w:rsidR="0064028B">
        <w:rPr>
          <w:rFonts w:hint="cs"/>
          <w:rtl/>
        </w:rPr>
        <w:t>فضلا</w:t>
      </w:r>
      <w:r w:rsidRPr="00445C1C">
        <w:rPr>
          <w:rtl/>
        </w:rPr>
        <w:t xml:space="preserve"> </w:t>
      </w:r>
      <w:r w:rsidR="0064028B">
        <w:rPr>
          <w:rFonts w:hint="cs"/>
          <w:rtl/>
        </w:rPr>
        <w:t xml:space="preserve">عن </w:t>
      </w:r>
      <w:r w:rsidRPr="00445C1C">
        <w:rPr>
          <w:rtl/>
        </w:rPr>
        <w:t>الإخطار بأي تغيير في الجدول الزمني للبرنامج.</w:t>
      </w:r>
    </w:p>
    <w:p w:rsidR="0064028B" w:rsidRDefault="00207486" w:rsidP="00207486">
      <w:pPr>
        <w:pStyle w:val="NumberedParaAR"/>
      </w:pPr>
      <w:r w:rsidRPr="00207486">
        <w:rPr>
          <w:rtl/>
        </w:rPr>
        <w:t xml:space="preserve">وتحتوي الوثيقة </w:t>
      </w:r>
      <w:r w:rsidRPr="00207486">
        <w:t>MM/A/</w:t>
      </w:r>
      <w:r>
        <w:t>45</w:t>
      </w:r>
      <w:r w:rsidRPr="00207486">
        <w:t>/</w:t>
      </w:r>
      <w:r>
        <w:t>3</w:t>
      </w:r>
      <w:r w:rsidRPr="00207486">
        <w:rPr>
          <w:rtl/>
        </w:rPr>
        <w:t xml:space="preserve"> على التقرير المرحلي السابق للبرنامج.</w:t>
      </w:r>
    </w:p>
    <w:p w:rsidR="00A739E4" w:rsidRPr="00A739E4" w:rsidRDefault="00196CF5" w:rsidP="007B4E5B">
      <w:pPr>
        <w:pStyle w:val="NumberedParaAR"/>
        <w:rPr>
          <w:rtl/>
        </w:rPr>
      </w:pPr>
      <w:r w:rsidRPr="00196CF5">
        <w:rPr>
          <w:rtl/>
        </w:rPr>
        <w:t>ويجدر التذكير بأن</w:t>
      </w:r>
      <w:r w:rsidR="007B4E5B">
        <w:rPr>
          <w:rFonts w:hint="cs"/>
          <w:rtl/>
        </w:rPr>
        <w:t>ّ</w:t>
      </w:r>
      <w:r w:rsidRPr="00196CF5">
        <w:rPr>
          <w:rtl/>
        </w:rPr>
        <w:t>ه من المقر</w:t>
      </w:r>
      <w:r w:rsidR="007B4E5B">
        <w:rPr>
          <w:rFonts w:hint="cs"/>
          <w:rtl/>
        </w:rPr>
        <w:t>ّ</w:t>
      </w:r>
      <w:r w:rsidRPr="00196CF5">
        <w:rPr>
          <w:rtl/>
        </w:rPr>
        <w:t>ر تنفيذ البرنامج على مرحلتين: المرحلة الأولى والمرحلة الثانية. وتتألف المرحلة الأولى من مشروعات فرعية تستهدف التوصل إلى نتائج إيجابية فورية أو إرساء الأسس التقنية للمرحلة الثانية. أم</w:t>
      </w:r>
      <w:r w:rsidR="007B4E5B">
        <w:rPr>
          <w:rFonts w:hint="cs"/>
          <w:rtl/>
        </w:rPr>
        <w:t>ّ</w:t>
      </w:r>
      <w:r w:rsidRPr="00196CF5">
        <w:rPr>
          <w:rtl/>
        </w:rPr>
        <w:t>ا المرحلة الثانية فتنطوي على الترح</w:t>
      </w:r>
      <w:r w:rsidR="00606799">
        <w:rPr>
          <w:rtl/>
        </w:rPr>
        <w:t xml:space="preserve">يل التقني </w:t>
      </w:r>
      <w:r w:rsidR="007B4E5B">
        <w:rPr>
          <w:rFonts w:hint="cs"/>
          <w:rtl/>
        </w:rPr>
        <w:t xml:space="preserve">الفعلي </w:t>
      </w:r>
      <w:r w:rsidR="00606799">
        <w:rPr>
          <w:rtl/>
        </w:rPr>
        <w:t xml:space="preserve">بالتقابل المباشر </w:t>
      </w:r>
      <w:r w:rsidRPr="00196CF5">
        <w:rPr>
          <w:rtl/>
        </w:rPr>
        <w:t>من نظام تكنولوجي</w:t>
      </w:r>
      <w:r w:rsidR="0051000F">
        <w:rPr>
          <w:rtl/>
        </w:rPr>
        <w:t xml:space="preserve">ا المعلومات </w:t>
      </w:r>
      <w:r w:rsidR="007B4E5B">
        <w:rPr>
          <w:rFonts w:hint="cs"/>
          <w:rtl/>
        </w:rPr>
        <w:t>الحالي</w:t>
      </w:r>
      <w:r w:rsidRPr="00196CF5">
        <w:rPr>
          <w:rtl/>
        </w:rPr>
        <w:t>، والذي يدعم كلاً من إجرائي مدريد ولاهاي للتسجيل الدولي، إلى تكنولوجيا حديثة تكفل انتفاع أصحاب المصالح في نظامي مدريد ولاهاي على مدى السنوات المقبل</w:t>
      </w:r>
      <w:r w:rsidR="00A739E4">
        <w:rPr>
          <w:rtl/>
        </w:rPr>
        <w:t>ة من منصة تقنية م</w:t>
      </w:r>
      <w:r w:rsidR="00A739E4">
        <w:rPr>
          <w:rFonts w:hint="cs"/>
          <w:rtl/>
        </w:rPr>
        <w:t xml:space="preserve">وحدة على مستوى </w:t>
      </w:r>
      <w:r w:rsidR="00CD21DD">
        <w:rPr>
          <w:rFonts w:hint="cs"/>
          <w:rtl/>
        </w:rPr>
        <w:t>كل الدوائر المعنية</w:t>
      </w:r>
      <w:r w:rsidRPr="00196CF5">
        <w:rPr>
          <w:rtl/>
        </w:rPr>
        <w:t>.</w:t>
      </w:r>
    </w:p>
    <w:p w:rsidR="00196CF5" w:rsidRDefault="00A739E4" w:rsidP="00774ABD">
      <w:pPr>
        <w:pStyle w:val="NumberedParaAR"/>
      </w:pPr>
      <w:r w:rsidRPr="00A739E4">
        <w:rPr>
          <w:rtl/>
        </w:rPr>
        <w:lastRenderedPageBreak/>
        <w:t>كما يجدر التذكير بأن</w:t>
      </w:r>
      <w:r w:rsidR="007B4E5B">
        <w:rPr>
          <w:rFonts w:hint="cs"/>
          <w:rtl/>
        </w:rPr>
        <w:t>ّ</w:t>
      </w:r>
      <w:r w:rsidRPr="00A739E4">
        <w:rPr>
          <w:rtl/>
        </w:rPr>
        <w:t xml:space="preserve"> الجمعية اعتمدت خلال دورتها </w:t>
      </w:r>
      <w:r>
        <w:rPr>
          <w:rFonts w:hint="cs"/>
          <w:rtl/>
        </w:rPr>
        <w:t>الخامسة</w:t>
      </w:r>
      <w:r w:rsidRPr="00A739E4">
        <w:rPr>
          <w:rtl/>
        </w:rPr>
        <w:t xml:space="preserve"> والأربعين </w:t>
      </w:r>
      <w:r>
        <w:rPr>
          <w:rFonts w:hint="cs"/>
          <w:rtl/>
        </w:rPr>
        <w:t xml:space="preserve">(دورتها الاستثنائية السادسة والعشرون) </w:t>
      </w:r>
      <w:r w:rsidR="00774ABD">
        <w:rPr>
          <w:rFonts w:hint="cs"/>
          <w:rtl/>
        </w:rPr>
        <w:t xml:space="preserve">الجدول الزمني المعدل وحدّدت فيه </w:t>
      </w:r>
      <w:r w:rsidRPr="00A739E4">
        <w:rPr>
          <w:rtl/>
        </w:rPr>
        <w:t xml:space="preserve">منتصف عام 2013 </w:t>
      </w:r>
      <w:r w:rsidR="00774ABD">
        <w:rPr>
          <w:rFonts w:hint="cs"/>
          <w:rtl/>
        </w:rPr>
        <w:t>ك</w:t>
      </w:r>
      <w:r w:rsidR="00A13778">
        <w:rPr>
          <w:rFonts w:hint="cs"/>
          <w:rtl/>
        </w:rPr>
        <w:t>أجل ل</w:t>
      </w:r>
      <w:r w:rsidRPr="00A739E4">
        <w:rPr>
          <w:rtl/>
        </w:rPr>
        <w:t>استكما</w:t>
      </w:r>
      <w:r w:rsidR="006E5F7D">
        <w:rPr>
          <w:rtl/>
        </w:rPr>
        <w:t>ل المرحلة الثانية، وأ</w:t>
      </w:r>
      <w:r w:rsidR="006E5F7D">
        <w:rPr>
          <w:rFonts w:hint="cs"/>
          <w:rtl/>
        </w:rPr>
        <w:t>حاطت علما بال</w:t>
      </w:r>
      <w:r w:rsidRPr="00A739E4">
        <w:rPr>
          <w:rtl/>
        </w:rPr>
        <w:t xml:space="preserve">موارد </w:t>
      </w:r>
      <w:r w:rsidR="006E5F7D">
        <w:rPr>
          <w:rFonts w:hint="cs"/>
          <w:rtl/>
        </w:rPr>
        <w:t>المخص</w:t>
      </w:r>
      <w:r w:rsidR="007B4E5B">
        <w:rPr>
          <w:rFonts w:hint="cs"/>
          <w:rtl/>
        </w:rPr>
        <w:t>ّ</w:t>
      </w:r>
      <w:r w:rsidR="006E5F7D">
        <w:rPr>
          <w:rFonts w:hint="cs"/>
          <w:rtl/>
        </w:rPr>
        <w:t>صة ل</w:t>
      </w:r>
      <w:r w:rsidRPr="00A739E4">
        <w:rPr>
          <w:rtl/>
        </w:rPr>
        <w:t xml:space="preserve">لمشروع </w:t>
      </w:r>
      <w:r w:rsidR="006E5F7D">
        <w:rPr>
          <w:rFonts w:hint="cs"/>
          <w:rtl/>
        </w:rPr>
        <w:t>والبالغة</w:t>
      </w:r>
      <w:r w:rsidRPr="00A739E4">
        <w:rPr>
          <w:rtl/>
        </w:rPr>
        <w:t xml:space="preserve"> </w:t>
      </w:r>
      <w:r w:rsidR="006E5F7D">
        <w:rPr>
          <w:rFonts w:hint="cs"/>
          <w:rtl/>
        </w:rPr>
        <w:t>إجمالا</w:t>
      </w:r>
      <w:r w:rsidRPr="00A739E4">
        <w:rPr>
          <w:rtl/>
        </w:rPr>
        <w:t xml:space="preserve"> 11,731</w:t>
      </w:r>
      <w:r w:rsidR="006E5F7D">
        <w:rPr>
          <w:rFonts w:hint="cs"/>
          <w:rtl/>
        </w:rPr>
        <w:t> </w:t>
      </w:r>
      <w:r w:rsidRPr="00A739E4">
        <w:rPr>
          <w:rtl/>
        </w:rPr>
        <w:t>مليون فرنك سويسري (8,731 مليون فرنك سويسري اعت</w:t>
      </w:r>
      <w:r w:rsidR="00A13778">
        <w:rPr>
          <w:rtl/>
        </w:rPr>
        <w:t>مدتها جمعية اتحاد مدريد و3</w:t>
      </w:r>
      <w:r w:rsidR="00774ABD">
        <w:rPr>
          <w:rFonts w:hint="cs"/>
          <w:rtl/>
        </w:rPr>
        <w:t> </w:t>
      </w:r>
      <w:r w:rsidR="00A13778">
        <w:rPr>
          <w:rtl/>
        </w:rPr>
        <w:t>مل</w:t>
      </w:r>
      <w:r w:rsidR="00A13778">
        <w:rPr>
          <w:rFonts w:hint="cs"/>
          <w:rtl/>
        </w:rPr>
        <w:t>ايين</w:t>
      </w:r>
      <w:r w:rsidRPr="00A739E4">
        <w:rPr>
          <w:rtl/>
        </w:rPr>
        <w:t xml:space="preserve"> فرنك سويسري اعتمدتها جمعية اتحاد لاهاي).</w:t>
      </w:r>
    </w:p>
    <w:p w:rsidR="00774ABD" w:rsidRPr="00774ABD" w:rsidRDefault="00774ABD" w:rsidP="00612C59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774ABD">
        <w:rPr>
          <w:b/>
          <w:bCs/>
          <w:sz w:val="40"/>
          <w:szCs w:val="40"/>
          <w:rtl/>
        </w:rPr>
        <w:t>حالة التنفيذ - المرحلة الأولى</w:t>
      </w:r>
    </w:p>
    <w:p w:rsidR="00774ABD" w:rsidRDefault="001851C1" w:rsidP="007B4E5B">
      <w:pPr>
        <w:pStyle w:val="NumberedParaAR"/>
      </w:pPr>
      <w:r>
        <w:rPr>
          <w:rFonts w:hint="cs"/>
          <w:rtl/>
        </w:rPr>
        <w:t xml:space="preserve">أنجزت المرحلة الأولى من البرنامج بنجاح ويجري الآن تشغيل المشروع التجريبي المكتبي </w:t>
      </w:r>
      <w:r w:rsidR="007B4E5B">
        <w:rPr>
          <w:rFonts w:hint="cs"/>
          <w:rtl/>
        </w:rPr>
        <w:t>ب</w:t>
      </w:r>
      <w:r w:rsidRPr="001851C1">
        <w:rPr>
          <w:rtl/>
        </w:rPr>
        <w:t>اسم مشروع دمج عمليات التسجيل الدولي (</w:t>
      </w:r>
      <w:r w:rsidRPr="001851C1">
        <w:t>IRPI</w:t>
      </w:r>
      <w:r w:rsidRPr="001851C1">
        <w:rPr>
          <w:rtl/>
        </w:rPr>
        <w:t>)</w:t>
      </w:r>
      <w:r>
        <w:rPr>
          <w:rFonts w:hint="cs"/>
          <w:rtl/>
        </w:rPr>
        <w:t>.</w:t>
      </w:r>
    </w:p>
    <w:p w:rsidR="001851C1" w:rsidRDefault="002D3ADD" w:rsidP="007B4E5B">
      <w:pPr>
        <w:pStyle w:val="NumberedParaAR"/>
      </w:pPr>
      <w:r>
        <w:rPr>
          <w:rtl/>
        </w:rPr>
        <w:t>والهدف الأساسي ل</w:t>
      </w:r>
      <w:r w:rsidR="001851C1" w:rsidRPr="001851C1">
        <w:rPr>
          <w:rtl/>
        </w:rPr>
        <w:t xml:space="preserve">مشروع </w:t>
      </w:r>
      <w:r w:rsidR="00CD21DD" w:rsidRPr="001851C1">
        <w:t>IRPI</w:t>
      </w:r>
      <w:r w:rsidR="001851C1" w:rsidRPr="001851C1">
        <w:rPr>
          <w:rtl/>
        </w:rPr>
        <w:t xml:space="preserve"> هو وضع إطار </w:t>
      </w:r>
      <w:r>
        <w:rPr>
          <w:rFonts w:hint="cs"/>
          <w:rtl/>
        </w:rPr>
        <w:t>ل</w:t>
      </w:r>
      <w:r w:rsidR="001851C1" w:rsidRPr="001851C1">
        <w:rPr>
          <w:rtl/>
        </w:rPr>
        <w:t xml:space="preserve">لإيداع </w:t>
      </w:r>
      <w:r>
        <w:rPr>
          <w:rFonts w:hint="cs"/>
          <w:rtl/>
        </w:rPr>
        <w:t>الإلكتروني ل</w:t>
      </w:r>
      <w:r w:rsidR="001851C1" w:rsidRPr="001851C1">
        <w:rPr>
          <w:rtl/>
        </w:rPr>
        <w:t>طلبات تسجيل الع</w:t>
      </w:r>
      <w:r>
        <w:rPr>
          <w:rtl/>
        </w:rPr>
        <w:t>لامات التجارية الدولية</w:t>
      </w:r>
      <w:r w:rsidR="001851C1" w:rsidRPr="001851C1">
        <w:rPr>
          <w:rtl/>
        </w:rPr>
        <w:t>. و</w:t>
      </w:r>
      <w:r>
        <w:rPr>
          <w:rFonts w:hint="cs"/>
          <w:rtl/>
        </w:rPr>
        <w:t>ل</w:t>
      </w:r>
      <w:r w:rsidRPr="001851C1">
        <w:rPr>
          <w:rtl/>
        </w:rPr>
        <w:t xml:space="preserve">إثبات فعالية </w:t>
      </w:r>
      <w:r>
        <w:rPr>
          <w:rFonts w:hint="cs"/>
          <w:rtl/>
        </w:rPr>
        <w:t>ذلك</w:t>
      </w:r>
      <w:r>
        <w:rPr>
          <w:rtl/>
        </w:rPr>
        <w:t xml:space="preserve"> الإطار</w:t>
      </w:r>
      <w:r>
        <w:rPr>
          <w:rFonts w:hint="cs"/>
          <w:rtl/>
        </w:rPr>
        <w:t xml:space="preserve"> استحدثت</w:t>
      </w:r>
      <w:r w:rsidR="001851C1" w:rsidRPr="001851C1">
        <w:rPr>
          <w:rtl/>
        </w:rPr>
        <w:t xml:space="preserve"> المنظمة العالمية للملكية الفكرية (الويبو) </w:t>
      </w:r>
      <w:r>
        <w:rPr>
          <w:rFonts w:hint="cs"/>
          <w:rtl/>
        </w:rPr>
        <w:t>منصة</w:t>
      </w:r>
      <w:r>
        <w:rPr>
          <w:rtl/>
        </w:rPr>
        <w:t xml:space="preserve"> شامل</w:t>
      </w:r>
      <w:r>
        <w:rPr>
          <w:rFonts w:hint="cs"/>
          <w:rtl/>
        </w:rPr>
        <w:t>ة</w:t>
      </w:r>
      <w:r>
        <w:rPr>
          <w:rtl/>
        </w:rPr>
        <w:t xml:space="preserve"> للإيداع الإلكتروني</w:t>
      </w:r>
      <w:r>
        <w:rPr>
          <w:rFonts w:hint="cs"/>
          <w:rtl/>
        </w:rPr>
        <w:t xml:space="preserve"> </w:t>
      </w:r>
      <w:r w:rsidR="001851C1" w:rsidRPr="001851C1">
        <w:rPr>
          <w:rtl/>
        </w:rPr>
        <w:t>ستدمجه</w:t>
      </w:r>
      <w:r>
        <w:rPr>
          <w:rFonts w:hint="cs"/>
          <w:rtl/>
        </w:rPr>
        <w:t>ا</w:t>
      </w:r>
      <w:r w:rsidR="001851C1" w:rsidRPr="001851C1">
        <w:rPr>
          <w:rtl/>
        </w:rPr>
        <w:t xml:space="preserve"> بعض المكاتب المشاركة في بواباتها الإلكترونية على الإنترنت.</w:t>
      </w:r>
    </w:p>
    <w:p w:rsidR="002D3ADD" w:rsidRDefault="006D199C" w:rsidP="007B4E5B">
      <w:pPr>
        <w:pStyle w:val="NumberedParaAR"/>
      </w:pPr>
      <w:r w:rsidRPr="006D199C">
        <w:rPr>
          <w:rtl/>
        </w:rPr>
        <w:t xml:space="preserve">ويقوم مشروع </w:t>
      </w:r>
      <w:r w:rsidR="007B4E5B" w:rsidRPr="001851C1">
        <w:t>IRPI</w:t>
      </w:r>
      <w:r w:rsidR="007B4E5B" w:rsidRPr="001851C1">
        <w:rPr>
          <w:rtl/>
        </w:rPr>
        <w:t xml:space="preserve"> </w:t>
      </w:r>
      <w:r w:rsidRPr="006D199C">
        <w:rPr>
          <w:rtl/>
        </w:rPr>
        <w:t xml:space="preserve">على الهيكل الموجه نحو الخدمات الذي اختارته الويبو، وهو يتألف من خدمات إلكترونية على الإنترنت اشترك في تطويرها الويبو ومكاتب وطنية مشاركة (مكتب </w:t>
      </w:r>
      <w:proofErr w:type="spellStart"/>
      <w:r w:rsidRPr="006D199C">
        <w:rPr>
          <w:rtl/>
        </w:rPr>
        <w:t>بنيلوكس</w:t>
      </w:r>
      <w:proofErr w:type="spellEnd"/>
      <w:r w:rsidRPr="006D199C">
        <w:rPr>
          <w:rtl/>
        </w:rPr>
        <w:t xml:space="preserve"> للملكية الفكرية (</w:t>
      </w:r>
      <w:r w:rsidRPr="006D199C">
        <w:t>BOIP</w:t>
      </w:r>
      <w:r w:rsidRPr="006D199C">
        <w:rPr>
          <w:rtl/>
        </w:rPr>
        <w:t>) ومكتب التنسيق في السوق الداخلية (العلامات التجارية والتصاميم) (</w:t>
      </w:r>
      <w:r w:rsidRPr="006D199C">
        <w:t>OHIM</w:t>
      </w:r>
      <w:r w:rsidRPr="006D199C">
        <w:rPr>
          <w:rtl/>
        </w:rPr>
        <w:t>) والمعهد الوطني البرتغالي للملكية الصناعية (</w:t>
      </w:r>
      <w:r w:rsidRPr="006D199C">
        <w:t>INPI</w:t>
      </w:r>
      <w:r w:rsidRPr="006D199C">
        <w:rPr>
          <w:rtl/>
        </w:rPr>
        <w:t xml:space="preserve">). وسيشمل مستخدمو </w:t>
      </w:r>
      <w:r>
        <w:rPr>
          <w:rFonts w:hint="cs"/>
          <w:rtl/>
        </w:rPr>
        <w:t>ال</w:t>
      </w:r>
      <w:r w:rsidRPr="006D199C">
        <w:rPr>
          <w:rtl/>
        </w:rPr>
        <w:t xml:space="preserve">مشروع </w:t>
      </w:r>
      <w:r>
        <w:rPr>
          <w:rtl/>
        </w:rPr>
        <w:t>مقدمي الطلبات،</w:t>
      </w:r>
      <w:r>
        <w:rPr>
          <w:rFonts w:hint="cs"/>
          <w:rtl/>
        </w:rPr>
        <w:t xml:space="preserve"> لأغراض </w:t>
      </w:r>
      <w:r w:rsidR="00B15016">
        <w:rPr>
          <w:rtl/>
        </w:rPr>
        <w:t>إعداد الطلبات الدولية و</w:t>
      </w:r>
      <w:r w:rsidR="007B4E5B">
        <w:rPr>
          <w:rFonts w:hint="cs"/>
          <w:rtl/>
        </w:rPr>
        <w:t>إ</w:t>
      </w:r>
      <w:r w:rsidRPr="006D199C">
        <w:rPr>
          <w:rtl/>
        </w:rPr>
        <w:t>يداعها، والمكاتب</w:t>
      </w:r>
      <w:r>
        <w:rPr>
          <w:rFonts w:hint="cs"/>
          <w:rtl/>
        </w:rPr>
        <w:t>، لأغراض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6D199C">
        <w:rPr>
          <w:rtl/>
        </w:rPr>
        <w:t>لتصديق على الطلبات الدولية</w:t>
      </w:r>
      <w:r>
        <w:rPr>
          <w:rFonts w:hint="cs"/>
          <w:rtl/>
        </w:rPr>
        <w:t xml:space="preserve"> وإرسالها</w:t>
      </w:r>
      <w:r w:rsidR="002D3ADD" w:rsidRPr="002D3ADD">
        <w:rPr>
          <w:rtl/>
        </w:rPr>
        <w:t>.</w:t>
      </w:r>
    </w:p>
    <w:p w:rsidR="00B15016" w:rsidRDefault="00C77F69" w:rsidP="00AC07F7">
      <w:pPr>
        <w:pStyle w:val="NumberedParaAR"/>
      </w:pPr>
      <w:r>
        <w:rPr>
          <w:rFonts w:hint="cs"/>
          <w:rtl/>
        </w:rPr>
        <w:t xml:space="preserve">وهناك </w:t>
      </w:r>
      <w:r w:rsidR="00AC07F7">
        <w:rPr>
          <w:rFonts w:hint="cs"/>
          <w:rtl/>
        </w:rPr>
        <w:t>متطلبات</w:t>
      </w:r>
      <w:r>
        <w:rPr>
          <w:rFonts w:hint="cs"/>
          <w:rtl/>
        </w:rPr>
        <w:t xml:space="preserve"> معق</w:t>
      </w:r>
      <w:r w:rsidR="007B4E5B">
        <w:rPr>
          <w:rFonts w:hint="cs"/>
          <w:rtl/>
        </w:rPr>
        <w:t>ّ</w:t>
      </w:r>
      <w:r w:rsidR="00AC07F7">
        <w:rPr>
          <w:rFonts w:hint="cs"/>
          <w:rtl/>
        </w:rPr>
        <w:t xml:space="preserve">دة من </w:t>
      </w:r>
      <w:r>
        <w:rPr>
          <w:rFonts w:hint="cs"/>
          <w:rtl/>
        </w:rPr>
        <w:t xml:space="preserve">المكاتب الوطنية المشاركة أدرجت في البرنامج الحاسوبي لمشروع </w:t>
      </w:r>
      <w:r w:rsidR="007B4E5B" w:rsidRPr="001851C1">
        <w:t>IRPI</w:t>
      </w:r>
      <w:r>
        <w:rPr>
          <w:rFonts w:hint="cs"/>
          <w:rtl/>
        </w:rPr>
        <w:t xml:space="preserve">. وتشمل تلك </w:t>
      </w:r>
      <w:r w:rsidR="00AC07F7">
        <w:rPr>
          <w:rFonts w:hint="cs"/>
          <w:rtl/>
        </w:rPr>
        <w:t>المتطلبات</w:t>
      </w:r>
      <w:r>
        <w:rPr>
          <w:rFonts w:hint="cs"/>
          <w:rtl/>
        </w:rPr>
        <w:t xml:space="preserve"> جملة أمور منها </w:t>
      </w:r>
      <w:r w:rsidR="00CD21DD">
        <w:rPr>
          <w:rFonts w:hint="cs"/>
          <w:rtl/>
        </w:rPr>
        <w:t>وظيفة</w:t>
      </w:r>
      <w:r>
        <w:rPr>
          <w:rFonts w:hint="cs"/>
          <w:rtl/>
        </w:rPr>
        <w:t xml:space="preserve"> للتحق</w:t>
      </w:r>
      <w:r w:rsidR="007B4E5B">
        <w:rPr>
          <w:rFonts w:hint="cs"/>
          <w:rtl/>
        </w:rPr>
        <w:t>ّ</w:t>
      </w:r>
      <w:r>
        <w:rPr>
          <w:rFonts w:hint="cs"/>
          <w:rtl/>
        </w:rPr>
        <w:t>ق من الهوية بتسجيل الدخول الأحادي (</w:t>
      </w:r>
      <w:r w:rsidRPr="00C77F69">
        <w:t>SSO</w:t>
      </w:r>
      <w:r w:rsidR="00AC07F7">
        <w:rPr>
          <w:rFonts w:hint="cs"/>
          <w:rtl/>
        </w:rPr>
        <w:t xml:space="preserve">) </w:t>
      </w:r>
      <w:r>
        <w:rPr>
          <w:rFonts w:hint="cs"/>
          <w:rtl/>
        </w:rPr>
        <w:t xml:space="preserve">تفوّض </w:t>
      </w:r>
      <w:r w:rsidR="00CD21DD">
        <w:rPr>
          <w:rFonts w:hint="cs"/>
          <w:rtl/>
        </w:rPr>
        <w:t>من خلالها</w:t>
      </w:r>
      <w:r>
        <w:rPr>
          <w:rFonts w:hint="cs"/>
          <w:rtl/>
        </w:rPr>
        <w:t xml:space="preserve"> الويبو للمكت</w:t>
      </w:r>
      <w:r w:rsidR="00CD21DD">
        <w:rPr>
          <w:rFonts w:hint="cs"/>
          <w:rtl/>
        </w:rPr>
        <w:t>ب</w:t>
      </w:r>
      <w:r>
        <w:rPr>
          <w:rFonts w:hint="cs"/>
          <w:rtl/>
        </w:rPr>
        <w:t xml:space="preserve"> الوطني مهمة التحق</w:t>
      </w:r>
      <w:r w:rsidR="007B4E5B">
        <w:rPr>
          <w:rFonts w:hint="cs"/>
          <w:rtl/>
        </w:rPr>
        <w:t>ّ</w:t>
      </w:r>
      <w:r>
        <w:rPr>
          <w:rFonts w:hint="cs"/>
          <w:rtl/>
        </w:rPr>
        <w:t xml:space="preserve">ق من هوية المستخدمين. كما </w:t>
      </w:r>
      <w:r w:rsidR="00CD21DD">
        <w:rPr>
          <w:rFonts w:hint="cs"/>
          <w:rtl/>
        </w:rPr>
        <w:t>انطوى</w:t>
      </w:r>
      <w:r>
        <w:rPr>
          <w:rFonts w:hint="cs"/>
          <w:rtl/>
        </w:rPr>
        <w:t xml:space="preserve"> دمج رسوم المعالجة التي تقتطعها المكاتب الوطنية مع الرسوم الدولية، </w:t>
      </w:r>
      <w:r w:rsidR="00AC07F7">
        <w:rPr>
          <w:rFonts w:hint="cs"/>
          <w:rtl/>
        </w:rPr>
        <w:t>عن طريق</w:t>
      </w:r>
      <w:r>
        <w:rPr>
          <w:rFonts w:hint="cs"/>
          <w:rtl/>
        </w:rPr>
        <w:t xml:space="preserve"> </w:t>
      </w:r>
      <w:r w:rsidR="00D13606">
        <w:rPr>
          <w:rFonts w:hint="cs"/>
          <w:rtl/>
        </w:rPr>
        <w:t xml:space="preserve">عملية دفع واحدة، </w:t>
      </w:r>
      <w:r w:rsidR="00CD21DD">
        <w:rPr>
          <w:rFonts w:hint="cs"/>
          <w:rtl/>
        </w:rPr>
        <w:t>على مراجعة شاملة لإجراءات</w:t>
      </w:r>
      <w:r w:rsidR="00D13606">
        <w:rPr>
          <w:rFonts w:hint="cs"/>
          <w:rtl/>
        </w:rPr>
        <w:t xml:space="preserve"> الدفع.</w:t>
      </w:r>
    </w:p>
    <w:p w:rsidR="00D13606" w:rsidRDefault="006738B6" w:rsidP="00AC07F7">
      <w:pPr>
        <w:pStyle w:val="NumberedParaAR"/>
      </w:pPr>
      <w:r>
        <w:rPr>
          <w:rFonts w:hint="cs"/>
          <w:rtl/>
        </w:rPr>
        <w:t xml:space="preserve">وشرعت الويبو أيضا في بناء هيكل لإنتاج مشروع </w:t>
      </w:r>
      <w:r w:rsidR="00AC07F7" w:rsidRPr="001851C1">
        <w:t>IRPI</w:t>
      </w:r>
      <w:r>
        <w:rPr>
          <w:rFonts w:hint="cs"/>
          <w:rtl/>
        </w:rPr>
        <w:t xml:space="preserve"> يستضيفه مركز البيانات التابع لمركز الأمم المتحدة الدولي للحساب الإلكتروني الكائن في جنيف بسويسرا. وسيستفيد المشروع من منصة </w:t>
      </w:r>
      <w:r w:rsidR="008856C7">
        <w:rPr>
          <w:rFonts w:hint="cs"/>
          <w:rtl/>
        </w:rPr>
        <w:t>مُجمّعة</w:t>
      </w:r>
      <w:r>
        <w:rPr>
          <w:rFonts w:hint="cs"/>
          <w:rtl/>
        </w:rPr>
        <w:t xml:space="preserve"> قابلة للتطوير ومتاحة على نطاق واسع</w:t>
      </w:r>
      <w:r w:rsidR="008856C7">
        <w:rPr>
          <w:rFonts w:hint="cs"/>
          <w:rtl/>
        </w:rPr>
        <w:t xml:space="preserve"> استجابة لنمو الطلب في المستقبل.</w:t>
      </w:r>
    </w:p>
    <w:p w:rsidR="008856C7" w:rsidRDefault="008856C7" w:rsidP="00AC07F7">
      <w:pPr>
        <w:pStyle w:val="NumberedParaAR"/>
      </w:pPr>
      <w:r>
        <w:rPr>
          <w:rFonts w:hint="cs"/>
          <w:rtl/>
        </w:rPr>
        <w:t>و</w:t>
      </w:r>
      <w:r w:rsidR="00AC07F7">
        <w:rPr>
          <w:rFonts w:hint="cs"/>
          <w:rtl/>
        </w:rPr>
        <w:t xml:space="preserve">أصدر، </w:t>
      </w:r>
      <w:r w:rsidR="00D6051E">
        <w:rPr>
          <w:rFonts w:hint="cs"/>
          <w:rtl/>
        </w:rPr>
        <w:t>في ديسمبر 2012، طلب تقديم الاقتراحات ل</w:t>
      </w:r>
      <w:r>
        <w:rPr>
          <w:rFonts w:hint="cs"/>
          <w:rtl/>
        </w:rPr>
        <w:t xml:space="preserve">دعم وتطوير مشروع </w:t>
      </w:r>
      <w:r w:rsidR="00AC07F7" w:rsidRPr="001851C1">
        <w:t>IRPI</w:t>
      </w:r>
      <w:r w:rsidR="00D6051E">
        <w:rPr>
          <w:rFonts w:hint="cs"/>
          <w:rtl/>
        </w:rPr>
        <w:t xml:space="preserve"> فيما يخص الفترة 2013-2015. وسيُعلن عن أسماء الفائزين في المناقصة في منتصف عام 2013.</w:t>
      </w:r>
    </w:p>
    <w:p w:rsidR="00D6051E" w:rsidRDefault="00D6051E" w:rsidP="00AC07F7">
      <w:pPr>
        <w:pStyle w:val="NumberedParaAR"/>
      </w:pPr>
      <w:r>
        <w:rPr>
          <w:rFonts w:hint="cs"/>
          <w:rtl/>
        </w:rPr>
        <w:t xml:space="preserve">وركّزت الجهود، خلال النصف الأول من عام 2013، عل تجميد الشروط الخاصة بمستخدمي مشروع </w:t>
      </w:r>
      <w:r w:rsidR="00AC07F7" w:rsidRPr="001851C1">
        <w:t>IRPI</w:t>
      </w:r>
      <w:r>
        <w:rPr>
          <w:rFonts w:hint="cs"/>
          <w:rtl/>
        </w:rPr>
        <w:t xml:space="preserve"> قبل </w:t>
      </w:r>
      <w:r w:rsidR="00606278">
        <w:rPr>
          <w:rFonts w:hint="cs"/>
          <w:rtl/>
        </w:rPr>
        <w:t xml:space="preserve">دخول المشروع طور التشغيل </w:t>
      </w:r>
      <w:r w:rsidR="00CD21DD">
        <w:rPr>
          <w:rFonts w:hint="cs"/>
          <w:rtl/>
        </w:rPr>
        <w:t xml:space="preserve">المقيّد، </w:t>
      </w:r>
      <w:r w:rsidR="00606278">
        <w:rPr>
          <w:rFonts w:hint="cs"/>
          <w:rtl/>
        </w:rPr>
        <w:t xml:space="preserve">ويُزمع أن يكون ذلك في منتصف العام. ومن المتوقّع أن ينتقل كل من </w:t>
      </w:r>
      <w:r w:rsidR="00606278" w:rsidRPr="006D199C">
        <w:rPr>
          <w:rtl/>
        </w:rPr>
        <w:t xml:space="preserve">مكتب </w:t>
      </w:r>
      <w:proofErr w:type="spellStart"/>
      <w:r w:rsidR="00606278" w:rsidRPr="006D199C">
        <w:rPr>
          <w:rtl/>
        </w:rPr>
        <w:t>بنيلوكس</w:t>
      </w:r>
      <w:proofErr w:type="spellEnd"/>
      <w:r w:rsidR="00606278" w:rsidRPr="006D199C">
        <w:rPr>
          <w:rtl/>
        </w:rPr>
        <w:t xml:space="preserve"> للملكية الفكرية (</w:t>
      </w:r>
      <w:r w:rsidR="00606278" w:rsidRPr="006D199C">
        <w:t>BOIP</w:t>
      </w:r>
      <w:r w:rsidR="00606278" w:rsidRPr="006D199C">
        <w:rPr>
          <w:rtl/>
        </w:rPr>
        <w:t>) ومكتب التنسيق في السوق الداخلية (</w:t>
      </w:r>
      <w:r w:rsidR="00606278" w:rsidRPr="006D199C">
        <w:t>OHIM</w:t>
      </w:r>
      <w:r w:rsidR="00606278" w:rsidRPr="006D199C">
        <w:rPr>
          <w:rtl/>
        </w:rPr>
        <w:t>)</w:t>
      </w:r>
      <w:r w:rsidR="00CD21DD">
        <w:rPr>
          <w:rFonts w:hint="cs"/>
          <w:rtl/>
        </w:rPr>
        <w:t xml:space="preserve"> بالمشروع إلى مرحلة الإنتاج خلال شهري أكتوبر ونوفمبر 2013.</w:t>
      </w:r>
    </w:p>
    <w:p w:rsidR="00CD21DD" w:rsidRDefault="00CD21DD" w:rsidP="003E2C6C">
      <w:pPr>
        <w:pStyle w:val="NumberedParaAR"/>
      </w:pPr>
      <w:r>
        <w:rPr>
          <w:rFonts w:hint="cs"/>
          <w:rtl/>
        </w:rPr>
        <w:t xml:space="preserve">وفيما يخص الأنشطة الأخرى </w:t>
      </w:r>
      <w:r w:rsidR="00E63DDE">
        <w:rPr>
          <w:rFonts w:hint="cs"/>
          <w:rtl/>
        </w:rPr>
        <w:t xml:space="preserve">المندرجة ضمن المرحلة الأولى شرعت الويبو في استخدام أداة جديدة للترجمة في يوليو 2012، ممّا </w:t>
      </w:r>
      <w:r w:rsidR="003E2C6C">
        <w:rPr>
          <w:rFonts w:hint="cs"/>
          <w:rtl/>
        </w:rPr>
        <w:t xml:space="preserve">أدى إلى زيادة الكفاءة وتبسيط عملية الترجمة. وقد بدأ العمل بأداة الترجمة </w:t>
      </w:r>
      <w:proofErr w:type="spellStart"/>
      <w:r w:rsidR="003E2C6C" w:rsidRPr="003E2C6C">
        <w:t>WorldServer</w:t>
      </w:r>
      <w:proofErr w:type="spellEnd"/>
      <w:r w:rsidR="003E2C6C">
        <w:rPr>
          <w:rFonts w:hint="cs"/>
          <w:rtl/>
        </w:rPr>
        <w:t xml:space="preserve"> على نحو كامل فيما يخص جميع </w:t>
      </w:r>
      <w:r w:rsidR="00AC07F7">
        <w:rPr>
          <w:rFonts w:hint="cs"/>
          <w:rtl/>
        </w:rPr>
        <w:t>ال</w:t>
      </w:r>
      <w:r w:rsidR="003E2C6C">
        <w:rPr>
          <w:rFonts w:hint="cs"/>
          <w:rtl/>
        </w:rPr>
        <w:t>إجراءات المتعلقة بنظامي مدريد ولاهاي.</w:t>
      </w:r>
    </w:p>
    <w:p w:rsidR="003E2C6C" w:rsidRDefault="00C45FDF" w:rsidP="004F7AE0">
      <w:pPr>
        <w:pStyle w:val="NumberedParaAR"/>
      </w:pPr>
      <w:r>
        <w:rPr>
          <w:rFonts w:hint="cs"/>
          <w:rtl/>
        </w:rPr>
        <w:lastRenderedPageBreak/>
        <w:t xml:space="preserve">وبالإضافة إلى ذلك </w:t>
      </w:r>
      <w:r w:rsidR="003373D9">
        <w:rPr>
          <w:rFonts w:hint="cs"/>
          <w:rtl/>
        </w:rPr>
        <w:t>أتيحت لمستخدمي نظام مدريد، في مايو 2012، بعض الخدمات الإلكترونية الجديدة الموجهة للزبائن فضلا عن بعض مواد التعليم بالفيديو، وهي</w:t>
      </w:r>
      <w:r w:rsidR="00AC07F7">
        <w:rPr>
          <w:rFonts w:hint="cs"/>
          <w:rtl/>
        </w:rPr>
        <w:t xml:space="preserve"> كالتالي</w:t>
      </w:r>
      <w:r w:rsidR="003373D9">
        <w:rPr>
          <w:rFonts w:hint="cs"/>
          <w:rtl/>
        </w:rPr>
        <w:t>: أداة إدارة المحفظات في نظام مدريد (</w:t>
      </w:r>
      <w:r w:rsidR="004F7AE0" w:rsidRPr="004F7AE0">
        <w:t>MPM</w:t>
      </w:r>
      <w:r w:rsidR="004F7AE0">
        <w:rPr>
          <w:rFonts w:hint="cs"/>
          <w:rtl/>
        </w:rPr>
        <w:t>) والمنبّه الإلكتروني في نظام مدريد (</w:t>
      </w:r>
      <w:r w:rsidR="004F7AE0" w:rsidRPr="004F7AE0">
        <w:t>MEA</w:t>
      </w:r>
      <w:r w:rsidR="004F7AE0">
        <w:rPr>
          <w:rFonts w:hint="cs"/>
          <w:rtl/>
        </w:rPr>
        <w:t>) وأداة التعقّب الآني للطلبات في نظام مدريد (</w:t>
      </w:r>
      <w:r w:rsidR="004F7AE0" w:rsidRPr="004F7AE0">
        <w:t>MRS</w:t>
      </w:r>
      <w:r w:rsidR="004F7AE0">
        <w:rPr>
          <w:rFonts w:hint="cs"/>
          <w:rtl/>
        </w:rPr>
        <w:t xml:space="preserve">). </w:t>
      </w:r>
      <w:r w:rsidR="00096293">
        <w:rPr>
          <w:rFonts w:hint="cs"/>
          <w:rtl/>
        </w:rPr>
        <w:t>وخضعت تلك الأدوات لمزيد من التحسين خلال الجزء الأول من عام 2013. والمنبّه الإلكتروني في نظام مدريد (</w:t>
      </w:r>
      <w:r w:rsidR="00096293" w:rsidRPr="004F7AE0">
        <w:t>MEA</w:t>
      </w:r>
      <w:r w:rsidR="00096293">
        <w:rPr>
          <w:rFonts w:hint="cs"/>
          <w:rtl/>
        </w:rPr>
        <w:t>) عبارة عن "خدمة تنبيه" مجانية صُمّمت من أجل توفير معلومات للمستخدمين المهتمين برصد وضع بعض تسجيلات العلامات التجارية الدولية المحدّدة. وأداة التعقّب الآني للطلبات في نظام مدريد (</w:t>
      </w:r>
      <w:r w:rsidR="00096293" w:rsidRPr="004F7AE0">
        <w:t>MRS</w:t>
      </w:r>
      <w:r w:rsidR="00096293">
        <w:rPr>
          <w:rFonts w:hint="cs"/>
          <w:rtl/>
        </w:rPr>
        <w:t xml:space="preserve">) هي أداة مستقلة تعرض الوضع الآني للطلبات التي تجري معالجتها من قبل المكتب الدولي </w:t>
      </w:r>
      <w:proofErr w:type="spellStart"/>
      <w:r w:rsidR="00096293">
        <w:rPr>
          <w:rFonts w:hint="cs"/>
          <w:rtl/>
        </w:rPr>
        <w:t>للويبو</w:t>
      </w:r>
      <w:proofErr w:type="spellEnd"/>
      <w:r w:rsidR="00096293">
        <w:rPr>
          <w:rFonts w:hint="cs"/>
          <w:rtl/>
        </w:rPr>
        <w:t>. أمّا أداة إدارة المحفظات في نظام مدريد (</w:t>
      </w:r>
      <w:r w:rsidR="00096293" w:rsidRPr="004F7AE0">
        <w:t>MPM</w:t>
      </w:r>
      <w:r w:rsidR="00096293">
        <w:rPr>
          <w:rFonts w:hint="cs"/>
          <w:rtl/>
        </w:rPr>
        <w:t>) فهي عبارة عن تطبيق شبكي مُصمّم لفائدة أصحاب التسجيلات الدولية وممث</w:t>
      </w:r>
      <w:r w:rsidR="00AC07F7">
        <w:rPr>
          <w:rFonts w:hint="cs"/>
          <w:rtl/>
        </w:rPr>
        <w:t>ّ</w:t>
      </w:r>
      <w:r w:rsidR="00096293">
        <w:rPr>
          <w:rFonts w:hint="cs"/>
          <w:rtl/>
        </w:rPr>
        <w:t xml:space="preserve">ليهم ممّن يرغبون في النفاذ إلى محفظات علاماتهم الدولية بغرض تقديم </w:t>
      </w:r>
      <w:proofErr w:type="spellStart"/>
      <w:r w:rsidR="00096293">
        <w:rPr>
          <w:rFonts w:hint="cs"/>
          <w:rtl/>
        </w:rPr>
        <w:t>التماسات</w:t>
      </w:r>
      <w:proofErr w:type="spellEnd"/>
      <w:r w:rsidR="00096293">
        <w:rPr>
          <w:rFonts w:hint="cs"/>
          <w:rtl/>
        </w:rPr>
        <w:t xml:space="preserve"> جديدة لتدوينها في السجل الدولي.</w:t>
      </w:r>
    </w:p>
    <w:p w:rsidR="00096293" w:rsidRDefault="003B548B" w:rsidP="003B548B">
      <w:pPr>
        <w:pStyle w:val="NumberedParaAR"/>
      </w:pPr>
      <w:r>
        <w:rPr>
          <w:rFonts w:hint="cs"/>
          <w:rtl/>
        </w:rPr>
        <w:t xml:space="preserve">وسيبدأ العمل، في يونيو 2013، بنظام نشر جديد يتيح إمكانية إنتاج </w:t>
      </w:r>
      <w:proofErr w:type="spellStart"/>
      <w:r>
        <w:rPr>
          <w:rFonts w:hint="cs"/>
          <w:rtl/>
        </w:rPr>
        <w:t>الإخطارات</w:t>
      </w:r>
      <w:proofErr w:type="spellEnd"/>
      <w:r>
        <w:rPr>
          <w:rFonts w:hint="cs"/>
          <w:rtl/>
        </w:rPr>
        <w:t xml:space="preserve"> والشهادات. وطُوّر النظام الجديد باستخدام تكنولوجيا </w:t>
      </w:r>
      <w:r w:rsidRPr="003B548B">
        <w:t>XML/Java</w:t>
      </w:r>
      <w:r>
        <w:rPr>
          <w:rFonts w:hint="cs"/>
          <w:rtl/>
        </w:rPr>
        <w:t xml:space="preserve"> بدلا من البرنامج الحاسوبي للنشر المكتبي. وسيتم</w:t>
      </w:r>
      <w:r w:rsidR="004D2E80">
        <w:rPr>
          <w:rFonts w:hint="cs"/>
          <w:rtl/>
        </w:rPr>
        <w:t xml:space="preserve"> </w:t>
      </w:r>
      <w:proofErr w:type="spellStart"/>
      <w:r w:rsidR="004D2E80">
        <w:rPr>
          <w:rFonts w:hint="cs"/>
          <w:rtl/>
        </w:rPr>
        <w:t>أتمتة</w:t>
      </w:r>
      <w:proofErr w:type="spellEnd"/>
      <w:r w:rsidR="004D2E80">
        <w:rPr>
          <w:rFonts w:hint="cs"/>
          <w:rtl/>
        </w:rPr>
        <w:t xml:space="preserve"> النظام الجديد كليا ممّا س</w:t>
      </w:r>
      <w:r>
        <w:rPr>
          <w:rFonts w:hint="cs"/>
          <w:rtl/>
        </w:rPr>
        <w:t>يسهم في خفض تدخل ا</w:t>
      </w:r>
      <w:r w:rsidR="004D2E80">
        <w:rPr>
          <w:rFonts w:hint="cs"/>
          <w:rtl/>
        </w:rPr>
        <w:t>لجهات المشغِ</w:t>
      </w:r>
      <w:r w:rsidR="00AC07F7">
        <w:rPr>
          <w:rFonts w:hint="cs"/>
          <w:rtl/>
        </w:rPr>
        <w:t>ّ</w:t>
      </w:r>
      <w:r w:rsidR="004D2E80">
        <w:rPr>
          <w:rFonts w:hint="cs"/>
          <w:rtl/>
        </w:rPr>
        <w:t>لة و</w:t>
      </w:r>
      <w:r>
        <w:rPr>
          <w:rFonts w:hint="cs"/>
          <w:rtl/>
        </w:rPr>
        <w:t xml:space="preserve">الحد </w:t>
      </w:r>
      <w:r w:rsidR="004D2E80">
        <w:rPr>
          <w:rFonts w:hint="cs"/>
          <w:rtl/>
        </w:rPr>
        <w:t xml:space="preserve">بالتالي </w:t>
      </w:r>
      <w:r>
        <w:rPr>
          <w:rFonts w:hint="cs"/>
          <w:rtl/>
        </w:rPr>
        <w:t>من تكاليف التش</w:t>
      </w:r>
      <w:r w:rsidR="00AC07F7">
        <w:rPr>
          <w:rFonts w:hint="cs"/>
          <w:rtl/>
        </w:rPr>
        <w:t>غيل. واغتنمت الويبو هذه الفرصة أ</w:t>
      </w:r>
      <w:r>
        <w:rPr>
          <w:rFonts w:hint="cs"/>
          <w:rtl/>
        </w:rPr>
        <w:t>يضا لتحديث التصميم العام للوثائق.</w:t>
      </w:r>
    </w:p>
    <w:p w:rsidR="0051000F" w:rsidRDefault="0051000F" w:rsidP="0051000F">
      <w:pPr>
        <w:pStyle w:val="NumberedParaAR"/>
      </w:pPr>
      <w:r>
        <w:rPr>
          <w:rFonts w:hint="cs"/>
          <w:rtl/>
        </w:rPr>
        <w:t xml:space="preserve">وستنتهي أنشطة المرحلة الأولى عند بدء العمل بنظام النشر الجديد في يونيو 2013، وبدء العمل بنظام </w:t>
      </w:r>
      <w:r w:rsidRPr="001851C1">
        <w:t>IRPI</w:t>
      </w:r>
      <w:r w:rsidR="00AC07F7">
        <w:rPr>
          <w:rFonts w:hint="cs"/>
          <w:rtl/>
        </w:rPr>
        <w:t xml:space="preserve"> </w:t>
      </w:r>
      <w:r>
        <w:rPr>
          <w:rFonts w:hint="cs"/>
          <w:rtl/>
        </w:rPr>
        <w:t>في أواخر عام 2013.</w:t>
      </w:r>
    </w:p>
    <w:p w:rsidR="003B548B" w:rsidRPr="00FB7B4C" w:rsidRDefault="00FB7B4C" w:rsidP="00612C59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FB7B4C">
        <w:rPr>
          <w:b/>
          <w:bCs/>
          <w:sz w:val="40"/>
          <w:szCs w:val="40"/>
          <w:rtl/>
        </w:rPr>
        <w:t>معلومات أساسية - المرحلة الثانية</w:t>
      </w:r>
    </w:p>
    <w:p w:rsidR="00FB7B4C" w:rsidRDefault="0051000F" w:rsidP="00AC07F7">
      <w:pPr>
        <w:pStyle w:val="NumberedParaAR"/>
      </w:pPr>
      <w:r>
        <w:rPr>
          <w:rFonts w:hint="cs"/>
          <w:rtl/>
        </w:rPr>
        <w:t xml:space="preserve">يجدر التذكير بأنّ النهج المعتمد لتنفيذ المرحلة الثانية من البرنامج هو إجراء </w:t>
      </w:r>
      <w:r>
        <w:rPr>
          <w:rtl/>
        </w:rPr>
        <w:t xml:space="preserve">ترحيل </w:t>
      </w:r>
      <w:r w:rsidRPr="00196CF5">
        <w:rPr>
          <w:rtl/>
        </w:rPr>
        <w:t>تقني بالتقابل المباشر من نظام تكنولوجي</w:t>
      </w:r>
      <w:r>
        <w:rPr>
          <w:rtl/>
        </w:rPr>
        <w:t xml:space="preserve">ا المعلومات </w:t>
      </w:r>
      <w:r w:rsidR="00AC07F7">
        <w:rPr>
          <w:rFonts w:hint="cs"/>
          <w:rtl/>
        </w:rPr>
        <w:t xml:space="preserve">الحالي </w:t>
      </w:r>
      <w:r>
        <w:rPr>
          <w:rFonts w:hint="cs"/>
          <w:rtl/>
        </w:rPr>
        <w:t>إلى هيكل حديث موج</w:t>
      </w:r>
      <w:r w:rsidR="00AC07F7">
        <w:rPr>
          <w:rFonts w:hint="cs"/>
          <w:rtl/>
        </w:rPr>
        <w:t>ّ</w:t>
      </w:r>
      <w:r>
        <w:rPr>
          <w:rFonts w:hint="cs"/>
          <w:rtl/>
        </w:rPr>
        <w:t xml:space="preserve">ه نحو </w:t>
      </w:r>
      <w:r w:rsidR="00A54D83">
        <w:rPr>
          <w:rFonts w:hint="cs"/>
          <w:rtl/>
        </w:rPr>
        <w:t>الخدمات عن طريق اختيار شريك خارجي مؤهّل في مجال تكنولوجيا المعلومات.</w:t>
      </w:r>
    </w:p>
    <w:p w:rsidR="00A54D83" w:rsidRDefault="00A54D83" w:rsidP="00F0396A">
      <w:pPr>
        <w:pStyle w:val="NumberedParaAR"/>
      </w:pPr>
      <w:r>
        <w:rPr>
          <w:rFonts w:hint="cs"/>
          <w:rtl/>
        </w:rPr>
        <w:t xml:space="preserve">والغرض من الترحيل التقني هو </w:t>
      </w:r>
      <w:r w:rsidR="00F0396A">
        <w:rPr>
          <w:rFonts w:hint="cs"/>
          <w:rtl/>
        </w:rPr>
        <w:t xml:space="preserve">الانتقال بالبرنامج </w:t>
      </w:r>
      <w:r w:rsidR="00606799">
        <w:rPr>
          <w:rFonts w:hint="cs"/>
          <w:rtl/>
        </w:rPr>
        <w:t>ال</w:t>
      </w:r>
      <w:r w:rsidR="005028C5">
        <w:rPr>
          <w:rFonts w:hint="cs"/>
          <w:rtl/>
        </w:rPr>
        <w:t>حاسوبي</w:t>
      </w:r>
      <w:r w:rsidR="007B161B">
        <w:rPr>
          <w:rFonts w:hint="cs"/>
          <w:rtl/>
        </w:rPr>
        <w:t xml:space="preserve"> وقاعدة </w:t>
      </w:r>
      <w:r w:rsidR="00606799">
        <w:rPr>
          <w:rFonts w:hint="cs"/>
          <w:rtl/>
        </w:rPr>
        <w:t>ال</w:t>
      </w:r>
      <w:r w:rsidR="005028C5">
        <w:rPr>
          <w:rFonts w:hint="cs"/>
          <w:rtl/>
        </w:rPr>
        <w:t>بيانات و</w:t>
      </w:r>
      <w:r w:rsidR="00606799">
        <w:rPr>
          <w:rFonts w:hint="cs"/>
          <w:rtl/>
        </w:rPr>
        <w:t xml:space="preserve">تدفق العمل من لغة البرمجة الطبيعية ونظام </w:t>
      </w:r>
      <w:proofErr w:type="spellStart"/>
      <w:r w:rsidR="00606799">
        <w:rPr>
          <w:rFonts w:hint="cs"/>
          <w:rtl/>
        </w:rPr>
        <w:t>أداباس</w:t>
      </w:r>
      <w:proofErr w:type="spellEnd"/>
      <w:r w:rsidR="00606799">
        <w:rPr>
          <w:rFonts w:hint="cs"/>
          <w:rtl/>
        </w:rPr>
        <w:t xml:space="preserve"> (</w:t>
      </w:r>
      <w:proofErr w:type="spellStart"/>
      <w:r w:rsidR="00606799" w:rsidRPr="00606799">
        <w:t>Adabas</w:t>
      </w:r>
      <w:proofErr w:type="spellEnd"/>
      <w:r w:rsidR="00606799">
        <w:rPr>
          <w:rFonts w:hint="cs"/>
          <w:rtl/>
        </w:rPr>
        <w:t xml:space="preserve">) لإدارة قواعد البيانات إلى لغة البرمجة </w:t>
      </w:r>
      <w:r w:rsidR="00606799" w:rsidRPr="00606799">
        <w:t>Java</w:t>
      </w:r>
      <w:r w:rsidR="00606799">
        <w:rPr>
          <w:rFonts w:hint="cs"/>
          <w:rtl/>
        </w:rPr>
        <w:t xml:space="preserve"> ونظام </w:t>
      </w:r>
      <w:r w:rsidR="00606799" w:rsidRPr="00606799">
        <w:t>Oracle</w:t>
      </w:r>
      <w:r w:rsidR="00606799">
        <w:rPr>
          <w:rFonts w:hint="cs"/>
          <w:rtl/>
        </w:rPr>
        <w:t xml:space="preserve"> لإدارة قواعد البيانات، بما في ذلك دمج أحدث أداة لإدارة الإجراءات المؤسسية. </w:t>
      </w:r>
      <w:r w:rsidR="00C349BA">
        <w:rPr>
          <w:rFonts w:hint="cs"/>
          <w:rtl/>
        </w:rPr>
        <w:t xml:space="preserve">وسيزيل إنجاز ذلك الترحيل </w:t>
      </w:r>
      <w:r w:rsidR="00F0396A">
        <w:rPr>
          <w:rFonts w:hint="cs"/>
          <w:rtl/>
        </w:rPr>
        <w:t>مخاطر</w:t>
      </w:r>
      <w:r w:rsidR="00C349BA">
        <w:rPr>
          <w:rFonts w:hint="cs"/>
          <w:rtl/>
        </w:rPr>
        <w:t xml:space="preserve"> تقادم البنية التحتية القائمة.</w:t>
      </w:r>
    </w:p>
    <w:p w:rsidR="0082541B" w:rsidRDefault="0082541B" w:rsidP="000C62D1">
      <w:pPr>
        <w:pStyle w:val="NumberedParaAR"/>
      </w:pPr>
      <w:r>
        <w:rPr>
          <w:rFonts w:hint="cs"/>
          <w:rtl/>
        </w:rPr>
        <w:t xml:space="preserve">ومن التحديات الرئيسية المطروحة أمام مشروع الترحيل التقني استنباط واجهة مستخدم إلكترونية حديثة تضمن قدرا كافيا من التشابه مع </w:t>
      </w:r>
      <w:r w:rsidR="000C62D1">
        <w:rPr>
          <w:rFonts w:hint="cs"/>
          <w:rtl/>
        </w:rPr>
        <w:t>تجربة</w:t>
      </w:r>
      <w:r>
        <w:rPr>
          <w:rFonts w:hint="cs"/>
          <w:rtl/>
        </w:rPr>
        <w:t xml:space="preserve"> </w:t>
      </w:r>
      <w:r w:rsidR="000C62D1">
        <w:rPr>
          <w:rFonts w:hint="cs"/>
          <w:rtl/>
        </w:rPr>
        <w:t xml:space="preserve">المستخدم </w:t>
      </w:r>
      <w:r>
        <w:rPr>
          <w:rFonts w:hint="cs"/>
          <w:rtl/>
        </w:rPr>
        <w:t xml:space="preserve">الراهنة من أجل الحد إلى أدنى مستوى ممكن </w:t>
      </w:r>
      <w:r w:rsidR="000C62D1">
        <w:rPr>
          <w:rFonts w:hint="cs"/>
          <w:rtl/>
        </w:rPr>
        <w:t>من احتياجات المستخدمين من التدريب والتعلّم.</w:t>
      </w:r>
    </w:p>
    <w:p w:rsidR="000C62D1" w:rsidRDefault="000C62D1" w:rsidP="00F0396A">
      <w:pPr>
        <w:pStyle w:val="NumberedParaAR"/>
      </w:pPr>
      <w:r>
        <w:rPr>
          <w:rFonts w:hint="cs"/>
          <w:rtl/>
        </w:rPr>
        <w:t xml:space="preserve">والجدير </w:t>
      </w:r>
      <w:r w:rsidR="005B1E5D">
        <w:rPr>
          <w:rFonts w:hint="cs"/>
          <w:rtl/>
        </w:rPr>
        <w:t>بالتذكير أيضا</w:t>
      </w:r>
      <w:r>
        <w:rPr>
          <w:rFonts w:hint="cs"/>
          <w:rtl/>
        </w:rPr>
        <w:t xml:space="preserve"> </w:t>
      </w:r>
      <w:r w:rsidR="005B1E5D">
        <w:rPr>
          <w:rFonts w:hint="cs"/>
          <w:rtl/>
        </w:rPr>
        <w:t xml:space="preserve">أنّ أيّة تغييرات </w:t>
      </w:r>
      <w:r w:rsidR="00C55E5A">
        <w:rPr>
          <w:rFonts w:hint="cs"/>
          <w:rtl/>
        </w:rPr>
        <w:t>ي</w:t>
      </w:r>
      <w:r w:rsidR="001866CE">
        <w:rPr>
          <w:rFonts w:hint="cs"/>
          <w:rtl/>
        </w:rPr>
        <w:t xml:space="preserve">لزم إدخالها على واجهة المستخدم وأيّة </w:t>
      </w:r>
      <w:r w:rsidR="005B1E5D">
        <w:rPr>
          <w:rFonts w:hint="cs"/>
          <w:rtl/>
        </w:rPr>
        <w:t xml:space="preserve">إعادة </w:t>
      </w:r>
      <w:r w:rsidR="001866CE">
        <w:rPr>
          <w:rFonts w:hint="cs"/>
          <w:rtl/>
        </w:rPr>
        <w:t>محتملة ل</w:t>
      </w:r>
      <w:r w:rsidR="005B1E5D">
        <w:rPr>
          <w:rFonts w:hint="cs"/>
          <w:rtl/>
        </w:rPr>
        <w:t xml:space="preserve">هندسة الإجراءات ستتم، </w:t>
      </w:r>
      <w:r w:rsidR="000C2CCF">
        <w:rPr>
          <w:rFonts w:hint="cs"/>
          <w:rtl/>
        </w:rPr>
        <w:t>على الأرجح</w:t>
      </w:r>
      <w:r w:rsidR="005B1E5D">
        <w:rPr>
          <w:rFonts w:hint="cs"/>
          <w:rtl/>
        </w:rPr>
        <w:t xml:space="preserve">، في إطار إعادة إدراج المرحلة الثالثة من البرنامج (انظر الفقرة 3 من الوثيقة </w:t>
      </w:r>
      <w:r w:rsidR="005B1E5D" w:rsidRPr="005B1E5D">
        <w:t>MM/A/43/1</w:t>
      </w:r>
      <w:r w:rsidR="005B1E5D">
        <w:rPr>
          <w:rFonts w:hint="cs"/>
          <w:rtl/>
        </w:rPr>
        <w:t xml:space="preserve"> بخصوص دمج المرحلتين الثانية والثالثة مع </w:t>
      </w:r>
      <w:r w:rsidR="000C2CCF">
        <w:rPr>
          <w:rFonts w:hint="cs"/>
          <w:rtl/>
        </w:rPr>
        <w:t>إتاحة خيار</w:t>
      </w:r>
      <w:r w:rsidR="005B1E5D">
        <w:rPr>
          <w:rFonts w:hint="cs"/>
          <w:rtl/>
        </w:rPr>
        <w:t xml:space="preserve"> إعادة فتح المرحلة الثالثة "</w:t>
      </w:r>
      <w:r w:rsidR="000C2CCF" w:rsidRPr="000C2CCF">
        <w:rPr>
          <w:rtl/>
        </w:rPr>
        <w:t xml:space="preserve"> </w:t>
      </w:r>
      <w:r w:rsidR="000C2CCF">
        <w:rPr>
          <w:rFonts w:hint="cs"/>
          <w:rtl/>
        </w:rPr>
        <w:t>عندما تقتضي</w:t>
      </w:r>
      <w:r w:rsidR="000C2CCF" w:rsidRPr="000C2CCF">
        <w:rPr>
          <w:rtl/>
        </w:rPr>
        <w:t xml:space="preserve"> </w:t>
      </w:r>
      <w:r w:rsidR="000C2CCF">
        <w:rPr>
          <w:rFonts w:hint="cs"/>
          <w:rtl/>
        </w:rPr>
        <w:t xml:space="preserve">ذلك </w:t>
      </w:r>
      <w:r w:rsidR="00F0396A">
        <w:rPr>
          <w:rFonts w:hint="cs"/>
          <w:rtl/>
        </w:rPr>
        <w:t xml:space="preserve">بوضوح </w:t>
      </w:r>
      <w:r w:rsidR="000C2CCF">
        <w:rPr>
          <w:rFonts w:hint="cs"/>
          <w:rtl/>
        </w:rPr>
        <w:t>إحدى</w:t>
      </w:r>
      <w:r w:rsidR="000C2CCF" w:rsidRPr="000C2CCF">
        <w:rPr>
          <w:rtl/>
        </w:rPr>
        <w:t xml:space="preserve"> </w:t>
      </w:r>
      <w:r w:rsidR="000C2CCF">
        <w:rPr>
          <w:rFonts w:hint="cs"/>
          <w:rtl/>
        </w:rPr>
        <w:t>متطلبات</w:t>
      </w:r>
      <w:r w:rsidR="000C2CCF" w:rsidRPr="000C2CCF">
        <w:rPr>
          <w:rtl/>
        </w:rPr>
        <w:t xml:space="preserve"> </w:t>
      </w:r>
      <w:r w:rsidR="000C2CCF">
        <w:rPr>
          <w:rFonts w:hint="cs"/>
          <w:rtl/>
        </w:rPr>
        <w:t>العمل</w:t>
      </w:r>
      <w:r w:rsidR="000C2CCF" w:rsidRPr="000C2CCF">
        <w:rPr>
          <w:rtl/>
        </w:rPr>
        <w:t>"</w:t>
      </w:r>
      <w:r w:rsidR="000C2CCF">
        <w:rPr>
          <w:rFonts w:hint="cs"/>
          <w:rtl/>
        </w:rPr>
        <w:t xml:space="preserve"> والفقرة 24 من الوثيقة </w:t>
      </w:r>
      <w:r w:rsidR="000C2CCF" w:rsidRPr="000C2CCF">
        <w:t>MM/A/45/3</w:t>
      </w:r>
      <w:r w:rsidR="000C2CCF">
        <w:rPr>
          <w:rFonts w:hint="cs"/>
          <w:rtl/>
        </w:rPr>
        <w:t>). وسيُضطلع بأي نشاط من أنشطة المرحلة الثالثة ضمن حدود المبلغ المخصّص أصلا للمشروع.</w:t>
      </w:r>
    </w:p>
    <w:p w:rsidR="000C2CCF" w:rsidRPr="000C2CCF" w:rsidRDefault="000C2CCF" w:rsidP="00612C59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0C2CCF">
        <w:rPr>
          <w:b/>
          <w:bCs/>
          <w:sz w:val="40"/>
          <w:szCs w:val="40"/>
          <w:rtl/>
        </w:rPr>
        <w:t>النتائج المحققة - المرحلة الثانية</w:t>
      </w:r>
    </w:p>
    <w:p w:rsidR="000C2CCF" w:rsidRDefault="000C2CCF" w:rsidP="00FE2DEA">
      <w:pPr>
        <w:pStyle w:val="NumberedParaAR"/>
      </w:pPr>
      <w:r>
        <w:rPr>
          <w:rFonts w:hint="cs"/>
          <w:rtl/>
        </w:rPr>
        <w:t>عقب استكمال مرحلتي المشروع الأولى والثانية بنجاح (التحليل والتصميم)</w:t>
      </w:r>
      <w:r w:rsidR="00FE2DEA">
        <w:rPr>
          <w:rFonts w:hint="cs"/>
          <w:rtl/>
        </w:rPr>
        <w:t xml:space="preserve"> أجرت شركة </w:t>
      </w:r>
      <w:r w:rsidR="00FE2DEA" w:rsidRPr="00FE2DEA">
        <w:t>ELCA</w:t>
      </w:r>
      <w:r w:rsidR="00FE2DEA">
        <w:rPr>
          <w:rFonts w:hint="cs"/>
          <w:rtl/>
        </w:rPr>
        <w:t xml:space="preserve"> (وهي الشريك الخارجي المختار المتخصّص في تكنولوجيا المعلومات)، في نهاية عام 2012، تحليلا معمّقاً للشفرة المصدرية المُبرمجة باللغة </w:t>
      </w:r>
      <w:r w:rsidR="00FE2DEA">
        <w:rPr>
          <w:rFonts w:hint="cs"/>
          <w:rtl/>
        </w:rPr>
        <w:lastRenderedPageBreak/>
        <w:t>الطبيعية من أجل إعادة تقييم درجة التعقيد التي يكتسيها مشروع الترحيل والتحق</w:t>
      </w:r>
      <w:r w:rsidR="00F0396A">
        <w:rPr>
          <w:rFonts w:hint="cs"/>
          <w:rtl/>
        </w:rPr>
        <w:t>ّ</w:t>
      </w:r>
      <w:r w:rsidR="00FE2DEA">
        <w:rPr>
          <w:rFonts w:hint="cs"/>
          <w:rtl/>
        </w:rPr>
        <w:t>ق من الفرضيات التقنية المُعتمدة خلال إعداد اقتراحها بسعر ثابت. وكشفت نتائج التحليل عن درجة تعقيد أكبر ممّا كان متوقعا فيما يخص الترحيل التقني</w:t>
      </w:r>
      <w:r w:rsidR="00BF76BC">
        <w:rPr>
          <w:rFonts w:hint="cs"/>
          <w:rtl/>
        </w:rPr>
        <w:t xml:space="preserve"> بالتقابل المباشر للنظام وقاعدة البيانات الراهنين، ممّا أسفر عن تمديد الفترة الإجمالية المُحدّدة لإنجاز المشروع من أجل تلافي تغيير السعر الثابت المُحدّد أصلا.</w:t>
      </w:r>
    </w:p>
    <w:p w:rsidR="00BF76BC" w:rsidRDefault="00BF76BC" w:rsidP="00FE2DEA">
      <w:pPr>
        <w:pStyle w:val="NumberedParaAR"/>
      </w:pPr>
      <w:r>
        <w:rPr>
          <w:rFonts w:hint="cs"/>
          <w:rtl/>
        </w:rPr>
        <w:t>وبدأ الترحيل التقني بتنفيذ عملية التقابل المباشر المتعلقة باستلام وفحص الطلبات الدولية والتسجيل الدولي للعلامات التجارية.</w:t>
      </w:r>
    </w:p>
    <w:p w:rsidR="00BF76BC" w:rsidRDefault="00BF76BC" w:rsidP="00A456BC">
      <w:pPr>
        <w:pStyle w:val="NumberedParaAR"/>
      </w:pPr>
      <w:r>
        <w:rPr>
          <w:rFonts w:hint="cs"/>
          <w:rtl/>
        </w:rPr>
        <w:t xml:space="preserve">وخلال الأشهر الثلاثة الأولى من عام 2013، رُكّبت النُسخ الأربع الأولى من الشفرة المُستحدثة، بنجاح، في بيئة التطوير الخاصة </w:t>
      </w:r>
      <w:proofErr w:type="spellStart"/>
      <w:r>
        <w:rPr>
          <w:rFonts w:hint="cs"/>
          <w:rtl/>
        </w:rPr>
        <w:t>بالويبو</w:t>
      </w:r>
      <w:proofErr w:type="spellEnd"/>
      <w:r>
        <w:rPr>
          <w:rFonts w:hint="cs"/>
          <w:rtl/>
        </w:rPr>
        <w:t xml:space="preserve"> لأغراض استعراضها وتثبيتها واختبارها من قبل فريق المشروع</w:t>
      </w:r>
      <w:r w:rsidR="00131F40">
        <w:rPr>
          <w:rFonts w:hint="cs"/>
          <w:rtl/>
        </w:rPr>
        <w:t>. واستُحدثت خطط</w:t>
      </w:r>
      <w:r w:rsidR="00A456BC">
        <w:rPr>
          <w:rFonts w:hint="cs"/>
          <w:rtl/>
        </w:rPr>
        <w:t xml:space="preserve"> اختبارية بغرض </w:t>
      </w:r>
      <w:r w:rsidR="00F0396A">
        <w:rPr>
          <w:rFonts w:hint="cs"/>
          <w:rtl/>
        </w:rPr>
        <w:t>إجراء</w:t>
      </w:r>
      <w:r w:rsidR="00543D7A">
        <w:rPr>
          <w:rFonts w:hint="cs"/>
          <w:rtl/>
        </w:rPr>
        <w:t xml:space="preserve"> </w:t>
      </w:r>
      <w:r w:rsidR="00A456BC">
        <w:rPr>
          <w:rFonts w:hint="cs"/>
          <w:rtl/>
        </w:rPr>
        <w:t>اختبارات أولية لواجهة المستخدم الجديدة واعتمادها.</w:t>
      </w:r>
    </w:p>
    <w:p w:rsidR="00A456BC" w:rsidRDefault="00A456BC" w:rsidP="00A456BC">
      <w:pPr>
        <w:pStyle w:val="NumberedParaAR"/>
      </w:pPr>
      <w:r>
        <w:rPr>
          <w:rFonts w:hint="cs"/>
          <w:rtl/>
        </w:rPr>
        <w:t>ورُسمت خرائط تدفق عمل زبائن الويبو في الأداة الجديدة لإدارة الإجراءات المؤسسية وثُبّتت من قبل فريق المشروع.</w:t>
      </w:r>
    </w:p>
    <w:p w:rsidR="00A456BC" w:rsidRDefault="00A456BC" w:rsidP="00C55E5A">
      <w:pPr>
        <w:pStyle w:val="NumberedParaAR"/>
      </w:pPr>
      <w:r>
        <w:rPr>
          <w:rFonts w:hint="cs"/>
          <w:rtl/>
        </w:rPr>
        <w:t>واختيرت أداة لترحيل بيانات قاع</w:t>
      </w:r>
      <w:r w:rsidR="00C55E5A">
        <w:rPr>
          <w:rFonts w:hint="cs"/>
          <w:rtl/>
        </w:rPr>
        <w:t>دة البيانات ويجري استخراج مجموعات البيانات الأولى لأغراض الاختبار.</w:t>
      </w:r>
    </w:p>
    <w:p w:rsidR="00C55E5A" w:rsidRDefault="00F0396A" w:rsidP="00C55E5A">
      <w:pPr>
        <w:pStyle w:val="NumberedParaAR"/>
      </w:pPr>
      <w:r>
        <w:rPr>
          <w:rFonts w:hint="cs"/>
          <w:rtl/>
        </w:rPr>
        <w:t>والملاحظ أ</w:t>
      </w:r>
      <w:r w:rsidR="00C55E5A">
        <w:rPr>
          <w:rFonts w:hint="cs"/>
          <w:rtl/>
        </w:rPr>
        <w:t>نّ عملية الترحيل التقني للشفرة المصدرية المُبرمجة باللغة الطبيعية جارية على نحو جيّد. وسيتم تغيير واجهة المستخدم، وربّما إعادة هندسة الإجراءات، في إطار إعادة إدراج المرحلة الثالثة من البرنامج</w:t>
      </w:r>
      <w:r w:rsidR="00612C59">
        <w:rPr>
          <w:rFonts w:hint="cs"/>
          <w:rtl/>
        </w:rPr>
        <w:t>.</w:t>
      </w:r>
    </w:p>
    <w:p w:rsidR="00612C59" w:rsidRPr="00612C59" w:rsidRDefault="00BB559F" w:rsidP="00543D7A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</w:t>
      </w:r>
      <w:r w:rsidR="00612C59" w:rsidRPr="00612C59">
        <w:rPr>
          <w:rFonts w:hint="cs"/>
          <w:b/>
          <w:bCs/>
          <w:sz w:val="40"/>
          <w:szCs w:val="40"/>
          <w:rtl/>
        </w:rPr>
        <w:t>خطة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543D7A">
        <w:rPr>
          <w:rFonts w:hint="cs"/>
          <w:b/>
          <w:bCs/>
          <w:sz w:val="40"/>
          <w:szCs w:val="40"/>
          <w:rtl/>
        </w:rPr>
        <w:t>المفصّلة</w:t>
      </w:r>
      <w:r w:rsidRPr="00612C59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ل</w:t>
      </w:r>
      <w:r w:rsidR="008E59CE">
        <w:rPr>
          <w:rFonts w:hint="cs"/>
          <w:b/>
          <w:bCs/>
          <w:sz w:val="40"/>
          <w:szCs w:val="40"/>
          <w:rtl/>
        </w:rPr>
        <w:t xml:space="preserve">تنفيذ المشروع </w:t>
      </w:r>
      <w:r w:rsidR="00612C59" w:rsidRPr="00612C59">
        <w:rPr>
          <w:b/>
          <w:bCs/>
          <w:sz w:val="40"/>
          <w:szCs w:val="40"/>
          <w:rtl/>
        </w:rPr>
        <w:t>–</w:t>
      </w:r>
      <w:r w:rsidR="00612C59" w:rsidRPr="00612C59">
        <w:rPr>
          <w:rFonts w:hint="cs"/>
          <w:b/>
          <w:bCs/>
          <w:sz w:val="40"/>
          <w:szCs w:val="40"/>
          <w:rtl/>
        </w:rPr>
        <w:t xml:space="preserve"> المرحلة الثانية</w:t>
      </w:r>
    </w:p>
    <w:p w:rsidR="00612C59" w:rsidRDefault="004835F6" w:rsidP="00543D7A">
      <w:pPr>
        <w:pStyle w:val="NumberedParaAR"/>
      </w:pPr>
      <w:r>
        <w:rPr>
          <w:rFonts w:hint="cs"/>
          <w:rtl/>
        </w:rPr>
        <w:t>استُهلت</w:t>
      </w:r>
      <w:r w:rsidRPr="004835F6">
        <w:rPr>
          <w:rtl/>
        </w:rPr>
        <w:t xml:space="preserve"> المرحلة الثانية من البرنامج في الربع الثالث من عام 2010</w:t>
      </w:r>
      <w:r>
        <w:rPr>
          <w:rtl/>
        </w:rPr>
        <w:t>. و</w:t>
      </w:r>
      <w:r w:rsidRPr="004835F6">
        <w:rPr>
          <w:rtl/>
        </w:rPr>
        <w:t>است</w:t>
      </w:r>
      <w:r>
        <w:rPr>
          <w:rFonts w:hint="cs"/>
          <w:rtl/>
        </w:rPr>
        <w:t>ُ</w:t>
      </w:r>
      <w:r>
        <w:rPr>
          <w:rtl/>
        </w:rPr>
        <w:t>كمل</w:t>
      </w:r>
      <w:r w:rsidRPr="004835F6">
        <w:rPr>
          <w:rtl/>
        </w:rPr>
        <w:t xml:space="preserve"> </w:t>
      </w:r>
      <w:r>
        <w:rPr>
          <w:rFonts w:hint="cs"/>
          <w:rtl/>
        </w:rPr>
        <w:t>فعلا</w:t>
      </w:r>
      <w:r w:rsidRPr="004835F6">
        <w:rPr>
          <w:rtl/>
        </w:rPr>
        <w:t xml:space="preserve"> </w:t>
      </w:r>
      <w:r>
        <w:rPr>
          <w:rFonts w:hint="cs"/>
          <w:rtl/>
        </w:rPr>
        <w:t xml:space="preserve">تنفيذ </w:t>
      </w:r>
      <w:r w:rsidRPr="004835F6">
        <w:rPr>
          <w:rtl/>
        </w:rPr>
        <w:t xml:space="preserve">المهام من 1 إلى 10 من </w:t>
      </w:r>
      <w:r w:rsidR="00BB559F">
        <w:rPr>
          <w:rFonts w:hint="cs"/>
          <w:rtl/>
        </w:rPr>
        <w:t>ال</w:t>
      </w:r>
      <w:r w:rsidRPr="004835F6">
        <w:rPr>
          <w:rtl/>
        </w:rPr>
        <w:t xml:space="preserve">خطة </w:t>
      </w:r>
      <w:r w:rsidR="00543D7A">
        <w:rPr>
          <w:rFonts w:hint="cs"/>
          <w:rtl/>
        </w:rPr>
        <w:t>المفصّلة</w:t>
      </w:r>
      <w:r w:rsidR="00BB559F">
        <w:rPr>
          <w:rFonts w:hint="cs"/>
          <w:rtl/>
        </w:rPr>
        <w:t xml:space="preserve"> ل</w:t>
      </w:r>
      <w:r>
        <w:rPr>
          <w:rFonts w:hint="cs"/>
          <w:rtl/>
        </w:rPr>
        <w:t xml:space="preserve">تنفيذ المشروع </w:t>
      </w:r>
      <w:r w:rsidRPr="004835F6">
        <w:rPr>
          <w:rtl/>
        </w:rPr>
        <w:t>، المبي</w:t>
      </w:r>
      <w:r>
        <w:rPr>
          <w:rFonts w:hint="cs"/>
          <w:rtl/>
        </w:rPr>
        <w:t>ّ</w:t>
      </w:r>
      <w:r>
        <w:rPr>
          <w:rtl/>
        </w:rPr>
        <w:t>نة في الشكل 1 أدناه، و</w:t>
      </w:r>
      <w:r>
        <w:rPr>
          <w:rFonts w:hint="cs"/>
          <w:rtl/>
        </w:rPr>
        <w:t xml:space="preserve">يجري </w:t>
      </w:r>
      <w:r>
        <w:rPr>
          <w:rtl/>
        </w:rPr>
        <w:t>تنفيذ المهمة 11. و</w:t>
      </w:r>
      <w:r w:rsidRPr="004835F6">
        <w:rPr>
          <w:rtl/>
        </w:rPr>
        <w:t xml:space="preserve">البرنامج </w:t>
      </w:r>
      <w:r>
        <w:rPr>
          <w:rFonts w:hint="cs"/>
          <w:rtl/>
        </w:rPr>
        <w:t xml:space="preserve">جار </w:t>
      </w:r>
      <w:r w:rsidRPr="004835F6">
        <w:rPr>
          <w:rtl/>
        </w:rPr>
        <w:t>وفق الجدول التالي:</w:t>
      </w:r>
    </w:p>
    <w:p w:rsidR="004835F6" w:rsidRDefault="004835F6" w:rsidP="004835F6">
      <w:pPr>
        <w:pStyle w:val="NumberedParaAR"/>
        <w:numPr>
          <w:ilvl w:val="0"/>
          <w:numId w:val="0"/>
        </w:numPr>
        <w:spacing w:line="240" w:lineRule="auto"/>
        <w:rPr>
          <w:rtl/>
        </w:rPr>
      </w:pPr>
      <w:r w:rsidRPr="004835F6">
        <w:rPr>
          <w:noProof/>
          <w:rtl/>
        </w:rPr>
        <w:drawing>
          <wp:inline distT="0" distB="0" distL="0" distR="0" wp14:anchorId="47A767D4" wp14:editId="7C471876">
            <wp:extent cx="5940425" cy="252595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F6" w:rsidRPr="00BB559F" w:rsidRDefault="00543D7A" w:rsidP="00543D7A">
      <w:pPr>
        <w:pStyle w:val="NumberedParaAR"/>
        <w:numPr>
          <w:ilvl w:val="0"/>
          <w:numId w:val="0"/>
        </w:numPr>
        <w:spacing w:line="200" w:lineRule="exact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الشكل 1- </w:t>
      </w:r>
      <w:r w:rsidR="002403D6">
        <w:rPr>
          <w:rFonts w:hint="cs"/>
          <w:sz w:val="28"/>
          <w:szCs w:val="28"/>
          <w:rtl/>
        </w:rPr>
        <w:t>ال</w:t>
      </w:r>
      <w:r w:rsidR="00BB559F" w:rsidRPr="00BB559F">
        <w:rPr>
          <w:rFonts w:hint="cs"/>
          <w:sz w:val="28"/>
          <w:szCs w:val="28"/>
          <w:rtl/>
        </w:rPr>
        <w:t xml:space="preserve">خطة </w:t>
      </w:r>
      <w:r>
        <w:rPr>
          <w:rFonts w:hint="cs"/>
          <w:sz w:val="28"/>
          <w:szCs w:val="28"/>
          <w:rtl/>
        </w:rPr>
        <w:t>المفصّلة</w:t>
      </w:r>
      <w:r w:rsidR="002403D6">
        <w:rPr>
          <w:rFonts w:hint="cs"/>
          <w:sz w:val="28"/>
          <w:szCs w:val="28"/>
          <w:rtl/>
        </w:rPr>
        <w:t xml:space="preserve"> لتنفيذ المشروع</w:t>
      </w:r>
      <w:r>
        <w:rPr>
          <w:rFonts w:hint="cs"/>
          <w:sz w:val="28"/>
          <w:szCs w:val="28"/>
          <w:rtl/>
        </w:rPr>
        <w:t xml:space="preserve"> في المرحلة الثانية</w:t>
      </w:r>
    </w:p>
    <w:p w:rsidR="00BB559F" w:rsidRDefault="00D52024" w:rsidP="005135A6">
      <w:pPr>
        <w:pStyle w:val="NumberedParaAR"/>
      </w:pPr>
      <w:r>
        <w:rPr>
          <w:rFonts w:hint="cs"/>
          <w:rtl/>
        </w:rPr>
        <w:t>ويتضح من المُهل الزمنية المبيّنة أعلاه أنّ أنشطة المرحلة الثانية ستركّز، أثناء ما تبقى من عام 2013، على الترحيل التقني للنظام الراهن. وسي</w:t>
      </w:r>
      <w:r w:rsidR="00AA3837">
        <w:rPr>
          <w:rFonts w:hint="cs"/>
          <w:rtl/>
        </w:rPr>
        <w:t>ُضطلع، مجددا</w:t>
      </w:r>
      <w:r w:rsidR="005135A6">
        <w:rPr>
          <w:rFonts w:hint="cs"/>
          <w:rtl/>
        </w:rPr>
        <w:t xml:space="preserve"> خلال العام</w:t>
      </w:r>
      <w:r w:rsidR="00AA3837">
        <w:rPr>
          <w:rFonts w:hint="cs"/>
          <w:rtl/>
        </w:rPr>
        <w:t>، بعمليات تكرار لشفرة البرنامج المُستحدثة</w:t>
      </w:r>
      <w:r w:rsidR="005135A6">
        <w:rPr>
          <w:rFonts w:hint="cs"/>
          <w:rtl/>
        </w:rPr>
        <w:t>، شريطة الحصول على التثبيت اللازم من فريق المشروع.</w:t>
      </w:r>
    </w:p>
    <w:p w:rsidR="00772BB8" w:rsidRDefault="005135A6" w:rsidP="00772BB8">
      <w:pPr>
        <w:pStyle w:val="NumberedParaAR"/>
      </w:pPr>
      <w:r>
        <w:rPr>
          <w:rFonts w:hint="cs"/>
          <w:rtl/>
        </w:rPr>
        <w:lastRenderedPageBreak/>
        <w:t>وينبغي الإحاطة علما بأنّ</w:t>
      </w:r>
      <w:r w:rsidR="00936400" w:rsidRPr="00936400">
        <w:rPr>
          <w:rtl/>
        </w:rPr>
        <w:t xml:space="preserve"> </w:t>
      </w:r>
      <w:r w:rsidR="00936400">
        <w:rPr>
          <w:rFonts w:hint="cs"/>
          <w:rtl/>
        </w:rPr>
        <w:t xml:space="preserve">نهج </w:t>
      </w:r>
      <w:r w:rsidR="00936400" w:rsidRPr="00936400">
        <w:rPr>
          <w:rtl/>
        </w:rPr>
        <w:t xml:space="preserve">التكافؤ الوظيفي الصارم </w:t>
      </w:r>
      <w:r w:rsidR="00936400">
        <w:rPr>
          <w:rtl/>
        </w:rPr>
        <w:t>يقتضي إعادة إد</w:t>
      </w:r>
      <w:r w:rsidR="00936400">
        <w:rPr>
          <w:rFonts w:hint="cs"/>
          <w:rtl/>
        </w:rPr>
        <w:t>راج</w:t>
      </w:r>
      <w:r w:rsidR="00936400" w:rsidRPr="00936400">
        <w:rPr>
          <w:rtl/>
        </w:rPr>
        <w:t xml:space="preserve"> </w:t>
      </w:r>
      <w:r w:rsidR="00936400">
        <w:rPr>
          <w:rFonts w:hint="cs"/>
          <w:rtl/>
        </w:rPr>
        <w:t>الم</w:t>
      </w:r>
      <w:r w:rsidR="00936400" w:rsidRPr="00936400">
        <w:rPr>
          <w:rtl/>
        </w:rPr>
        <w:t xml:space="preserve">رحلة </w:t>
      </w:r>
      <w:r w:rsidR="00936400">
        <w:rPr>
          <w:rFonts w:hint="cs"/>
          <w:rtl/>
        </w:rPr>
        <w:t>ال</w:t>
      </w:r>
      <w:r w:rsidR="00936400" w:rsidRPr="00936400">
        <w:rPr>
          <w:rtl/>
        </w:rPr>
        <w:t xml:space="preserve">ثالثة </w:t>
      </w:r>
      <w:r w:rsidR="00936400">
        <w:rPr>
          <w:rFonts w:hint="cs"/>
          <w:rtl/>
        </w:rPr>
        <w:t>من</w:t>
      </w:r>
      <w:r w:rsidR="00936400" w:rsidRPr="00936400">
        <w:rPr>
          <w:rtl/>
        </w:rPr>
        <w:t xml:space="preserve"> </w:t>
      </w:r>
      <w:r w:rsidR="00936400">
        <w:rPr>
          <w:rFonts w:hint="cs"/>
          <w:rtl/>
        </w:rPr>
        <w:t>ال</w:t>
      </w:r>
      <w:r w:rsidR="00936400">
        <w:rPr>
          <w:rtl/>
        </w:rPr>
        <w:t>برنامج</w:t>
      </w:r>
      <w:r w:rsidR="00936400">
        <w:rPr>
          <w:rFonts w:hint="cs"/>
          <w:rtl/>
        </w:rPr>
        <w:t xml:space="preserve">، كما أوصي به فعلا في الوثيقة </w:t>
      </w:r>
      <w:r w:rsidR="00F7047A" w:rsidRPr="00F7047A">
        <w:t>MM/A/45/3</w:t>
      </w:r>
      <w:r w:rsidR="00F7047A">
        <w:rPr>
          <w:rFonts w:hint="cs"/>
          <w:rtl/>
        </w:rPr>
        <w:t>. وسيُعرض، في التقرير المرحلي القادم، وصف مفص</w:t>
      </w:r>
      <w:r w:rsidR="00543D7A">
        <w:rPr>
          <w:rFonts w:hint="cs"/>
          <w:rtl/>
        </w:rPr>
        <w:t>ّ</w:t>
      </w:r>
      <w:r w:rsidR="00F7047A">
        <w:rPr>
          <w:rFonts w:hint="cs"/>
          <w:rtl/>
        </w:rPr>
        <w:t>ل للعمل الذي يتعيّن القيام به في المرحلة الثالثة، وستُكيّف تكاليف ذلك العمل وفق ميزانية المشروع الراهنة.</w:t>
      </w:r>
    </w:p>
    <w:p w:rsidR="00772BB8" w:rsidRPr="00772BB8" w:rsidRDefault="00772BB8" w:rsidP="00772BB8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772BB8">
        <w:rPr>
          <w:rFonts w:hint="cs"/>
          <w:b/>
          <w:bCs/>
          <w:sz w:val="40"/>
          <w:szCs w:val="40"/>
          <w:rtl/>
        </w:rPr>
        <w:t>الوضع المالي</w:t>
      </w:r>
    </w:p>
    <w:p w:rsidR="00772BB8" w:rsidRDefault="00772BB8" w:rsidP="00D450AA">
      <w:pPr>
        <w:pStyle w:val="NumberedParaAR"/>
      </w:pPr>
      <w:r>
        <w:rPr>
          <w:rFonts w:hint="cs"/>
          <w:rtl/>
        </w:rPr>
        <w:t xml:space="preserve">من الملاحظ أنّ </w:t>
      </w:r>
      <w:r w:rsidR="00D450AA">
        <w:rPr>
          <w:rFonts w:hint="cs"/>
          <w:rtl/>
        </w:rPr>
        <w:t xml:space="preserve">الموارد المخصّصة للبرنامج </w:t>
      </w:r>
      <w:r w:rsidR="00DA53E0">
        <w:rPr>
          <w:rFonts w:hint="cs"/>
          <w:rtl/>
        </w:rPr>
        <w:t xml:space="preserve">والبالغة إجمالا </w:t>
      </w:r>
      <w:r w:rsidRPr="00772BB8">
        <w:rPr>
          <w:rtl/>
        </w:rPr>
        <w:t xml:space="preserve">11,731 مليون فرنك سويسري </w:t>
      </w:r>
      <w:r w:rsidR="00D450AA">
        <w:rPr>
          <w:rFonts w:hint="cs"/>
          <w:rtl/>
        </w:rPr>
        <w:t xml:space="preserve">كما اعتمدتها </w:t>
      </w:r>
      <w:r w:rsidRPr="00772BB8">
        <w:rPr>
          <w:rtl/>
        </w:rPr>
        <w:t xml:space="preserve">جمعية اتحاد مدريد في دورتها الثانية والأربعين </w:t>
      </w:r>
      <w:r w:rsidR="00DA53E0">
        <w:rPr>
          <w:rFonts w:hint="cs"/>
          <w:rtl/>
        </w:rPr>
        <w:t xml:space="preserve">(الدورة العادية الثامنة عشرة) </w:t>
      </w:r>
      <w:r w:rsidRPr="00772BB8">
        <w:rPr>
          <w:rtl/>
        </w:rPr>
        <w:t xml:space="preserve">(8,731 مليون فرنك سويسري) وجمعية اتحاد لاهاي في دورتها الثامنة والعشرين </w:t>
      </w:r>
      <w:r w:rsidR="007B01C7">
        <w:rPr>
          <w:rFonts w:hint="cs"/>
          <w:rtl/>
        </w:rPr>
        <w:t xml:space="preserve">(الدورة </w:t>
      </w:r>
      <w:r w:rsidR="00D450AA">
        <w:rPr>
          <w:rFonts w:hint="cs"/>
          <w:rtl/>
        </w:rPr>
        <w:t xml:space="preserve">العادية السابعة عشرة) </w:t>
      </w:r>
      <w:r w:rsidRPr="00772BB8">
        <w:rPr>
          <w:rtl/>
        </w:rPr>
        <w:t xml:space="preserve">(3 </w:t>
      </w:r>
      <w:r w:rsidR="00D450AA">
        <w:rPr>
          <w:rFonts w:hint="cs"/>
          <w:rtl/>
        </w:rPr>
        <w:t>ملايين</w:t>
      </w:r>
      <w:r w:rsidR="00D450AA">
        <w:rPr>
          <w:rtl/>
        </w:rPr>
        <w:t xml:space="preserve"> فرنك سويسري)</w:t>
      </w:r>
      <w:r w:rsidR="00D450AA">
        <w:rPr>
          <w:rFonts w:hint="cs"/>
          <w:rtl/>
        </w:rPr>
        <w:t xml:space="preserve"> لم تُستخدم كليا لتمويل إنجاز المرحلة الأولى من البرنامج وقد تبقى ما يكفي من الموارد المتاحة</w:t>
      </w:r>
      <w:r w:rsidRPr="00772BB8">
        <w:rPr>
          <w:rtl/>
        </w:rPr>
        <w:t xml:space="preserve"> </w:t>
      </w:r>
      <w:r w:rsidR="00D450AA">
        <w:rPr>
          <w:rFonts w:hint="cs"/>
          <w:rtl/>
        </w:rPr>
        <w:t>لإنجاز المرحلة الثانية من البرنامج.</w:t>
      </w:r>
    </w:p>
    <w:p w:rsidR="00D450AA" w:rsidRDefault="00D450AA" w:rsidP="008C546D">
      <w:pPr>
        <w:pStyle w:val="NumberedParaAR"/>
      </w:pPr>
      <w:r>
        <w:rPr>
          <w:rtl/>
        </w:rPr>
        <w:t>وسي</w:t>
      </w:r>
      <w:r>
        <w:rPr>
          <w:rFonts w:hint="cs"/>
          <w:rtl/>
        </w:rPr>
        <w:t>قدم</w:t>
      </w:r>
      <w:r>
        <w:rPr>
          <w:rtl/>
        </w:rPr>
        <w:t xml:space="preserve"> التقرير المرحلي ال</w:t>
      </w:r>
      <w:r>
        <w:rPr>
          <w:rFonts w:hint="cs"/>
          <w:rtl/>
        </w:rPr>
        <w:t>مقبل</w:t>
      </w:r>
      <w:r w:rsidRPr="00D450AA">
        <w:rPr>
          <w:rtl/>
        </w:rPr>
        <w:t xml:space="preserve"> عن تحدي</w:t>
      </w:r>
      <w:r>
        <w:rPr>
          <w:rtl/>
        </w:rPr>
        <w:t xml:space="preserve">ث تكنولوجيا المعلومات اقتراحات </w:t>
      </w:r>
      <w:r>
        <w:rPr>
          <w:rFonts w:hint="cs"/>
          <w:rtl/>
        </w:rPr>
        <w:t>إ</w:t>
      </w:r>
      <w:r w:rsidRPr="00D450AA">
        <w:rPr>
          <w:rtl/>
        </w:rPr>
        <w:t xml:space="preserve">لى </w:t>
      </w:r>
      <w:r w:rsidR="008C546D">
        <w:rPr>
          <w:rFonts w:hint="cs"/>
          <w:rtl/>
        </w:rPr>
        <w:t>ال</w:t>
      </w:r>
      <w:r w:rsidRPr="00D450AA">
        <w:rPr>
          <w:rtl/>
        </w:rPr>
        <w:t xml:space="preserve">جمعية </w:t>
      </w:r>
      <w:r>
        <w:rPr>
          <w:rtl/>
        </w:rPr>
        <w:t xml:space="preserve">بشأن </w:t>
      </w:r>
      <w:r>
        <w:rPr>
          <w:rFonts w:hint="cs"/>
          <w:rtl/>
        </w:rPr>
        <w:t>الآثار المالية المترتبة على إعادة</w:t>
      </w:r>
      <w:r>
        <w:rPr>
          <w:rtl/>
        </w:rPr>
        <w:t xml:space="preserve"> إد</w:t>
      </w:r>
      <w:r>
        <w:rPr>
          <w:rFonts w:hint="cs"/>
          <w:rtl/>
        </w:rPr>
        <w:t xml:space="preserve">راج </w:t>
      </w:r>
      <w:r w:rsidR="008C546D">
        <w:rPr>
          <w:rFonts w:hint="cs"/>
          <w:rtl/>
        </w:rPr>
        <w:t>ال</w:t>
      </w:r>
      <w:r w:rsidRPr="00D450AA">
        <w:rPr>
          <w:rtl/>
        </w:rPr>
        <w:t xml:space="preserve">مرحلة </w:t>
      </w:r>
      <w:r w:rsidR="008C546D">
        <w:rPr>
          <w:rFonts w:hint="cs"/>
          <w:rtl/>
        </w:rPr>
        <w:t>ال</w:t>
      </w:r>
      <w:r w:rsidR="008C546D">
        <w:rPr>
          <w:rtl/>
        </w:rPr>
        <w:t>ثالثة</w:t>
      </w:r>
      <w:r w:rsidR="008C546D">
        <w:rPr>
          <w:rFonts w:hint="cs"/>
          <w:rtl/>
        </w:rPr>
        <w:t>.</w:t>
      </w:r>
    </w:p>
    <w:p w:rsidR="008C546D" w:rsidRDefault="008C546D" w:rsidP="008C546D">
      <w:pPr>
        <w:pStyle w:val="DecisionParaAR"/>
      </w:pPr>
      <w:r>
        <w:rPr>
          <w:rFonts w:hint="cs"/>
          <w:rtl/>
        </w:rPr>
        <w:t>إنّ الجمعية مدعوة إلى ما يلي:</w:t>
      </w:r>
    </w:p>
    <w:p w:rsidR="008C546D" w:rsidRDefault="008C546D" w:rsidP="008C546D">
      <w:pPr>
        <w:pStyle w:val="DecisionParaAR"/>
        <w:numPr>
          <w:ilvl w:val="0"/>
          <w:numId w:val="0"/>
        </w:numPr>
        <w:ind w:left="5534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الإحاطة علما بإنجاز المرحلة الأولى من البرنامج؛</w:t>
      </w:r>
    </w:p>
    <w:p w:rsidR="008C546D" w:rsidRDefault="008C546D" w:rsidP="008C546D">
      <w:pPr>
        <w:pStyle w:val="DecisionParaAR"/>
        <w:numPr>
          <w:ilvl w:val="0"/>
          <w:numId w:val="0"/>
        </w:numPr>
        <w:ind w:left="5534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والإحاطة علما بالتقدم المحرز في المرحلة الثانية من البرنامج؛</w:t>
      </w:r>
    </w:p>
    <w:p w:rsidR="008C546D" w:rsidRDefault="008C546D" w:rsidP="008C546D">
      <w:pPr>
        <w:pStyle w:val="DecisionParaAR"/>
        <w:numPr>
          <w:ilvl w:val="0"/>
          <w:numId w:val="0"/>
        </w:numPr>
        <w:ind w:left="5534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  <w:t>والإحاطة علما بأنّ التقرير المرحلي المقبل سيشمل وصفا مفص</w:t>
      </w:r>
      <w:r w:rsidR="00543D7A">
        <w:rPr>
          <w:rFonts w:hint="cs"/>
          <w:rtl/>
        </w:rPr>
        <w:t>ّ</w:t>
      </w:r>
      <w:bookmarkStart w:id="2" w:name="_GoBack"/>
      <w:bookmarkEnd w:id="2"/>
      <w:r>
        <w:rPr>
          <w:rFonts w:hint="cs"/>
          <w:rtl/>
        </w:rPr>
        <w:t>لا لأنشطة المرحلة</w:t>
      </w:r>
      <w:r w:rsidR="00C0344A">
        <w:rPr>
          <w:rFonts w:hint="cs"/>
          <w:rtl/>
        </w:rPr>
        <w:t xml:space="preserve"> الثالثة</w:t>
      </w:r>
      <w:r>
        <w:rPr>
          <w:rFonts w:hint="cs"/>
          <w:rtl/>
        </w:rPr>
        <w:t>.</w:t>
      </w:r>
    </w:p>
    <w:p w:rsidR="008C546D" w:rsidRDefault="008C546D" w:rsidP="008C546D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8C546D" w:rsidSect="00EB7752">
      <w:headerReference w:type="defaul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6A" w:rsidRDefault="00F0396A">
      <w:r>
        <w:separator/>
      </w:r>
    </w:p>
  </w:endnote>
  <w:endnote w:type="continuationSeparator" w:id="0">
    <w:p w:rsidR="00F0396A" w:rsidRDefault="00F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6A" w:rsidRDefault="00F0396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0396A" w:rsidRDefault="00F0396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6A" w:rsidRDefault="00F0396A" w:rsidP="00E1775E">
    <w:r>
      <w:t>MM/A/46/1</w:t>
    </w:r>
  </w:p>
  <w:p w:rsidR="00F0396A" w:rsidRDefault="00F0396A" w:rsidP="00D61541">
    <w:r>
      <w:fldChar w:fldCharType="begin"/>
    </w:r>
    <w:r>
      <w:instrText xml:space="preserve"> PAGE  \* MERGEFORMAT </w:instrText>
    </w:r>
    <w:r>
      <w:fldChar w:fldCharType="separate"/>
    </w:r>
    <w:r w:rsidR="00715A05">
      <w:rPr>
        <w:noProof/>
      </w:rPr>
      <w:t>5</w:t>
    </w:r>
    <w:r>
      <w:fldChar w:fldCharType="end"/>
    </w:r>
  </w:p>
  <w:p w:rsidR="00F0396A" w:rsidRDefault="00F0396A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38DD"/>
    <w:rsid w:val="00044AC0"/>
    <w:rsid w:val="00045B68"/>
    <w:rsid w:val="00045E69"/>
    <w:rsid w:val="00046EDC"/>
    <w:rsid w:val="00047497"/>
    <w:rsid w:val="000500C9"/>
    <w:rsid w:val="0005014C"/>
    <w:rsid w:val="000508E2"/>
    <w:rsid w:val="000508E7"/>
    <w:rsid w:val="00050A69"/>
    <w:rsid w:val="00050C55"/>
    <w:rsid w:val="00050F28"/>
    <w:rsid w:val="00050FB8"/>
    <w:rsid w:val="00053836"/>
    <w:rsid w:val="000540D0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93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CF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2D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1F40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1C1"/>
    <w:rsid w:val="00185718"/>
    <w:rsid w:val="001857AF"/>
    <w:rsid w:val="00185BBE"/>
    <w:rsid w:val="00186606"/>
    <w:rsid w:val="001866CE"/>
    <w:rsid w:val="00190B6D"/>
    <w:rsid w:val="00191E75"/>
    <w:rsid w:val="00192022"/>
    <w:rsid w:val="0019301D"/>
    <w:rsid w:val="0019454F"/>
    <w:rsid w:val="00194719"/>
    <w:rsid w:val="00194774"/>
    <w:rsid w:val="00195CE0"/>
    <w:rsid w:val="00196CF5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4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486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03D6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ADD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373D9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48B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C6C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C1C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5F6"/>
    <w:rsid w:val="00483D06"/>
    <w:rsid w:val="00484EDB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2E80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8B"/>
    <w:rsid w:val="004F30D6"/>
    <w:rsid w:val="004F34A5"/>
    <w:rsid w:val="004F40D6"/>
    <w:rsid w:val="004F6925"/>
    <w:rsid w:val="004F7AE0"/>
    <w:rsid w:val="005028C5"/>
    <w:rsid w:val="00503AE1"/>
    <w:rsid w:val="00503CA6"/>
    <w:rsid w:val="00503FAE"/>
    <w:rsid w:val="00504DC1"/>
    <w:rsid w:val="00505332"/>
    <w:rsid w:val="00505A57"/>
    <w:rsid w:val="00505D37"/>
    <w:rsid w:val="0051000F"/>
    <w:rsid w:val="005104E8"/>
    <w:rsid w:val="005107DB"/>
    <w:rsid w:val="00510DB0"/>
    <w:rsid w:val="005119F6"/>
    <w:rsid w:val="00511B7D"/>
    <w:rsid w:val="00511D00"/>
    <w:rsid w:val="005135A6"/>
    <w:rsid w:val="005137E7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3D7A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237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1E5D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278"/>
    <w:rsid w:val="006065BF"/>
    <w:rsid w:val="00606799"/>
    <w:rsid w:val="00607C00"/>
    <w:rsid w:val="00610430"/>
    <w:rsid w:val="00611858"/>
    <w:rsid w:val="00612C59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28B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8B6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199C"/>
    <w:rsid w:val="006D6E46"/>
    <w:rsid w:val="006D7FA8"/>
    <w:rsid w:val="006E4601"/>
    <w:rsid w:val="006E5B86"/>
    <w:rsid w:val="006E5F7D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A05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BB8"/>
    <w:rsid w:val="00772CFE"/>
    <w:rsid w:val="00772E46"/>
    <w:rsid w:val="007730CF"/>
    <w:rsid w:val="00774756"/>
    <w:rsid w:val="00774ABD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1C7"/>
    <w:rsid w:val="007B024C"/>
    <w:rsid w:val="007B161B"/>
    <w:rsid w:val="007B1C4C"/>
    <w:rsid w:val="007B2800"/>
    <w:rsid w:val="007B38F7"/>
    <w:rsid w:val="007B40D4"/>
    <w:rsid w:val="007B4511"/>
    <w:rsid w:val="007B4E5B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541B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6C7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064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46D"/>
    <w:rsid w:val="008C60C3"/>
    <w:rsid w:val="008C6C58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9CE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400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778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6BC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4D83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39E4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3837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07F7"/>
    <w:rsid w:val="00AC13B0"/>
    <w:rsid w:val="00AC22B2"/>
    <w:rsid w:val="00AC2FD0"/>
    <w:rsid w:val="00AC3DBD"/>
    <w:rsid w:val="00AC3E1F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016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59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73A7"/>
    <w:rsid w:val="00BF76BC"/>
    <w:rsid w:val="00C01804"/>
    <w:rsid w:val="00C026BC"/>
    <w:rsid w:val="00C02AD4"/>
    <w:rsid w:val="00C0344A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49BA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5FDF"/>
    <w:rsid w:val="00C5128B"/>
    <w:rsid w:val="00C51423"/>
    <w:rsid w:val="00C5294D"/>
    <w:rsid w:val="00C52F83"/>
    <w:rsid w:val="00C54C1B"/>
    <w:rsid w:val="00C54DBA"/>
    <w:rsid w:val="00C55E5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7F69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1DD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606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0AA"/>
    <w:rsid w:val="00D45D8F"/>
    <w:rsid w:val="00D50332"/>
    <w:rsid w:val="00D52024"/>
    <w:rsid w:val="00D52B95"/>
    <w:rsid w:val="00D5362B"/>
    <w:rsid w:val="00D53A09"/>
    <w:rsid w:val="00D54AAB"/>
    <w:rsid w:val="00D552F9"/>
    <w:rsid w:val="00D56EDF"/>
    <w:rsid w:val="00D56F08"/>
    <w:rsid w:val="00D57361"/>
    <w:rsid w:val="00D6051E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3E0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59E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75E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DDE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96A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47A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B4C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DEA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A_4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9C94-1C5B-4E6E-903B-A4952689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MM_A_46_AR.dotx</Template>
  <TotalTime>606</TotalTime>
  <Pages>5</Pages>
  <Words>1503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MM/A/46/1(Arabic)</vt:lpstr>
    </vt:vector>
  </TitlesOfParts>
  <Company>World Intellectual Property Organization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MM/A/46/1(Arabic)</dc:title>
  <dc:creator>من إعداد المكتب الدولي</dc:creator>
  <cp:lastModifiedBy>MERZOUK Fawzi</cp:lastModifiedBy>
  <cp:revision>36</cp:revision>
  <cp:lastPrinted>2013-06-19T09:55:00Z</cp:lastPrinted>
  <dcterms:created xsi:type="dcterms:W3CDTF">2013-06-18T06:57:00Z</dcterms:created>
  <dcterms:modified xsi:type="dcterms:W3CDTF">2013-06-19T09:55:00Z</dcterms:modified>
</cp:coreProperties>
</file>