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B931A5" w:rsidTr="00B931A5">
        <w:tc>
          <w:tcPr>
            <w:tcW w:w="4843" w:type="dxa"/>
            <w:tcBorders>
              <w:bottom w:val="single" w:sz="4" w:space="0" w:color="auto"/>
            </w:tcBorders>
            <w:shd w:val="clear" w:color="auto" w:fill="auto"/>
          </w:tcPr>
          <w:p w:rsidR="001667B6" w:rsidRPr="00B931A5" w:rsidRDefault="001667B6" w:rsidP="00B931A5">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shd w:val="clear" w:color="auto" w:fill="auto"/>
          </w:tcPr>
          <w:p w:rsidR="001667B6" w:rsidRPr="00B931A5" w:rsidRDefault="00AC5A3D" w:rsidP="009933B5">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1667B6" w:rsidRPr="00B931A5" w:rsidRDefault="001667B6" w:rsidP="001667B6">
            <w:pPr>
              <w:rPr>
                <w:b/>
                <w:bCs/>
                <w:sz w:val="40"/>
                <w:szCs w:val="40"/>
              </w:rPr>
            </w:pPr>
            <w:r w:rsidRPr="00B931A5">
              <w:rPr>
                <w:b/>
                <w:bCs/>
                <w:sz w:val="40"/>
                <w:szCs w:val="40"/>
              </w:rPr>
              <w:t>A</w:t>
            </w:r>
          </w:p>
        </w:tc>
      </w:tr>
      <w:tr w:rsidR="001667B6" w:rsidRPr="00B931A5" w:rsidTr="00B931A5">
        <w:trPr>
          <w:trHeight w:val="333"/>
        </w:trPr>
        <w:tc>
          <w:tcPr>
            <w:tcW w:w="9571" w:type="dxa"/>
            <w:gridSpan w:val="3"/>
            <w:tcBorders>
              <w:top w:val="single" w:sz="4" w:space="0" w:color="auto"/>
            </w:tcBorders>
            <w:shd w:val="clear" w:color="auto" w:fill="auto"/>
            <w:vAlign w:val="bottom"/>
          </w:tcPr>
          <w:p w:rsidR="00B6101C" w:rsidRPr="00B6101C" w:rsidRDefault="00D77493" w:rsidP="00BC4581">
            <w:pPr>
              <w:pStyle w:val="DocumentCodeAR"/>
              <w:bidi/>
            </w:pPr>
            <w:r>
              <w:t>H</w:t>
            </w:r>
            <w:r w:rsidR="00285129">
              <w:t>/A</w:t>
            </w:r>
            <w:r w:rsidR="00B6101C" w:rsidRPr="00B6101C">
              <w:t>/</w:t>
            </w:r>
            <w:r w:rsidR="00BE190A">
              <w:t>34</w:t>
            </w:r>
            <w:r w:rsidR="00F14CB9">
              <w:t>/</w:t>
            </w:r>
            <w:r w:rsidR="00BE190A">
              <w:t>3</w:t>
            </w:r>
          </w:p>
        </w:tc>
      </w:tr>
      <w:tr w:rsidR="001667B6" w:rsidRPr="00B931A5" w:rsidTr="00B931A5">
        <w:tc>
          <w:tcPr>
            <w:tcW w:w="9571" w:type="dxa"/>
            <w:gridSpan w:val="3"/>
            <w:shd w:val="clear" w:color="auto" w:fill="auto"/>
          </w:tcPr>
          <w:p w:rsidR="001667B6" w:rsidRPr="00B6101C" w:rsidRDefault="00B6101C" w:rsidP="00B931A5">
            <w:pPr>
              <w:pStyle w:val="DocumentLanguageAR"/>
              <w:bidi/>
              <w:rPr>
                <w:rtl/>
              </w:rPr>
            </w:pPr>
            <w:r w:rsidRPr="00B6101C">
              <w:rPr>
                <w:rFonts w:hint="cs"/>
                <w:rtl/>
              </w:rPr>
              <w:t xml:space="preserve">الأصل: </w:t>
            </w:r>
            <w:r w:rsidR="00F14CB9">
              <w:rPr>
                <w:rFonts w:hint="cs"/>
                <w:rtl/>
              </w:rPr>
              <w:t>بالإنكليزية</w:t>
            </w:r>
          </w:p>
        </w:tc>
      </w:tr>
      <w:tr w:rsidR="001667B6" w:rsidRPr="00B931A5" w:rsidTr="00B931A5">
        <w:tc>
          <w:tcPr>
            <w:tcW w:w="9571" w:type="dxa"/>
            <w:gridSpan w:val="3"/>
            <w:shd w:val="clear" w:color="auto" w:fill="auto"/>
          </w:tcPr>
          <w:p w:rsidR="001667B6" w:rsidRPr="00B6101C" w:rsidRDefault="00B6101C" w:rsidP="00C96C57">
            <w:pPr>
              <w:pStyle w:val="DocumentDateAR"/>
              <w:bidi/>
              <w:rPr>
                <w:rtl/>
              </w:rPr>
            </w:pPr>
            <w:r w:rsidRPr="00B6101C">
              <w:rPr>
                <w:rFonts w:hint="cs"/>
                <w:rtl/>
              </w:rPr>
              <w:t xml:space="preserve">التاريخ: </w:t>
            </w:r>
            <w:r w:rsidR="00C96C57">
              <w:rPr>
                <w:rFonts w:hint="cs"/>
                <w:rtl/>
              </w:rPr>
              <w:t>15</w:t>
            </w:r>
            <w:r w:rsidR="00BE190A">
              <w:rPr>
                <w:rFonts w:hint="cs"/>
                <w:rtl/>
              </w:rPr>
              <w:t xml:space="preserve"> </w:t>
            </w:r>
            <w:r w:rsidR="00C96C57">
              <w:rPr>
                <w:rFonts w:hint="cs"/>
                <w:rtl/>
              </w:rPr>
              <w:t>يناير</w:t>
            </w:r>
            <w:r w:rsidR="00BE190A">
              <w:rPr>
                <w:rFonts w:hint="cs"/>
                <w:rtl/>
              </w:rPr>
              <w:t xml:space="preserve"> 201</w:t>
            </w:r>
            <w:r w:rsidR="00C96C57">
              <w:rPr>
                <w:rFonts w:hint="cs"/>
                <w:rtl/>
              </w:rPr>
              <w:t>5</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Default="00840AF7" w:rsidP="00D77493">
      <w:pPr>
        <w:pStyle w:val="MeetingTitleAR"/>
        <w:bidi/>
        <w:rPr>
          <w:rtl/>
        </w:rPr>
      </w:pPr>
      <w:r>
        <w:rPr>
          <w:rFonts w:hint="cs"/>
          <w:rtl/>
        </w:rPr>
        <w:t xml:space="preserve">الاتحاد الخاص </w:t>
      </w:r>
      <w:r w:rsidR="00D77493">
        <w:rPr>
          <w:rFonts w:hint="cs"/>
          <w:rtl/>
        </w:rPr>
        <w:t>للإيداع الدولي للرسوم والنماذج الصناعية</w:t>
      </w:r>
    </w:p>
    <w:p w:rsidR="00840AF7" w:rsidRPr="00840AF7" w:rsidRDefault="00840AF7" w:rsidP="00D77493">
      <w:pPr>
        <w:pStyle w:val="NormalParaAR"/>
        <w:rPr>
          <w:rFonts w:cs="PT Bold Heading"/>
          <w:sz w:val="32"/>
          <w:szCs w:val="32"/>
          <w:rtl/>
        </w:rPr>
      </w:pPr>
      <w:r w:rsidRPr="00840AF7">
        <w:rPr>
          <w:rFonts w:cs="PT Bold Heading" w:hint="cs"/>
          <w:sz w:val="32"/>
          <w:szCs w:val="32"/>
          <w:rtl/>
        </w:rPr>
        <w:t xml:space="preserve">(اتحاد </w:t>
      </w:r>
      <w:r w:rsidR="00D77493">
        <w:rPr>
          <w:rFonts w:cs="PT Bold Heading" w:hint="cs"/>
          <w:sz w:val="32"/>
          <w:szCs w:val="32"/>
          <w:rtl/>
        </w:rPr>
        <w:t>لاهاي</w:t>
      </w:r>
      <w:r w:rsidRPr="00840AF7">
        <w:rPr>
          <w:rFonts w:cs="PT Bold Heading" w:hint="cs"/>
          <w:sz w:val="32"/>
          <w:szCs w:val="32"/>
          <w:rtl/>
        </w:rPr>
        <w:t>)</w:t>
      </w:r>
    </w:p>
    <w:p w:rsidR="002C0536" w:rsidRPr="002C0536" w:rsidRDefault="002C0536" w:rsidP="002C0536">
      <w:pPr>
        <w:pStyle w:val="NormalParaAR"/>
        <w:spacing w:after="0"/>
        <w:rPr>
          <w:rtl/>
        </w:rPr>
      </w:pPr>
    </w:p>
    <w:p w:rsidR="002C0536" w:rsidRPr="002C0536" w:rsidRDefault="002C0536" w:rsidP="002C0536">
      <w:pPr>
        <w:pStyle w:val="MeetingSessionAR"/>
        <w:bidi/>
        <w:rPr>
          <w:rtl/>
        </w:rPr>
      </w:pPr>
      <w:r>
        <w:rPr>
          <w:rFonts w:hint="cs"/>
          <w:rtl/>
        </w:rPr>
        <w:t>الجمعية</w:t>
      </w:r>
    </w:p>
    <w:p w:rsidR="001667B6" w:rsidRDefault="001667B6" w:rsidP="001667B6">
      <w:pPr>
        <w:bidi/>
        <w:spacing w:line="360" w:lineRule="exact"/>
        <w:rPr>
          <w:rFonts w:ascii="Arabic Typesetting" w:hAnsi="Arabic Typesetting" w:cs="Arabic Typesetting"/>
          <w:sz w:val="36"/>
          <w:szCs w:val="36"/>
          <w:rtl/>
        </w:rPr>
      </w:pPr>
    </w:p>
    <w:p w:rsidR="001667B6" w:rsidRPr="002C0536" w:rsidRDefault="002C0536" w:rsidP="00BE190A">
      <w:pPr>
        <w:pStyle w:val="MeetingSessionAR"/>
        <w:bidi/>
        <w:rPr>
          <w:rtl/>
        </w:rPr>
      </w:pPr>
      <w:r w:rsidRPr="002C0536">
        <w:rPr>
          <w:rtl/>
        </w:rPr>
        <w:t xml:space="preserve">الدورة </w:t>
      </w:r>
      <w:r w:rsidR="00BE190A">
        <w:rPr>
          <w:rFonts w:hint="cs"/>
          <w:rtl/>
        </w:rPr>
        <w:t xml:space="preserve">الرابعة </w:t>
      </w:r>
      <w:r w:rsidR="00D77493">
        <w:rPr>
          <w:rFonts w:hint="cs"/>
          <w:rtl/>
        </w:rPr>
        <w:t xml:space="preserve">والثلاثون </w:t>
      </w:r>
      <w:r w:rsidRPr="002C0536">
        <w:rPr>
          <w:rtl/>
        </w:rPr>
        <w:t xml:space="preserve">(الدورة </w:t>
      </w:r>
      <w:r w:rsidR="00B34684">
        <w:rPr>
          <w:rFonts w:hint="cs"/>
          <w:rtl/>
        </w:rPr>
        <w:t xml:space="preserve">الاستثنائية </w:t>
      </w:r>
      <w:r w:rsidR="00BE190A">
        <w:rPr>
          <w:rFonts w:hint="cs"/>
          <w:rtl/>
        </w:rPr>
        <w:t xml:space="preserve">الخامسة </w:t>
      </w:r>
      <w:r w:rsidR="00D77493">
        <w:rPr>
          <w:rFonts w:hint="cs"/>
          <w:rtl/>
        </w:rPr>
        <w:t>عشرة</w:t>
      </w:r>
      <w:r w:rsidRPr="002C0536">
        <w:rPr>
          <w:rtl/>
        </w:rPr>
        <w:t>)</w:t>
      </w:r>
    </w:p>
    <w:p w:rsidR="00D61541" w:rsidRPr="00D61541" w:rsidRDefault="00D61541" w:rsidP="00BE190A">
      <w:pPr>
        <w:pStyle w:val="MeetingDatesAR"/>
        <w:bidi/>
        <w:rPr>
          <w:rtl/>
        </w:rPr>
      </w:pPr>
      <w:r w:rsidRPr="00D61541">
        <w:rPr>
          <w:rFonts w:hint="cs"/>
          <w:rtl/>
        </w:rPr>
        <w:t xml:space="preserve">جنيف، من </w:t>
      </w:r>
      <w:r w:rsidR="00BE190A">
        <w:rPr>
          <w:rFonts w:hint="cs"/>
          <w:rtl/>
        </w:rPr>
        <w:t>22 إلى 30 سبتمبر 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F14CB9" w:rsidP="00FB7EC9">
      <w:pPr>
        <w:pStyle w:val="DocumentTitleAR"/>
        <w:bidi/>
        <w:rPr>
          <w:rtl/>
        </w:rPr>
      </w:pPr>
      <w:r>
        <w:rPr>
          <w:rFonts w:hint="cs"/>
          <w:rtl/>
        </w:rPr>
        <w:t>التقرير</w:t>
      </w:r>
    </w:p>
    <w:p w:rsidR="00D61541" w:rsidRPr="00D61541" w:rsidRDefault="00C96C57" w:rsidP="00BE190A">
      <w:pPr>
        <w:pStyle w:val="PreparedbyAR"/>
        <w:bidi/>
        <w:spacing w:before="240" w:after="840"/>
        <w:rPr>
          <w:rtl/>
        </w:rPr>
      </w:pPr>
      <w:r>
        <w:rPr>
          <w:rFonts w:hint="cs"/>
          <w:rtl/>
        </w:rPr>
        <w:t>الذي اعتمدته الجمعية</w:t>
      </w:r>
    </w:p>
    <w:p w:rsidR="00D61541" w:rsidRDefault="00E45A98" w:rsidP="00BE190A">
      <w:pPr>
        <w:pStyle w:val="NumberedParaAR"/>
      </w:pPr>
      <w:r>
        <w:rPr>
          <w:rFonts w:hint="cs"/>
          <w:rtl/>
        </w:rPr>
        <w:t xml:space="preserve">تناولت الجمعية البنود التالية من جدول الأعمال الموحّد (الوثيقة </w:t>
      </w:r>
      <w:r>
        <w:t>A/</w:t>
      </w:r>
      <w:r w:rsidR="00BE190A">
        <w:t>54</w:t>
      </w:r>
      <w:r>
        <w:t>/1</w:t>
      </w:r>
      <w:r>
        <w:rPr>
          <w:rFonts w:hint="cs"/>
          <w:rtl/>
        </w:rPr>
        <w:t xml:space="preserve">): 1 و3 و4 و5 و6 و12 و20 </w:t>
      </w:r>
      <w:r w:rsidR="00BE190A">
        <w:rPr>
          <w:rFonts w:hint="cs"/>
          <w:rtl/>
        </w:rPr>
        <w:t>و26 و27</w:t>
      </w:r>
      <w:r>
        <w:rPr>
          <w:rFonts w:hint="cs"/>
          <w:rtl/>
        </w:rPr>
        <w:t>.</w:t>
      </w:r>
    </w:p>
    <w:p w:rsidR="00E45A98" w:rsidRDefault="00DA76C5" w:rsidP="00465BE5">
      <w:pPr>
        <w:pStyle w:val="NumberedParaAR"/>
      </w:pPr>
      <w:r>
        <w:rPr>
          <w:rFonts w:hint="cs"/>
          <w:rtl/>
        </w:rPr>
        <w:t>وت</w:t>
      </w:r>
      <w:r w:rsidR="00E45A98">
        <w:rPr>
          <w:rFonts w:hint="cs"/>
          <w:rtl/>
        </w:rPr>
        <w:t>رد التق</w:t>
      </w:r>
      <w:r>
        <w:rPr>
          <w:rFonts w:hint="cs"/>
          <w:rtl/>
        </w:rPr>
        <w:t>ا</w:t>
      </w:r>
      <w:r w:rsidR="00E45A98">
        <w:rPr>
          <w:rFonts w:hint="cs"/>
          <w:rtl/>
        </w:rPr>
        <w:t>رير الخاص</w:t>
      </w:r>
      <w:r>
        <w:rPr>
          <w:rFonts w:hint="cs"/>
          <w:rtl/>
        </w:rPr>
        <w:t>ة</w:t>
      </w:r>
      <w:r w:rsidR="00E45A98">
        <w:rPr>
          <w:rFonts w:hint="cs"/>
          <w:rtl/>
        </w:rPr>
        <w:t xml:space="preserve"> بالبنود المذكورة، باستثناء ا</w:t>
      </w:r>
      <w:r w:rsidR="00EC3B76">
        <w:rPr>
          <w:rFonts w:hint="cs"/>
          <w:rtl/>
        </w:rPr>
        <w:t xml:space="preserve">لبند </w:t>
      </w:r>
      <w:r w:rsidR="00BE190A">
        <w:rPr>
          <w:rFonts w:hint="cs"/>
          <w:rtl/>
        </w:rPr>
        <w:t>20</w:t>
      </w:r>
      <w:r w:rsidR="00EC3B76">
        <w:rPr>
          <w:rFonts w:hint="cs"/>
          <w:rtl/>
        </w:rPr>
        <w:t xml:space="preserve">، في التقرير العام (الوثيقة </w:t>
      </w:r>
      <w:r w:rsidR="00EC3B76">
        <w:t>A/</w:t>
      </w:r>
      <w:r w:rsidR="00BE190A">
        <w:t>54</w:t>
      </w:r>
      <w:r w:rsidR="00EC3B76">
        <w:t>/</w:t>
      </w:r>
      <w:r w:rsidR="00BE190A">
        <w:t>13</w:t>
      </w:r>
      <w:r w:rsidR="00EC3B76">
        <w:rPr>
          <w:rFonts w:hint="cs"/>
          <w:rtl/>
        </w:rPr>
        <w:t>).</w:t>
      </w:r>
    </w:p>
    <w:p w:rsidR="00EC3B76" w:rsidRDefault="00EC3B76" w:rsidP="00BE190A">
      <w:pPr>
        <w:pStyle w:val="NumberedParaAR"/>
      </w:pPr>
      <w:r>
        <w:rPr>
          <w:rFonts w:hint="cs"/>
          <w:rtl/>
        </w:rPr>
        <w:t xml:space="preserve">ويرد التقرير الخاص بالبند </w:t>
      </w:r>
      <w:r w:rsidR="00BE190A">
        <w:t>20</w:t>
      </w:r>
      <w:r w:rsidR="00BE190A">
        <w:rPr>
          <w:rFonts w:hint="cs"/>
          <w:rtl/>
        </w:rPr>
        <w:t xml:space="preserve"> </w:t>
      </w:r>
      <w:r>
        <w:rPr>
          <w:rFonts w:hint="cs"/>
          <w:rtl/>
        </w:rPr>
        <w:t>في هذه الوثيقة.</w:t>
      </w:r>
    </w:p>
    <w:p w:rsidR="001667B6" w:rsidRDefault="005C6486" w:rsidP="000E5B1F">
      <w:pPr>
        <w:pStyle w:val="NumberedParaAR"/>
      </w:pPr>
      <w:r>
        <w:rPr>
          <w:rFonts w:hint="cs"/>
          <w:rtl/>
          <w:lang w:bidi="ar-EG"/>
        </w:rPr>
        <w:t xml:space="preserve">وفي غياب الرئيس وعدم تفرّغ نائبي الرئيس، تولّت السيدة </w:t>
      </w:r>
      <w:r w:rsidR="000E5B1F" w:rsidRPr="0058713B">
        <w:rPr>
          <w:rtl/>
        </w:rPr>
        <w:t xml:space="preserve">غريس </w:t>
      </w:r>
      <w:proofErr w:type="spellStart"/>
      <w:r w:rsidR="000E5B1F" w:rsidRPr="0058713B">
        <w:rPr>
          <w:rtl/>
        </w:rPr>
        <w:t>إساهاك</w:t>
      </w:r>
      <w:proofErr w:type="spellEnd"/>
      <w:r w:rsidR="000E5B1F" w:rsidRPr="0058713B">
        <w:rPr>
          <w:rtl/>
        </w:rPr>
        <w:t xml:space="preserve"> </w:t>
      </w:r>
      <w:r>
        <w:rPr>
          <w:rFonts w:hint="cs"/>
          <w:rtl/>
          <w:lang w:bidi="ar-EG"/>
        </w:rPr>
        <w:t>(غانا) رئاسة الاجتماع بصفة مؤقتة.</w:t>
      </w:r>
    </w:p>
    <w:p w:rsidR="00BE190A" w:rsidRDefault="005521EE" w:rsidP="00BE190A">
      <w:pPr>
        <w:pStyle w:val="NormalParaAR"/>
        <w:keepNext/>
        <w:rPr>
          <w:sz w:val="40"/>
          <w:szCs w:val="40"/>
          <w:rtl/>
        </w:rPr>
      </w:pPr>
      <w:r>
        <w:rPr>
          <w:sz w:val="40"/>
          <w:szCs w:val="40"/>
          <w:rtl/>
        </w:rPr>
        <w:br w:type="page"/>
      </w:r>
      <w:r w:rsidRPr="00E340F1">
        <w:rPr>
          <w:rFonts w:hint="cs"/>
          <w:sz w:val="40"/>
          <w:szCs w:val="40"/>
          <w:rtl/>
        </w:rPr>
        <w:lastRenderedPageBreak/>
        <w:t xml:space="preserve">البند </w:t>
      </w:r>
      <w:r w:rsidR="00BE190A">
        <w:rPr>
          <w:rFonts w:hint="cs"/>
          <w:sz w:val="40"/>
          <w:szCs w:val="40"/>
          <w:rtl/>
        </w:rPr>
        <w:t>20</w:t>
      </w:r>
      <w:r w:rsidR="00BE190A" w:rsidRPr="00E340F1">
        <w:rPr>
          <w:rFonts w:hint="cs"/>
          <w:sz w:val="40"/>
          <w:szCs w:val="40"/>
          <w:rtl/>
        </w:rPr>
        <w:t xml:space="preserve"> </w:t>
      </w:r>
      <w:r w:rsidRPr="00E340F1">
        <w:rPr>
          <w:rFonts w:hint="cs"/>
          <w:sz w:val="40"/>
          <w:szCs w:val="40"/>
          <w:rtl/>
        </w:rPr>
        <w:t xml:space="preserve">من جدول الأعمال الموحد: </w:t>
      </w:r>
    </w:p>
    <w:p w:rsidR="005521EE" w:rsidRPr="00E340F1" w:rsidRDefault="005521EE" w:rsidP="00BE190A">
      <w:pPr>
        <w:pStyle w:val="NormalParaAR"/>
        <w:keepNext/>
        <w:rPr>
          <w:sz w:val="40"/>
          <w:szCs w:val="40"/>
          <w:rtl/>
        </w:rPr>
      </w:pPr>
      <w:r w:rsidRPr="00E340F1">
        <w:rPr>
          <w:rFonts w:hint="cs"/>
          <w:sz w:val="40"/>
          <w:szCs w:val="40"/>
          <w:rtl/>
        </w:rPr>
        <w:t>نظام لاهاي</w:t>
      </w:r>
    </w:p>
    <w:p w:rsidR="00120720" w:rsidRDefault="00120720" w:rsidP="00775989">
      <w:pPr>
        <w:pStyle w:val="NumberedParaAR"/>
        <w:rPr>
          <w:rtl/>
        </w:rPr>
      </w:pPr>
      <w:r>
        <w:rPr>
          <w:rtl/>
        </w:rPr>
        <w:t>استندت المناقشات</w:t>
      </w:r>
      <w:r>
        <w:t xml:space="preserve"> </w:t>
      </w:r>
      <w:r>
        <w:rPr>
          <w:rFonts w:hint="cs"/>
          <w:rtl/>
        </w:rPr>
        <w:t>إلى ال</w:t>
      </w:r>
      <w:r>
        <w:rPr>
          <w:rtl/>
        </w:rPr>
        <w:t>وث</w:t>
      </w:r>
      <w:r>
        <w:rPr>
          <w:rFonts w:hint="cs"/>
          <w:rtl/>
        </w:rPr>
        <w:t>يقتين </w:t>
      </w:r>
      <w:r w:rsidRPr="001E6435">
        <w:t>H/A/34/1</w:t>
      </w:r>
      <w:r>
        <w:rPr>
          <w:rFonts w:hint="cs"/>
          <w:rtl/>
        </w:rPr>
        <w:t xml:space="preserve"> و</w:t>
      </w:r>
      <w:r w:rsidRPr="001E6435">
        <w:t>H/A/34/</w:t>
      </w:r>
      <w:r>
        <w:t>2</w:t>
      </w:r>
      <w:r>
        <w:rPr>
          <w:rFonts w:hint="cs"/>
          <w:rtl/>
        </w:rPr>
        <w:t>.</w:t>
      </w:r>
    </w:p>
    <w:p w:rsidR="00120720" w:rsidRDefault="00120720" w:rsidP="00690D11">
      <w:pPr>
        <w:pStyle w:val="NumberedParaAR"/>
        <w:rPr>
          <w:rtl/>
        </w:rPr>
      </w:pPr>
      <w:r>
        <w:rPr>
          <w:rFonts w:hint="cs"/>
          <w:rtl/>
        </w:rPr>
        <w:t>و</w:t>
      </w:r>
      <w:r>
        <w:rPr>
          <w:rtl/>
        </w:rPr>
        <w:t>افتتح الرئيس الاجتماع ورحب ب</w:t>
      </w:r>
      <w:r w:rsidR="00690D11">
        <w:rPr>
          <w:rFonts w:hint="cs"/>
          <w:rtl/>
        </w:rPr>
        <w:t>ال</w:t>
      </w:r>
      <w:r>
        <w:rPr>
          <w:rtl/>
        </w:rPr>
        <w:t xml:space="preserve">وفود </w:t>
      </w:r>
      <w:r w:rsidR="00690D11">
        <w:rPr>
          <w:rFonts w:hint="cs"/>
          <w:rtl/>
        </w:rPr>
        <w:t xml:space="preserve">إلى </w:t>
      </w:r>
      <w:r>
        <w:rPr>
          <w:rtl/>
        </w:rPr>
        <w:t>اتحاد لاهاي</w:t>
      </w:r>
      <w:r>
        <w:t>.</w:t>
      </w:r>
    </w:p>
    <w:p w:rsidR="00120720" w:rsidRDefault="00120720" w:rsidP="00775989">
      <w:pPr>
        <w:pStyle w:val="NumberedParaAR"/>
        <w:rPr>
          <w:rtl/>
        </w:rPr>
      </w:pPr>
      <w:r>
        <w:rPr>
          <w:rFonts w:hint="cs"/>
          <w:rtl/>
        </w:rPr>
        <w:t>و</w:t>
      </w:r>
      <w:r>
        <w:rPr>
          <w:rtl/>
        </w:rPr>
        <w:t xml:space="preserve">بناء على دعوة من الرئيس، أشارت الأمانة إلى انضمام بروني دار السلام وجمهورية كوريا </w:t>
      </w:r>
      <w:r>
        <w:rPr>
          <w:rFonts w:hint="cs"/>
          <w:rtl/>
        </w:rPr>
        <w:t xml:space="preserve">إلى وثيقة </w:t>
      </w:r>
      <w:r>
        <w:rPr>
          <w:rtl/>
        </w:rPr>
        <w:t xml:space="preserve">1999، ورحب </w:t>
      </w:r>
      <w:r>
        <w:rPr>
          <w:rFonts w:hint="cs"/>
          <w:rtl/>
        </w:rPr>
        <w:t>ب</w:t>
      </w:r>
      <w:r>
        <w:rPr>
          <w:rtl/>
        </w:rPr>
        <w:t>مشاركتهم</w:t>
      </w:r>
      <w:r>
        <w:rPr>
          <w:rFonts w:hint="cs"/>
          <w:rtl/>
        </w:rPr>
        <w:t>ا</w:t>
      </w:r>
      <w:r>
        <w:rPr>
          <w:rtl/>
        </w:rPr>
        <w:t xml:space="preserve"> لأول مرة كعض</w:t>
      </w:r>
      <w:r>
        <w:rPr>
          <w:rFonts w:hint="cs"/>
          <w:rtl/>
        </w:rPr>
        <w:t>وين</w:t>
      </w:r>
      <w:r>
        <w:rPr>
          <w:rtl/>
        </w:rPr>
        <w:t xml:space="preserve"> في جمعية اتحاد لاهاي. </w:t>
      </w:r>
      <w:r>
        <w:rPr>
          <w:rFonts w:hint="cs"/>
          <w:rtl/>
        </w:rPr>
        <w:t>وذكرت</w:t>
      </w:r>
      <w:r>
        <w:rPr>
          <w:rtl/>
        </w:rPr>
        <w:t xml:space="preserve"> الأمانة كذلك </w:t>
      </w:r>
      <w:r>
        <w:rPr>
          <w:rFonts w:hint="cs"/>
          <w:rtl/>
        </w:rPr>
        <w:t>بيانات</w:t>
      </w:r>
      <w:r>
        <w:rPr>
          <w:rtl/>
        </w:rPr>
        <w:t xml:space="preserve"> عدد من الوفود </w:t>
      </w:r>
      <w:r>
        <w:rPr>
          <w:rFonts w:hint="cs"/>
          <w:rtl/>
        </w:rPr>
        <w:t>أثناء</w:t>
      </w:r>
      <w:r>
        <w:rPr>
          <w:rtl/>
        </w:rPr>
        <w:t xml:space="preserve"> الجمعيات </w:t>
      </w:r>
      <w:r>
        <w:rPr>
          <w:rFonts w:hint="cs"/>
          <w:rtl/>
        </w:rPr>
        <w:t>التي أبدت نيتها في الانضمام إلى</w:t>
      </w:r>
      <w:r>
        <w:rPr>
          <w:rtl/>
        </w:rPr>
        <w:t xml:space="preserve"> </w:t>
      </w:r>
      <w:r>
        <w:rPr>
          <w:rFonts w:hint="cs"/>
          <w:rtl/>
        </w:rPr>
        <w:t>اتحاد</w:t>
      </w:r>
      <w:r>
        <w:rPr>
          <w:rtl/>
        </w:rPr>
        <w:t xml:space="preserve"> </w:t>
      </w:r>
      <w:r>
        <w:rPr>
          <w:rFonts w:hint="cs"/>
          <w:rtl/>
        </w:rPr>
        <w:t>لاهاي</w:t>
      </w:r>
      <w:r>
        <w:rPr>
          <w:rtl/>
        </w:rPr>
        <w:t xml:space="preserve">. </w:t>
      </w:r>
      <w:r>
        <w:rPr>
          <w:rFonts w:hint="cs"/>
          <w:rtl/>
        </w:rPr>
        <w:t>ولتعزيز</w:t>
      </w:r>
      <w:r>
        <w:rPr>
          <w:rtl/>
        </w:rPr>
        <w:t xml:space="preserve"> </w:t>
      </w:r>
      <w:r>
        <w:rPr>
          <w:rFonts w:hint="cs"/>
          <w:rtl/>
        </w:rPr>
        <w:t>التوسع</w:t>
      </w:r>
      <w:r>
        <w:rPr>
          <w:rtl/>
        </w:rPr>
        <w:t xml:space="preserve"> </w:t>
      </w:r>
      <w:r>
        <w:rPr>
          <w:rFonts w:hint="cs"/>
          <w:rtl/>
        </w:rPr>
        <w:t>الجغرافي</w:t>
      </w:r>
      <w:r>
        <w:rPr>
          <w:rtl/>
        </w:rPr>
        <w:t xml:space="preserve"> </w:t>
      </w:r>
      <w:r>
        <w:rPr>
          <w:rFonts w:hint="cs"/>
          <w:rtl/>
        </w:rPr>
        <w:t>لنظام</w:t>
      </w:r>
      <w:r>
        <w:rPr>
          <w:rtl/>
        </w:rPr>
        <w:t xml:space="preserve"> </w:t>
      </w:r>
      <w:r>
        <w:rPr>
          <w:rFonts w:hint="cs"/>
          <w:rtl/>
        </w:rPr>
        <w:t>لاهاي</w:t>
      </w:r>
      <w:r>
        <w:rPr>
          <w:rtl/>
        </w:rPr>
        <w:t xml:space="preserve"> </w:t>
      </w:r>
      <w:r>
        <w:rPr>
          <w:rFonts w:hint="cs"/>
          <w:rtl/>
        </w:rPr>
        <w:t>واستدامة</w:t>
      </w:r>
      <w:r>
        <w:rPr>
          <w:rtl/>
        </w:rPr>
        <w:t xml:space="preserve"> </w:t>
      </w:r>
      <w:r>
        <w:rPr>
          <w:rFonts w:hint="cs"/>
          <w:rtl/>
        </w:rPr>
        <w:t>النمو</w:t>
      </w:r>
      <w:r>
        <w:rPr>
          <w:rtl/>
        </w:rPr>
        <w:t xml:space="preserve"> </w:t>
      </w:r>
      <w:r>
        <w:rPr>
          <w:rFonts w:hint="cs"/>
          <w:rtl/>
        </w:rPr>
        <w:t>في</w:t>
      </w:r>
      <w:r>
        <w:rPr>
          <w:rtl/>
        </w:rPr>
        <w:t xml:space="preserve"> </w:t>
      </w:r>
      <w:r>
        <w:rPr>
          <w:rFonts w:hint="cs"/>
          <w:rtl/>
        </w:rPr>
        <w:t>عدد الإيداعات،</w:t>
      </w:r>
      <w:r>
        <w:rPr>
          <w:rtl/>
        </w:rPr>
        <w:t xml:space="preserve"> </w:t>
      </w:r>
      <w:r>
        <w:rPr>
          <w:rFonts w:hint="cs"/>
          <w:rtl/>
        </w:rPr>
        <w:t>من</w:t>
      </w:r>
      <w:r>
        <w:rPr>
          <w:rtl/>
        </w:rPr>
        <w:t xml:space="preserve"> </w:t>
      </w:r>
      <w:r>
        <w:rPr>
          <w:rFonts w:hint="cs"/>
          <w:rtl/>
        </w:rPr>
        <w:t>الضروري</w:t>
      </w:r>
      <w:r>
        <w:rPr>
          <w:rtl/>
        </w:rPr>
        <w:t xml:space="preserve"> </w:t>
      </w:r>
      <w:r>
        <w:rPr>
          <w:rFonts w:hint="cs"/>
          <w:rtl/>
        </w:rPr>
        <w:t>تطوير كلاّ</w:t>
      </w:r>
      <w:r>
        <w:rPr>
          <w:rtl/>
        </w:rPr>
        <w:t xml:space="preserve"> </w:t>
      </w:r>
      <w:r>
        <w:rPr>
          <w:rFonts w:hint="cs"/>
          <w:rtl/>
        </w:rPr>
        <w:t>من</w:t>
      </w:r>
      <w:r>
        <w:rPr>
          <w:rtl/>
        </w:rPr>
        <w:t xml:space="preserve"> </w:t>
      </w:r>
      <w:r>
        <w:rPr>
          <w:rFonts w:hint="cs"/>
          <w:rtl/>
        </w:rPr>
        <w:t>إطار</w:t>
      </w:r>
      <w:r>
        <w:rPr>
          <w:rtl/>
        </w:rPr>
        <w:t xml:space="preserve"> </w:t>
      </w:r>
      <w:r>
        <w:rPr>
          <w:rFonts w:hint="cs"/>
          <w:rtl/>
        </w:rPr>
        <w:t>تكنولوجيا</w:t>
      </w:r>
      <w:r>
        <w:rPr>
          <w:rtl/>
        </w:rPr>
        <w:t xml:space="preserve"> </w:t>
      </w:r>
      <w:r>
        <w:rPr>
          <w:rFonts w:hint="cs"/>
          <w:rtl/>
        </w:rPr>
        <w:t>المعلومات</w:t>
      </w:r>
      <w:r>
        <w:rPr>
          <w:rtl/>
        </w:rPr>
        <w:t xml:space="preserve"> </w:t>
      </w:r>
      <w:r>
        <w:rPr>
          <w:rFonts w:hint="cs"/>
          <w:rtl/>
        </w:rPr>
        <w:t>والإطار</w:t>
      </w:r>
      <w:r>
        <w:rPr>
          <w:rtl/>
        </w:rPr>
        <w:t xml:space="preserve"> </w:t>
      </w:r>
      <w:r>
        <w:rPr>
          <w:rFonts w:hint="cs"/>
          <w:rtl/>
        </w:rPr>
        <w:t>القانوني</w:t>
      </w:r>
      <w:r>
        <w:rPr>
          <w:rtl/>
        </w:rPr>
        <w:t xml:space="preserve"> </w:t>
      </w:r>
      <w:r>
        <w:rPr>
          <w:rFonts w:hint="cs"/>
          <w:rtl/>
        </w:rPr>
        <w:t>لنظام</w:t>
      </w:r>
      <w:r>
        <w:rPr>
          <w:rtl/>
        </w:rPr>
        <w:t xml:space="preserve"> </w:t>
      </w:r>
      <w:r>
        <w:rPr>
          <w:rFonts w:hint="cs"/>
          <w:rtl/>
        </w:rPr>
        <w:t>لاهاي</w:t>
      </w:r>
      <w:r>
        <w:rPr>
          <w:rtl/>
        </w:rPr>
        <w:t xml:space="preserve"> </w:t>
      </w:r>
      <w:r>
        <w:rPr>
          <w:rFonts w:hint="cs"/>
          <w:rtl/>
        </w:rPr>
        <w:t>بشكل</w:t>
      </w:r>
      <w:r>
        <w:rPr>
          <w:rtl/>
        </w:rPr>
        <w:t xml:space="preserve"> </w:t>
      </w:r>
      <w:r>
        <w:rPr>
          <w:rFonts w:hint="cs"/>
          <w:rtl/>
        </w:rPr>
        <w:t>منسق</w:t>
      </w:r>
      <w:r>
        <w:rPr>
          <w:rtl/>
        </w:rPr>
        <w:t xml:space="preserve"> </w:t>
      </w:r>
      <w:r>
        <w:rPr>
          <w:rFonts w:hint="cs"/>
          <w:rtl/>
        </w:rPr>
        <w:t>ومتكامل</w:t>
      </w:r>
      <w:r>
        <w:rPr>
          <w:rtl/>
        </w:rPr>
        <w:t xml:space="preserve">. </w:t>
      </w:r>
      <w:r>
        <w:rPr>
          <w:rFonts w:hint="cs"/>
          <w:rtl/>
        </w:rPr>
        <w:t>وترمي الوثيقتان</w:t>
      </w:r>
      <w:r>
        <w:rPr>
          <w:rtl/>
        </w:rPr>
        <w:t xml:space="preserve"> </w:t>
      </w:r>
      <w:r>
        <w:rPr>
          <w:rFonts w:hint="cs"/>
          <w:rtl/>
        </w:rPr>
        <w:t>المعروضتان أمام الجمعية</w:t>
      </w:r>
      <w:r>
        <w:rPr>
          <w:rtl/>
        </w:rPr>
        <w:t xml:space="preserve"> </w:t>
      </w:r>
      <w:r>
        <w:rPr>
          <w:rFonts w:hint="cs"/>
          <w:rtl/>
        </w:rPr>
        <w:t>إلى</w:t>
      </w:r>
      <w:r>
        <w:rPr>
          <w:rtl/>
        </w:rPr>
        <w:t xml:space="preserve"> </w:t>
      </w:r>
      <w:r>
        <w:rPr>
          <w:rFonts w:hint="cs"/>
          <w:rtl/>
        </w:rPr>
        <w:t>تحقيق</w:t>
      </w:r>
      <w:r>
        <w:rPr>
          <w:rtl/>
        </w:rPr>
        <w:t xml:space="preserve"> </w:t>
      </w:r>
      <w:r>
        <w:rPr>
          <w:rFonts w:hint="cs"/>
          <w:rtl/>
        </w:rPr>
        <w:t xml:space="preserve">ذلك </w:t>
      </w:r>
      <w:r>
        <w:rPr>
          <w:rtl/>
        </w:rPr>
        <w:t>الهدف</w:t>
      </w:r>
      <w:r>
        <w:rPr>
          <w:rFonts w:hint="cs"/>
          <w:rtl/>
        </w:rPr>
        <w:t>.</w:t>
      </w:r>
    </w:p>
    <w:p w:rsidR="00120720" w:rsidRDefault="00120720" w:rsidP="00867950">
      <w:pPr>
        <w:pStyle w:val="NumberedParaAR"/>
        <w:rPr>
          <w:rtl/>
        </w:rPr>
      </w:pPr>
      <w:r>
        <w:rPr>
          <w:rFonts w:hint="cs"/>
          <w:rtl/>
        </w:rPr>
        <w:t>وأشاد</w:t>
      </w:r>
      <w:r>
        <w:rPr>
          <w:rtl/>
        </w:rPr>
        <w:t xml:space="preserve"> وفد الصين</w:t>
      </w:r>
      <w:r>
        <w:rPr>
          <w:rFonts w:hint="cs"/>
          <w:rtl/>
        </w:rPr>
        <w:t xml:space="preserve"> </w:t>
      </w:r>
      <w:r w:rsidR="00867950">
        <w:rPr>
          <w:rFonts w:hint="cs"/>
          <w:rtl/>
        </w:rPr>
        <w:t xml:space="preserve">بالدور </w:t>
      </w:r>
      <w:r>
        <w:rPr>
          <w:rtl/>
        </w:rPr>
        <w:t>ا</w:t>
      </w:r>
      <w:r>
        <w:rPr>
          <w:rFonts w:hint="cs"/>
          <w:rtl/>
        </w:rPr>
        <w:t>لا</w:t>
      </w:r>
      <w:r w:rsidR="00867950">
        <w:rPr>
          <w:rtl/>
        </w:rPr>
        <w:t>ستباقي</w:t>
      </w:r>
      <w:r>
        <w:rPr>
          <w:rFonts w:hint="cs"/>
          <w:rtl/>
        </w:rPr>
        <w:t xml:space="preserve"> ل</w:t>
      </w:r>
      <w:r>
        <w:rPr>
          <w:rtl/>
        </w:rPr>
        <w:t xml:space="preserve">لمكتب الدولي </w:t>
      </w:r>
      <w:r>
        <w:rPr>
          <w:rFonts w:hint="cs"/>
          <w:rtl/>
        </w:rPr>
        <w:t xml:space="preserve">من أجل </w:t>
      </w:r>
      <w:r>
        <w:rPr>
          <w:rtl/>
        </w:rPr>
        <w:t>تطوير نظام لاهاي</w:t>
      </w:r>
      <w:r>
        <w:rPr>
          <w:rFonts w:hint="cs"/>
          <w:rtl/>
        </w:rPr>
        <w:t xml:space="preserve"> م</w:t>
      </w:r>
      <w:r>
        <w:rPr>
          <w:rtl/>
        </w:rPr>
        <w:t>ش</w:t>
      </w:r>
      <w:r>
        <w:rPr>
          <w:rFonts w:hint="cs"/>
          <w:rtl/>
        </w:rPr>
        <w:t>ي</w:t>
      </w:r>
      <w:r>
        <w:rPr>
          <w:rtl/>
        </w:rPr>
        <w:t>ر</w:t>
      </w:r>
      <w:r>
        <w:rPr>
          <w:rFonts w:hint="cs"/>
          <w:rtl/>
        </w:rPr>
        <w:t>ا</w:t>
      </w:r>
      <w:r>
        <w:rPr>
          <w:rtl/>
        </w:rPr>
        <w:t xml:space="preserve"> إلى أن الصين مستعدة للمساهمة في مواصلة تحسين نظام لاهاي لجعله أكثر</w:t>
      </w:r>
      <w:r>
        <w:rPr>
          <w:rFonts w:hint="cs"/>
          <w:rtl/>
        </w:rPr>
        <w:t xml:space="preserve"> يسرا</w:t>
      </w:r>
      <w:r>
        <w:rPr>
          <w:rtl/>
        </w:rPr>
        <w:t xml:space="preserve"> ومر</w:t>
      </w:r>
      <w:r>
        <w:rPr>
          <w:rFonts w:hint="cs"/>
          <w:rtl/>
        </w:rPr>
        <w:t>و</w:t>
      </w:r>
      <w:r>
        <w:rPr>
          <w:rtl/>
        </w:rPr>
        <w:t>نة</w:t>
      </w:r>
      <w:r>
        <w:rPr>
          <w:rFonts w:hint="cs"/>
          <w:rtl/>
        </w:rPr>
        <w:t xml:space="preserve"> للمستخدمين</w:t>
      </w:r>
      <w:r>
        <w:rPr>
          <w:rtl/>
        </w:rPr>
        <w:t xml:space="preserve">. وأوضح أن الإجراءات الداخلية جارية </w:t>
      </w:r>
      <w:r w:rsidR="00AF232B">
        <w:rPr>
          <w:rFonts w:hint="cs"/>
          <w:rtl/>
        </w:rPr>
        <w:t xml:space="preserve">جيدا </w:t>
      </w:r>
      <w:r>
        <w:rPr>
          <w:rtl/>
        </w:rPr>
        <w:t xml:space="preserve">لانضمام الصين </w:t>
      </w:r>
      <w:r>
        <w:rPr>
          <w:rFonts w:hint="cs"/>
          <w:rtl/>
        </w:rPr>
        <w:t>إلى وثيقة</w:t>
      </w:r>
      <w:r>
        <w:rPr>
          <w:rFonts w:hint="eastAsia"/>
          <w:rtl/>
        </w:rPr>
        <w:t> </w:t>
      </w:r>
      <w:r>
        <w:rPr>
          <w:rtl/>
        </w:rPr>
        <w:t>1999</w:t>
      </w:r>
      <w:r>
        <w:rPr>
          <w:rFonts w:hint="cs"/>
          <w:rtl/>
        </w:rPr>
        <w:t>.</w:t>
      </w:r>
    </w:p>
    <w:p w:rsidR="00120720" w:rsidRDefault="00120720" w:rsidP="00775989">
      <w:pPr>
        <w:pStyle w:val="NumberedParaAR"/>
        <w:rPr>
          <w:rtl/>
        </w:rPr>
      </w:pPr>
      <w:r>
        <w:rPr>
          <w:rFonts w:hint="cs"/>
          <w:rtl/>
        </w:rPr>
        <w:t>و</w:t>
      </w:r>
      <w:r>
        <w:rPr>
          <w:rtl/>
        </w:rPr>
        <w:t xml:space="preserve">أوضح وفد اليابان أن </w:t>
      </w:r>
      <w:r>
        <w:rPr>
          <w:rFonts w:hint="cs"/>
          <w:rtl/>
        </w:rPr>
        <w:t>بلده، ب</w:t>
      </w:r>
      <w:r>
        <w:rPr>
          <w:rtl/>
        </w:rPr>
        <w:t>دعم قو</w:t>
      </w:r>
      <w:r>
        <w:rPr>
          <w:rFonts w:hint="cs"/>
          <w:rtl/>
        </w:rPr>
        <w:t>ي م</w:t>
      </w:r>
      <w:r>
        <w:rPr>
          <w:rtl/>
        </w:rPr>
        <w:t xml:space="preserve">ن الويبو، </w:t>
      </w:r>
      <w:r>
        <w:rPr>
          <w:rFonts w:hint="cs"/>
          <w:rtl/>
        </w:rPr>
        <w:t xml:space="preserve">يعمل على </w:t>
      </w:r>
      <w:r>
        <w:rPr>
          <w:rtl/>
        </w:rPr>
        <w:t>مبادرات</w:t>
      </w:r>
      <w:r>
        <w:rPr>
          <w:rFonts w:hint="cs"/>
          <w:rtl/>
        </w:rPr>
        <w:t xml:space="preserve"> </w:t>
      </w:r>
      <w:r>
        <w:rPr>
          <w:rtl/>
        </w:rPr>
        <w:t>وطنية تمك</w:t>
      </w:r>
      <w:r>
        <w:rPr>
          <w:rFonts w:hint="cs"/>
          <w:rtl/>
        </w:rPr>
        <w:t>نه</w:t>
      </w:r>
      <w:r>
        <w:rPr>
          <w:rtl/>
        </w:rPr>
        <w:t xml:space="preserve"> </w:t>
      </w:r>
      <w:r>
        <w:rPr>
          <w:rFonts w:hint="cs"/>
          <w:rtl/>
        </w:rPr>
        <w:t xml:space="preserve">من </w:t>
      </w:r>
      <w:r>
        <w:rPr>
          <w:rtl/>
        </w:rPr>
        <w:t>ا</w:t>
      </w:r>
      <w:r>
        <w:rPr>
          <w:rFonts w:hint="cs"/>
          <w:rtl/>
        </w:rPr>
        <w:t>لا</w:t>
      </w:r>
      <w:r>
        <w:rPr>
          <w:rtl/>
        </w:rPr>
        <w:t>نضما</w:t>
      </w:r>
      <w:r>
        <w:rPr>
          <w:rFonts w:hint="cs"/>
          <w:rtl/>
        </w:rPr>
        <w:t>م</w:t>
      </w:r>
      <w:r>
        <w:rPr>
          <w:rtl/>
        </w:rPr>
        <w:t xml:space="preserve"> إلى وثيقة 1999 لاتفاق لاهاي بهدف قبول أول تسجيل دولي </w:t>
      </w:r>
      <w:r>
        <w:rPr>
          <w:rFonts w:hint="cs"/>
          <w:rtl/>
        </w:rPr>
        <w:t>ي</w:t>
      </w:r>
      <w:r>
        <w:rPr>
          <w:rtl/>
        </w:rPr>
        <w:t>عي</w:t>
      </w:r>
      <w:r>
        <w:rPr>
          <w:rFonts w:hint="cs"/>
          <w:rtl/>
        </w:rPr>
        <w:t>ّ</w:t>
      </w:r>
      <w:r>
        <w:rPr>
          <w:rtl/>
        </w:rPr>
        <w:t>ن اليابان في ربيع 2015. و</w:t>
      </w:r>
      <w:r>
        <w:rPr>
          <w:rFonts w:hint="cs"/>
          <w:rtl/>
        </w:rPr>
        <w:t>يرى أ</w:t>
      </w:r>
      <w:r>
        <w:rPr>
          <w:rtl/>
        </w:rPr>
        <w:t xml:space="preserve">نه من </w:t>
      </w:r>
      <w:r>
        <w:rPr>
          <w:rFonts w:hint="cs"/>
          <w:rtl/>
        </w:rPr>
        <w:t>المهم بمكان</w:t>
      </w:r>
      <w:r>
        <w:rPr>
          <w:rtl/>
        </w:rPr>
        <w:t xml:space="preserve"> مواصلة تحسين نظام لاهاي من حيث الجوانب القانونية والتشغيلية، وذلك لمساعدة </w:t>
      </w:r>
      <w:r>
        <w:rPr>
          <w:rFonts w:hint="cs"/>
          <w:rtl/>
        </w:rPr>
        <w:t xml:space="preserve">البلدان </w:t>
      </w:r>
      <w:r>
        <w:rPr>
          <w:rtl/>
        </w:rPr>
        <w:t xml:space="preserve">التي تفكر </w:t>
      </w:r>
      <w:r>
        <w:rPr>
          <w:rFonts w:hint="cs"/>
          <w:rtl/>
        </w:rPr>
        <w:t xml:space="preserve">في </w:t>
      </w:r>
      <w:r>
        <w:rPr>
          <w:rtl/>
        </w:rPr>
        <w:t xml:space="preserve">الانضمام إلى اتفاق لاهاي أو </w:t>
      </w:r>
      <w:r>
        <w:rPr>
          <w:rFonts w:hint="cs"/>
          <w:rtl/>
        </w:rPr>
        <w:t xml:space="preserve">التي </w:t>
      </w:r>
      <w:r>
        <w:rPr>
          <w:rtl/>
        </w:rPr>
        <w:t>بصدد</w:t>
      </w:r>
      <w:r>
        <w:rPr>
          <w:rFonts w:hint="cs"/>
          <w:rtl/>
        </w:rPr>
        <w:t xml:space="preserve"> فعل ذلك. و</w:t>
      </w:r>
      <w:r>
        <w:rPr>
          <w:rtl/>
        </w:rPr>
        <w:t xml:space="preserve">من أجل </w:t>
      </w:r>
      <w:r>
        <w:rPr>
          <w:rFonts w:hint="cs"/>
          <w:rtl/>
        </w:rPr>
        <w:t>استيعاب ال</w:t>
      </w:r>
      <w:r>
        <w:rPr>
          <w:rtl/>
        </w:rPr>
        <w:t xml:space="preserve">زيادة </w:t>
      </w:r>
      <w:r>
        <w:rPr>
          <w:rFonts w:hint="cs"/>
          <w:rtl/>
        </w:rPr>
        <w:t xml:space="preserve">في عضوية </w:t>
      </w:r>
      <w:r>
        <w:rPr>
          <w:rtl/>
        </w:rPr>
        <w:t xml:space="preserve">لاهاي، من الضروري </w:t>
      </w:r>
      <w:r>
        <w:rPr>
          <w:rFonts w:hint="cs"/>
          <w:rtl/>
        </w:rPr>
        <w:t xml:space="preserve">أن تعزز </w:t>
      </w:r>
      <w:r>
        <w:rPr>
          <w:rtl/>
        </w:rPr>
        <w:t xml:space="preserve">الويبو </w:t>
      </w:r>
      <w:r>
        <w:rPr>
          <w:rFonts w:hint="cs"/>
          <w:rtl/>
        </w:rPr>
        <w:t>دور النظام</w:t>
      </w:r>
      <w:r>
        <w:rPr>
          <w:rtl/>
        </w:rPr>
        <w:t xml:space="preserve"> ل</w:t>
      </w:r>
      <w:r>
        <w:rPr>
          <w:rFonts w:hint="cs"/>
          <w:rtl/>
        </w:rPr>
        <w:t>ضمان</w:t>
      </w:r>
      <w:r>
        <w:rPr>
          <w:rtl/>
        </w:rPr>
        <w:t xml:space="preserve"> </w:t>
      </w:r>
      <w:r>
        <w:rPr>
          <w:rFonts w:hint="cs"/>
          <w:rtl/>
        </w:rPr>
        <w:t xml:space="preserve">أن يعمل </w:t>
      </w:r>
      <w:r>
        <w:rPr>
          <w:rtl/>
        </w:rPr>
        <w:t>بكفاءة وبشكل مناسب</w:t>
      </w:r>
      <w:r>
        <w:rPr>
          <w:rFonts w:hint="cs"/>
          <w:rtl/>
        </w:rPr>
        <w:t>.</w:t>
      </w:r>
    </w:p>
    <w:p w:rsidR="00120720" w:rsidRPr="0026728E" w:rsidRDefault="00120720" w:rsidP="00775989">
      <w:pPr>
        <w:pStyle w:val="NormalParaAR"/>
        <w:keepNext/>
        <w:rPr>
          <w:u w:val="single"/>
          <w:rtl/>
        </w:rPr>
      </w:pPr>
      <w:r w:rsidRPr="0026728E">
        <w:rPr>
          <w:u w:val="single"/>
          <w:rtl/>
        </w:rPr>
        <w:t xml:space="preserve">برنامج تحديث تكنولوجيا المعلومات (نظام لاهاي للتسجيل الدولي): </w:t>
      </w:r>
    </w:p>
    <w:p w:rsidR="00120720" w:rsidRPr="0026728E" w:rsidRDefault="00120720" w:rsidP="00775989">
      <w:pPr>
        <w:pStyle w:val="NormalParaAR"/>
        <w:keepNext/>
        <w:rPr>
          <w:u w:val="single"/>
          <w:rtl/>
        </w:rPr>
      </w:pPr>
      <w:r w:rsidRPr="0026728E">
        <w:rPr>
          <w:u w:val="single"/>
          <w:rtl/>
        </w:rPr>
        <w:t>تقرير مرحلي</w:t>
      </w:r>
    </w:p>
    <w:p w:rsidR="00120720" w:rsidRDefault="00120720" w:rsidP="00775989">
      <w:pPr>
        <w:pStyle w:val="NumberedParaAR"/>
        <w:rPr>
          <w:rtl/>
        </w:rPr>
      </w:pPr>
      <w:r>
        <w:rPr>
          <w:rtl/>
        </w:rPr>
        <w:t>استندت المناقشات إلى الوثيقة</w:t>
      </w:r>
      <w:r>
        <w:rPr>
          <w:rFonts w:hint="cs"/>
          <w:rtl/>
        </w:rPr>
        <w:t> </w:t>
      </w:r>
      <w:r w:rsidRPr="0026728E">
        <w:t>H/A/34/1</w:t>
      </w:r>
      <w:r>
        <w:rPr>
          <w:rFonts w:hint="cs"/>
          <w:rtl/>
        </w:rPr>
        <w:t>.</w:t>
      </w:r>
    </w:p>
    <w:p w:rsidR="00120720" w:rsidRDefault="00120720" w:rsidP="00775989">
      <w:pPr>
        <w:pStyle w:val="NumberedParaAR"/>
        <w:rPr>
          <w:rtl/>
        </w:rPr>
      </w:pPr>
      <w:r>
        <w:rPr>
          <w:rFonts w:hint="cs"/>
          <w:rtl/>
        </w:rPr>
        <w:t>و</w:t>
      </w:r>
      <w:r>
        <w:rPr>
          <w:rtl/>
        </w:rPr>
        <w:t xml:space="preserve">قدمت الأمانة الوثيقة </w:t>
      </w:r>
      <w:r>
        <w:rPr>
          <w:rFonts w:hint="cs"/>
          <w:rtl/>
        </w:rPr>
        <w:t>وعرضت</w:t>
      </w:r>
      <w:r>
        <w:rPr>
          <w:rtl/>
        </w:rPr>
        <w:t xml:space="preserve"> التقدم المحرز في برنامج تحديث تكنولوجيا المعلومات منذ جمعية اتحاد لاهاي</w:t>
      </w:r>
      <w:r>
        <w:rPr>
          <w:rFonts w:hint="cs"/>
          <w:rtl/>
        </w:rPr>
        <w:t xml:space="preserve"> الأخيرة.</w:t>
      </w:r>
    </w:p>
    <w:p w:rsidR="00120720" w:rsidRDefault="00120720" w:rsidP="00775989">
      <w:pPr>
        <w:pStyle w:val="NumberedParaAR"/>
        <w:rPr>
          <w:rtl/>
        </w:rPr>
      </w:pPr>
      <w:r>
        <w:rPr>
          <w:rtl/>
        </w:rPr>
        <w:t>وأشارت</w:t>
      </w:r>
      <w:r>
        <w:rPr>
          <w:rFonts w:hint="cs"/>
          <w:rtl/>
        </w:rPr>
        <w:t xml:space="preserve"> الأمانة</w:t>
      </w:r>
      <w:r>
        <w:rPr>
          <w:rtl/>
        </w:rPr>
        <w:t xml:space="preserve"> إلى أنه منذ</w:t>
      </w:r>
      <w:r>
        <w:rPr>
          <w:rFonts w:hint="cs"/>
          <w:rtl/>
        </w:rPr>
        <w:t xml:space="preserve"> انعقاد</w:t>
      </w:r>
      <w:r>
        <w:rPr>
          <w:rtl/>
        </w:rPr>
        <w:t xml:space="preserve"> الجمعية </w:t>
      </w:r>
      <w:r>
        <w:rPr>
          <w:rFonts w:hint="cs"/>
          <w:rtl/>
        </w:rPr>
        <w:t>العامة الأخيرة</w:t>
      </w:r>
      <w:r>
        <w:rPr>
          <w:rtl/>
        </w:rPr>
        <w:t xml:space="preserve">، </w:t>
      </w:r>
      <w:r>
        <w:rPr>
          <w:rFonts w:hint="cs"/>
          <w:rtl/>
        </w:rPr>
        <w:t xml:space="preserve">انصب </w:t>
      </w:r>
      <w:r>
        <w:rPr>
          <w:rtl/>
        </w:rPr>
        <w:t xml:space="preserve">التركيز </w:t>
      </w:r>
      <w:r>
        <w:rPr>
          <w:rFonts w:hint="cs"/>
          <w:rtl/>
        </w:rPr>
        <w:t>عل</w:t>
      </w:r>
      <w:r>
        <w:rPr>
          <w:rtl/>
        </w:rPr>
        <w:t>ى تسل</w:t>
      </w:r>
      <w:r>
        <w:rPr>
          <w:rFonts w:hint="cs"/>
          <w:rtl/>
        </w:rPr>
        <w:t>ّ</w:t>
      </w:r>
      <w:r>
        <w:rPr>
          <w:rtl/>
        </w:rPr>
        <w:t xml:space="preserve">م </w:t>
      </w:r>
      <w:r>
        <w:rPr>
          <w:rFonts w:hint="cs"/>
          <w:rtl/>
        </w:rPr>
        <w:t xml:space="preserve">عناصر </w:t>
      </w:r>
      <w:r>
        <w:rPr>
          <w:rtl/>
        </w:rPr>
        <w:t xml:space="preserve">المرحلة الثانية </w:t>
      </w:r>
      <w:r>
        <w:rPr>
          <w:rFonts w:hint="cs"/>
          <w:rtl/>
        </w:rPr>
        <w:t>ل</w:t>
      </w:r>
      <w:r>
        <w:rPr>
          <w:rtl/>
        </w:rPr>
        <w:t xml:space="preserve">لبرنامج، </w:t>
      </w:r>
      <w:r>
        <w:rPr>
          <w:rFonts w:hint="cs"/>
          <w:rtl/>
        </w:rPr>
        <w:t xml:space="preserve">وأفادت </w:t>
      </w:r>
      <w:r>
        <w:rPr>
          <w:rtl/>
        </w:rPr>
        <w:t xml:space="preserve">تسلم </w:t>
      </w:r>
      <w:r>
        <w:rPr>
          <w:rFonts w:hint="cs"/>
          <w:rtl/>
        </w:rPr>
        <w:t xml:space="preserve">عنصر مدريد في </w:t>
      </w:r>
      <w:r>
        <w:rPr>
          <w:rtl/>
        </w:rPr>
        <w:t>المرحلة الثانية</w:t>
      </w:r>
      <w:r>
        <w:rPr>
          <w:rFonts w:hint="cs"/>
          <w:rtl/>
        </w:rPr>
        <w:t xml:space="preserve"> </w:t>
      </w:r>
      <w:r>
        <w:rPr>
          <w:rtl/>
        </w:rPr>
        <w:t xml:space="preserve">من شريك </w:t>
      </w:r>
      <w:r>
        <w:rPr>
          <w:rFonts w:hint="cs"/>
          <w:rtl/>
        </w:rPr>
        <w:t>ال</w:t>
      </w:r>
      <w:r>
        <w:rPr>
          <w:rtl/>
        </w:rPr>
        <w:t xml:space="preserve">تنفيذ </w:t>
      </w:r>
      <w:r>
        <w:rPr>
          <w:rFonts w:hint="cs"/>
          <w:rtl/>
        </w:rPr>
        <w:t>ال</w:t>
      </w:r>
      <w:r>
        <w:rPr>
          <w:rtl/>
        </w:rPr>
        <w:t>خارجي، و</w:t>
      </w:r>
      <w:r>
        <w:rPr>
          <w:rFonts w:hint="cs"/>
          <w:rtl/>
        </w:rPr>
        <w:t xml:space="preserve">يخضع </w:t>
      </w:r>
      <w:r>
        <w:rPr>
          <w:rtl/>
        </w:rPr>
        <w:t xml:space="preserve">حاليا </w:t>
      </w:r>
      <w:r>
        <w:rPr>
          <w:rFonts w:hint="cs"/>
          <w:rtl/>
        </w:rPr>
        <w:t>العنصر الوارد</w:t>
      </w:r>
      <w:r>
        <w:rPr>
          <w:rtl/>
        </w:rPr>
        <w:t xml:space="preserve"> </w:t>
      </w:r>
      <w:r>
        <w:rPr>
          <w:rFonts w:hint="cs"/>
          <w:rtl/>
        </w:rPr>
        <w:t>ل</w:t>
      </w:r>
      <w:r>
        <w:rPr>
          <w:rtl/>
        </w:rPr>
        <w:t xml:space="preserve">لاختبار من قبل </w:t>
      </w:r>
      <w:r>
        <w:rPr>
          <w:rFonts w:hint="cs"/>
          <w:rtl/>
        </w:rPr>
        <w:t>موظفين تقنيين</w:t>
      </w:r>
      <w:r>
        <w:rPr>
          <w:rtl/>
        </w:rPr>
        <w:t xml:space="preserve"> </w:t>
      </w:r>
      <w:r>
        <w:rPr>
          <w:rFonts w:hint="cs"/>
          <w:rtl/>
        </w:rPr>
        <w:t>داخليين.</w:t>
      </w:r>
    </w:p>
    <w:p w:rsidR="00120720" w:rsidRDefault="00120720" w:rsidP="00775989">
      <w:pPr>
        <w:pStyle w:val="NumberedParaAR"/>
        <w:rPr>
          <w:rtl/>
        </w:rPr>
      </w:pPr>
      <w:r>
        <w:rPr>
          <w:rFonts w:hint="cs"/>
          <w:rtl/>
        </w:rPr>
        <w:t>وفيما يخص</w:t>
      </w:r>
      <w:r>
        <w:rPr>
          <w:rtl/>
        </w:rPr>
        <w:t xml:space="preserve"> سجل لاهاي</w:t>
      </w:r>
      <w:r>
        <w:rPr>
          <w:rFonts w:hint="cs"/>
          <w:rtl/>
        </w:rPr>
        <w:t xml:space="preserve">، قالت </w:t>
      </w:r>
      <w:r>
        <w:rPr>
          <w:rtl/>
        </w:rPr>
        <w:t xml:space="preserve">الأمانة أيضا </w:t>
      </w:r>
      <w:r>
        <w:rPr>
          <w:rFonts w:hint="cs"/>
          <w:rtl/>
        </w:rPr>
        <w:t>إنه قبل نهاية</w:t>
      </w:r>
      <w:r>
        <w:rPr>
          <w:rtl/>
        </w:rPr>
        <w:t xml:space="preserve"> عام 2013، </w:t>
      </w:r>
      <w:r>
        <w:rPr>
          <w:rFonts w:hint="cs"/>
          <w:rtl/>
        </w:rPr>
        <w:t xml:space="preserve">كان </w:t>
      </w:r>
      <w:r>
        <w:rPr>
          <w:rtl/>
        </w:rPr>
        <w:t xml:space="preserve">من الواضح أن انضمام دول أعضاء </w:t>
      </w:r>
      <w:r>
        <w:rPr>
          <w:rFonts w:hint="cs"/>
          <w:rtl/>
        </w:rPr>
        <w:t xml:space="preserve">جديدة إلى </w:t>
      </w:r>
      <w:r>
        <w:rPr>
          <w:rtl/>
        </w:rPr>
        <w:t xml:space="preserve">لاهاي </w:t>
      </w:r>
      <w:r>
        <w:rPr>
          <w:rFonts w:hint="cs"/>
          <w:rtl/>
        </w:rPr>
        <w:t>س</w:t>
      </w:r>
      <w:r>
        <w:rPr>
          <w:rtl/>
        </w:rPr>
        <w:t>يتطلب تعديل</w:t>
      </w:r>
      <w:r>
        <w:rPr>
          <w:rFonts w:hint="cs"/>
          <w:rtl/>
        </w:rPr>
        <w:t>ا</w:t>
      </w:r>
      <w:r>
        <w:rPr>
          <w:rtl/>
        </w:rPr>
        <w:t xml:space="preserve"> جوهري</w:t>
      </w:r>
      <w:r>
        <w:rPr>
          <w:rFonts w:hint="cs"/>
          <w:rtl/>
        </w:rPr>
        <w:t>ا</w:t>
      </w:r>
      <w:r>
        <w:rPr>
          <w:rtl/>
        </w:rPr>
        <w:t xml:space="preserve"> </w:t>
      </w:r>
      <w:r>
        <w:rPr>
          <w:rFonts w:hint="cs"/>
          <w:rtl/>
        </w:rPr>
        <w:t xml:space="preserve">في </w:t>
      </w:r>
      <w:r>
        <w:rPr>
          <w:rtl/>
        </w:rPr>
        <w:t>إجراءات تكنولوجيا المعلومات</w:t>
      </w:r>
      <w:r>
        <w:rPr>
          <w:rFonts w:hint="cs"/>
          <w:rtl/>
        </w:rPr>
        <w:t xml:space="preserve"> للنظام</w:t>
      </w:r>
      <w:r>
        <w:rPr>
          <w:rtl/>
        </w:rPr>
        <w:t xml:space="preserve">. </w:t>
      </w:r>
      <w:r>
        <w:rPr>
          <w:rFonts w:hint="cs"/>
          <w:rtl/>
        </w:rPr>
        <w:t xml:space="preserve">ورأى </w:t>
      </w:r>
      <w:r>
        <w:rPr>
          <w:rtl/>
        </w:rPr>
        <w:t xml:space="preserve">أنه </w:t>
      </w:r>
      <w:r>
        <w:rPr>
          <w:rFonts w:hint="cs"/>
          <w:rtl/>
        </w:rPr>
        <w:t xml:space="preserve">في ظل </w:t>
      </w:r>
      <w:r>
        <w:rPr>
          <w:rtl/>
        </w:rPr>
        <w:t xml:space="preserve">هذه التطورات </w:t>
      </w:r>
      <w:r>
        <w:rPr>
          <w:rFonts w:hint="cs"/>
          <w:rtl/>
        </w:rPr>
        <w:t>ست</w:t>
      </w:r>
      <w:r>
        <w:rPr>
          <w:rtl/>
        </w:rPr>
        <w:t xml:space="preserve">كون هناك مخاطر تشغيلية </w:t>
      </w:r>
      <w:r>
        <w:rPr>
          <w:rFonts w:hint="cs"/>
          <w:rtl/>
        </w:rPr>
        <w:t xml:space="preserve">أقل </w:t>
      </w:r>
      <w:r>
        <w:rPr>
          <w:rtl/>
        </w:rPr>
        <w:t>إذا ما أجريت</w:t>
      </w:r>
      <w:r>
        <w:rPr>
          <w:rFonts w:hint="cs"/>
          <w:rtl/>
        </w:rPr>
        <w:t xml:space="preserve"> تلك التطورات</w:t>
      </w:r>
      <w:r>
        <w:rPr>
          <w:rtl/>
        </w:rPr>
        <w:t xml:space="preserve"> </w:t>
      </w:r>
      <w:r>
        <w:rPr>
          <w:rFonts w:hint="cs"/>
          <w:rtl/>
        </w:rPr>
        <w:t>على</w:t>
      </w:r>
      <w:r>
        <w:rPr>
          <w:rtl/>
        </w:rPr>
        <w:t xml:space="preserve"> نظام تكنولوجيا المعلومات القديم. ونتيجة لذلك، </w:t>
      </w:r>
      <w:r>
        <w:rPr>
          <w:rFonts w:hint="cs"/>
          <w:rtl/>
        </w:rPr>
        <w:t xml:space="preserve">عُلقت </w:t>
      </w:r>
      <w:r>
        <w:rPr>
          <w:rtl/>
        </w:rPr>
        <w:t xml:space="preserve">أنشطة المرحلة الثانية </w:t>
      </w:r>
      <w:r>
        <w:rPr>
          <w:rFonts w:hint="cs"/>
          <w:rtl/>
        </w:rPr>
        <w:t>لسجل</w:t>
      </w:r>
      <w:r>
        <w:rPr>
          <w:rtl/>
        </w:rPr>
        <w:t xml:space="preserve"> لاهاي </w:t>
      </w:r>
      <w:r>
        <w:rPr>
          <w:rFonts w:hint="cs"/>
          <w:rtl/>
        </w:rPr>
        <w:t>وستنطلق</w:t>
      </w:r>
      <w:r>
        <w:rPr>
          <w:rtl/>
        </w:rPr>
        <w:t xml:space="preserve"> عندما </w:t>
      </w:r>
      <w:r>
        <w:rPr>
          <w:rFonts w:hint="cs"/>
          <w:rtl/>
        </w:rPr>
        <w:t xml:space="preserve">تستقر </w:t>
      </w:r>
      <w:r>
        <w:rPr>
          <w:rtl/>
        </w:rPr>
        <w:t>التغييرات في نظام تكنولوجيا المعلومات القديم</w:t>
      </w:r>
      <w:r>
        <w:rPr>
          <w:rFonts w:hint="cs"/>
          <w:rtl/>
        </w:rPr>
        <w:t>.</w:t>
      </w:r>
    </w:p>
    <w:p w:rsidR="00120720" w:rsidRDefault="00120720" w:rsidP="00775989">
      <w:pPr>
        <w:pStyle w:val="NumberedParaAR"/>
      </w:pPr>
      <w:r>
        <w:rPr>
          <w:rtl/>
        </w:rPr>
        <w:t>وأشار</w:t>
      </w:r>
      <w:r>
        <w:rPr>
          <w:rFonts w:hint="cs"/>
          <w:rtl/>
        </w:rPr>
        <w:t>ت</w:t>
      </w:r>
      <w:r>
        <w:rPr>
          <w:rtl/>
        </w:rPr>
        <w:t xml:space="preserve"> الأمانة </w:t>
      </w:r>
      <w:r>
        <w:rPr>
          <w:rFonts w:hint="cs"/>
          <w:rtl/>
        </w:rPr>
        <w:t xml:space="preserve">إلى </w:t>
      </w:r>
      <w:r>
        <w:rPr>
          <w:rtl/>
        </w:rPr>
        <w:t xml:space="preserve">أن </w:t>
      </w:r>
      <w:r>
        <w:rPr>
          <w:rFonts w:hint="cs"/>
          <w:rtl/>
        </w:rPr>
        <w:t>عملية التثبيت و</w:t>
      </w:r>
      <w:r>
        <w:rPr>
          <w:rtl/>
        </w:rPr>
        <w:t xml:space="preserve">التحقق المستقلة </w:t>
      </w:r>
      <w:r>
        <w:rPr>
          <w:rFonts w:hint="cs"/>
          <w:rtl/>
        </w:rPr>
        <w:t xml:space="preserve">التي يجريها </w:t>
      </w:r>
      <w:r>
        <w:rPr>
          <w:rtl/>
        </w:rPr>
        <w:t xml:space="preserve">حاليا </w:t>
      </w:r>
      <w:r>
        <w:rPr>
          <w:rFonts w:hint="cs"/>
          <w:rtl/>
        </w:rPr>
        <w:t>سجل</w:t>
      </w:r>
      <w:r>
        <w:rPr>
          <w:rtl/>
        </w:rPr>
        <w:t xml:space="preserve"> مدريد س</w:t>
      </w:r>
      <w:r>
        <w:rPr>
          <w:rFonts w:hint="cs"/>
          <w:rtl/>
        </w:rPr>
        <w:t>ت</w:t>
      </w:r>
      <w:r>
        <w:rPr>
          <w:rtl/>
        </w:rPr>
        <w:t xml:space="preserve">كون </w:t>
      </w:r>
      <w:r>
        <w:rPr>
          <w:rFonts w:hint="cs"/>
          <w:rtl/>
        </w:rPr>
        <w:t xml:space="preserve">مفيدة </w:t>
      </w:r>
      <w:r>
        <w:rPr>
          <w:rtl/>
        </w:rPr>
        <w:t xml:space="preserve">أيضا </w:t>
      </w:r>
      <w:r>
        <w:rPr>
          <w:rFonts w:hint="cs"/>
          <w:rtl/>
        </w:rPr>
        <w:t xml:space="preserve">لسجل </w:t>
      </w:r>
      <w:r>
        <w:rPr>
          <w:rtl/>
        </w:rPr>
        <w:t xml:space="preserve">لاهاي </w:t>
      </w:r>
      <w:r>
        <w:rPr>
          <w:rFonts w:hint="cs"/>
          <w:rtl/>
        </w:rPr>
        <w:t xml:space="preserve">عند تنفيذ </w:t>
      </w:r>
      <w:r>
        <w:rPr>
          <w:rtl/>
        </w:rPr>
        <w:t>المرحلة الثانية</w:t>
      </w:r>
      <w:r>
        <w:rPr>
          <w:rFonts w:hint="cs"/>
          <w:rtl/>
        </w:rPr>
        <w:t xml:space="preserve"> مستقبلا.</w:t>
      </w:r>
    </w:p>
    <w:p w:rsidR="00120720" w:rsidRPr="007F38D1" w:rsidRDefault="00120720" w:rsidP="00775989">
      <w:pPr>
        <w:pStyle w:val="DecisionParaReportAR"/>
      </w:pPr>
      <w:r>
        <w:rPr>
          <w:rFonts w:hint="cs"/>
          <w:rtl/>
        </w:rPr>
        <w:lastRenderedPageBreak/>
        <w:t>وأحاطت</w:t>
      </w:r>
      <w:r w:rsidRPr="00FF48EA">
        <w:rPr>
          <w:rtl/>
        </w:rPr>
        <w:t xml:space="preserve"> الجمعية </w:t>
      </w:r>
      <w:r>
        <w:rPr>
          <w:rFonts w:hint="cs"/>
          <w:rtl/>
        </w:rPr>
        <w:t>ع</w:t>
      </w:r>
      <w:r w:rsidRPr="00FF48EA">
        <w:rPr>
          <w:rtl/>
        </w:rPr>
        <w:t>لما بمضمون التقرير المرحلي بشأن برنامج تحديث تكنولوجيا المعلومات (نظام لاهاي للتسجيل الدولي)</w:t>
      </w:r>
      <w:r>
        <w:rPr>
          <w:rFonts w:hint="cs"/>
          <w:rtl/>
        </w:rPr>
        <w:t xml:space="preserve"> كما هو وارد في </w:t>
      </w:r>
      <w:r w:rsidRPr="00FF48EA">
        <w:rPr>
          <w:rtl/>
        </w:rPr>
        <w:t>الوثيقة</w:t>
      </w:r>
      <w:r>
        <w:rPr>
          <w:rFonts w:hint="cs"/>
          <w:rtl/>
        </w:rPr>
        <w:t> </w:t>
      </w:r>
      <w:r w:rsidRPr="00FF48EA">
        <w:t>H/A/34/1</w:t>
      </w:r>
      <w:r>
        <w:rPr>
          <w:rFonts w:hint="cs"/>
          <w:rtl/>
        </w:rPr>
        <w:t>.</w:t>
      </w:r>
    </w:p>
    <w:p w:rsidR="00120720" w:rsidRPr="000678F0" w:rsidRDefault="00120720" w:rsidP="00775989">
      <w:pPr>
        <w:pStyle w:val="NormalParaAR"/>
        <w:keepNext/>
        <w:rPr>
          <w:u w:val="single"/>
          <w:rtl/>
        </w:rPr>
      </w:pPr>
      <w:r w:rsidRPr="000678F0">
        <w:rPr>
          <w:rFonts w:hint="cs"/>
          <w:u w:val="single"/>
          <w:rtl/>
        </w:rPr>
        <w:t>مسائل متعلقة بالتطوير القانوني لنظام لاهاي</w:t>
      </w:r>
    </w:p>
    <w:p w:rsidR="00120720" w:rsidRDefault="00120720" w:rsidP="00775989">
      <w:pPr>
        <w:pStyle w:val="NumberedParaAR"/>
      </w:pPr>
      <w:r>
        <w:rPr>
          <w:rFonts w:hint="cs"/>
          <w:rtl/>
        </w:rPr>
        <w:t>استندت المناقشات إلى الوثيقة</w:t>
      </w:r>
      <w:r>
        <w:rPr>
          <w:rFonts w:hint="eastAsia"/>
          <w:rtl/>
        </w:rPr>
        <w:t> </w:t>
      </w:r>
      <w:r w:rsidRPr="000678F0">
        <w:t>H/A/34/2</w:t>
      </w:r>
      <w:r>
        <w:rPr>
          <w:rFonts w:hint="cs"/>
          <w:rtl/>
        </w:rPr>
        <w:t>.</w:t>
      </w:r>
    </w:p>
    <w:p w:rsidR="00120720" w:rsidRDefault="00120720" w:rsidP="00775989">
      <w:pPr>
        <w:pStyle w:val="NumberedParaAR"/>
      </w:pPr>
      <w:r>
        <w:rPr>
          <w:rFonts w:hint="cs"/>
          <w:rtl/>
        </w:rPr>
        <w:t>وقدمت الأمانة الوثيقة وأوضحت أن الوثيقة</w:t>
      </w:r>
      <w:r>
        <w:rPr>
          <w:rFonts w:hint="eastAsia"/>
          <w:rtl/>
        </w:rPr>
        <w:t> </w:t>
      </w:r>
      <w:r w:rsidRPr="000678F0">
        <w:t>H/A/34/2</w:t>
      </w:r>
      <w:r>
        <w:rPr>
          <w:rFonts w:hint="cs"/>
          <w:rtl/>
        </w:rPr>
        <w:t xml:space="preserve"> تحتوي على توصيات أصدرها الفريق العامل المعني بالتطوير القانوني لنظام لاهاي للتسجيل الدولي للتصاميم الصناعية في دورته الرابعة، التي عُقدت في الفترة من 16 إلى 18</w:t>
      </w:r>
      <w:r>
        <w:rPr>
          <w:rFonts w:hint="eastAsia"/>
          <w:rtl/>
        </w:rPr>
        <w:t> </w:t>
      </w:r>
      <w:r>
        <w:rPr>
          <w:rFonts w:hint="cs"/>
          <w:rtl/>
        </w:rPr>
        <w:t>يونيو</w:t>
      </w:r>
      <w:r>
        <w:rPr>
          <w:rFonts w:hint="eastAsia"/>
          <w:rtl/>
        </w:rPr>
        <w:t> </w:t>
      </w:r>
      <w:r>
        <w:rPr>
          <w:rFonts w:hint="cs"/>
          <w:rtl/>
        </w:rPr>
        <w:t>2014. وتحتوي الوثيقة، أولا، على توصية مقترحة لجعل "شهادة النقل" وثيقة مقبولة في الأطراف المتعاقدة التي أصدرت إعلانا بموجب المادة</w:t>
      </w:r>
      <w:r>
        <w:rPr>
          <w:rFonts w:hint="eastAsia"/>
          <w:rtl/>
        </w:rPr>
        <w:t> </w:t>
      </w:r>
      <w:r>
        <w:rPr>
          <w:rFonts w:hint="cs"/>
          <w:rtl/>
        </w:rPr>
        <w:t>16(2) من وثيقة</w:t>
      </w:r>
      <w:r>
        <w:rPr>
          <w:rFonts w:hint="eastAsia"/>
          <w:rtl/>
        </w:rPr>
        <w:t> </w:t>
      </w:r>
      <w:r>
        <w:rPr>
          <w:rFonts w:hint="cs"/>
          <w:rtl/>
        </w:rPr>
        <w:t>1999. وتحتوي، ثانيا، على تعديلات يُقترح إدخالها على اللائحة التنفيذية المشتركة بين وثيقة</w:t>
      </w:r>
      <w:r>
        <w:rPr>
          <w:rFonts w:hint="eastAsia"/>
          <w:rtl/>
        </w:rPr>
        <w:t> </w:t>
      </w:r>
      <w:r>
        <w:rPr>
          <w:rFonts w:hint="cs"/>
          <w:rtl/>
        </w:rPr>
        <w:t>1999 ووثيقة</w:t>
      </w:r>
      <w:r>
        <w:rPr>
          <w:rFonts w:hint="eastAsia"/>
          <w:rtl/>
        </w:rPr>
        <w:t> </w:t>
      </w:r>
      <w:r>
        <w:rPr>
          <w:rFonts w:hint="cs"/>
          <w:rtl/>
        </w:rPr>
        <w:t>1960 لاتفاق لاهاي.</w:t>
      </w:r>
    </w:p>
    <w:p w:rsidR="00120720" w:rsidRDefault="00120720" w:rsidP="00775989">
      <w:pPr>
        <w:pStyle w:val="NumberedParaAR"/>
      </w:pPr>
      <w:r>
        <w:rPr>
          <w:rFonts w:hint="cs"/>
          <w:rtl/>
        </w:rPr>
        <w:t>وطبقا للمادة</w:t>
      </w:r>
      <w:r>
        <w:rPr>
          <w:rFonts w:hint="eastAsia"/>
          <w:rtl/>
        </w:rPr>
        <w:t> </w:t>
      </w:r>
      <w:r>
        <w:rPr>
          <w:rFonts w:hint="cs"/>
          <w:rtl/>
        </w:rPr>
        <w:t>16(2) من وثيقة</w:t>
      </w:r>
      <w:r>
        <w:rPr>
          <w:rFonts w:hint="eastAsia"/>
          <w:rtl/>
        </w:rPr>
        <w:t> </w:t>
      </w:r>
      <w:r>
        <w:rPr>
          <w:rFonts w:hint="cs"/>
          <w:rtl/>
        </w:rPr>
        <w:t xml:space="preserve">1999، لا </w:t>
      </w:r>
      <w:r w:rsidR="00E54452">
        <w:rPr>
          <w:rFonts w:hint="cs"/>
          <w:rtl/>
        </w:rPr>
        <w:t xml:space="preserve">ينبغي أن </w:t>
      </w:r>
      <w:r>
        <w:rPr>
          <w:rFonts w:hint="cs"/>
          <w:rtl/>
        </w:rPr>
        <w:t>يؤثر تدوين تغيير في الملكية في السجل الدولي على الطرف المتعاقد الذي أصدر إعلانا بناء على تلك المادة، حتى يستلم مكتب ذلك الطرف المتعاقد البيانات أو الوثائق المحدّدة في ذلك الإعلان. وهناك، حاليا، ثلاثة أطراف متعاقدة أصدرت إعلانا بموجب المادة</w:t>
      </w:r>
      <w:r>
        <w:rPr>
          <w:rFonts w:hint="eastAsia"/>
          <w:rtl/>
        </w:rPr>
        <w:t> </w:t>
      </w:r>
      <w:r>
        <w:rPr>
          <w:rFonts w:hint="cs"/>
          <w:rtl/>
        </w:rPr>
        <w:t>16(2)، ولكن من المتوقع أن تصدر بعض الأطراف المتعاقدة المقبلة أيضا ذلك الإعلان.</w:t>
      </w:r>
    </w:p>
    <w:p w:rsidR="00120720" w:rsidRDefault="00120720" w:rsidP="00775989">
      <w:pPr>
        <w:pStyle w:val="NumberedParaAR"/>
      </w:pPr>
      <w:r>
        <w:rPr>
          <w:rFonts w:hint="cs"/>
          <w:rtl/>
        </w:rPr>
        <w:t>ولتلافي الوصول إلى وضع يضطر فيها مستخدمو لاهاي إلى تقديم مجموعات متنوعة من الوثائق أو البيانات المختلفة إلى المكاتب التي تطلبها، وافق الفريق العامل على شكل ومضمون الوثيقة المعيارية، أي "شهادة النقل". كما وافق الفريق العامل على تقديم الوثيقة المعيارية من خلال المكتب الدولي وتوزيعها إلكترونيا على المكاتب المعنية.</w:t>
      </w:r>
    </w:p>
    <w:p w:rsidR="00120720" w:rsidRDefault="00120720" w:rsidP="00775989">
      <w:pPr>
        <w:pStyle w:val="NumberedParaAR"/>
      </w:pPr>
      <w:r>
        <w:rPr>
          <w:rFonts w:hint="cs"/>
          <w:rtl/>
        </w:rPr>
        <w:t>وأكّدت الأمانة على أن الغرض من التوصية هو مجرّد تشجيع المكاتب المعنية على قبول الوثيقة المعيارية بوصفها وثيقة لها أثر مماثل لبيان قُدم، أو وثيقة قُدمت، لذلك الغرض بموجب قانون الطرف المتعاقد المعني. وإذا ما اعتمدت الجمعية هذه التوصية، سيعد المكتب الدولي، بعد التشاور مع مكاتب الأطراف المتعاقدة المعنية، قائمة بالمكاتب الكفيلة باتباع التوصية ويتيح تلك القائمة على موقع المنظمة الإلكتروني إلى جانب "شهادة النقل".</w:t>
      </w:r>
    </w:p>
    <w:p w:rsidR="00120720" w:rsidRDefault="00120720" w:rsidP="00775989">
      <w:pPr>
        <w:pStyle w:val="NumberedParaAR"/>
      </w:pPr>
      <w:r>
        <w:rPr>
          <w:rFonts w:hint="cs"/>
          <w:rtl/>
        </w:rPr>
        <w:t>وقدمت الأمانة بعد ذلك التعديلات المقترح إدخالها على اللائحة التنفيذية المشتركة وجدول الرسوم في تلك اللائحة المشتركة. وذكّرت بأن المادة</w:t>
      </w:r>
      <w:r>
        <w:rPr>
          <w:rFonts w:hint="eastAsia"/>
          <w:rtl/>
        </w:rPr>
        <w:t> </w:t>
      </w:r>
      <w:r>
        <w:rPr>
          <w:rFonts w:hint="cs"/>
          <w:rtl/>
        </w:rPr>
        <w:t>14(2) (ج) من وثيقة</w:t>
      </w:r>
      <w:r>
        <w:rPr>
          <w:rFonts w:hint="eastAsia"/>
          <w:rtl/>
        </w:rPr>
        <w:t> </w:t>
      </w:r>
      <w:r>
        <w:rPr>
          <w:rFonts w:hint="cs"/>
          <w:rtl/>
        </w:rPr>
        <w:t>1999 تنص على أن أثر التسجيل الدولي بموجب المادة</w:t>
      </w:r>
      <w:r>
        <w:rPr>
          <w:rFonts w:hint="eastAsia"/>
          <w:rtl/>
        </w:rPr>
        <w:t> </w:t>
      </w:r>
      <w:r>
        <w:rPr>
          <w:rFonts w:hint="cs"/>
          <w:rtl/>
        </w:rPr>
        <w:t xml:space="preserve">14(1) و(2)(أ) و(ب) ينطبق على التصميم الصناعي </w:t>
      </w:r>
      <w:r w:rsidRPr="00492CDC">
        <w:rPr>
          <w:rtl/>
        </w:rPr>
        <w:t>كما تسلمه مكتب الطرف ا</w:t>
      </w:r>
      <w:r>
        <w:rPr>
          <w:rtl/>
        </w:rPr>
        <w:t>لمتعاقد المعين من المكتب الدولي</w:t>
      </w:r>
      <w:r w:rsidRPr="00492CDC">
        <w:rPr>
          <w:rtl/>
        </w:rPr>
        <w:t xml:space="preserve"> أو</w:t>
      </w:r>
      <w:r>
        <w:rPr>
          <w:rFonts w:hint="cs"/>
          <w:rtl/>
        </w:rPr>
        <w:t>، حسب الاقتضاء،</w:t>
      </w:r>
      <w:r w:rsidRPr="00492CDC">
        <w:rPr>
          <w:rtl/>
        </w:rPr>
        <w:t xml:space="preserve"> "كما عُدل في إجراء ما لدى ذلك المكتب"</w:t>
      </w:r>
      <w:r>
        <w:rPr>
          <w:rFonts w:hint="cs"/>
          <w:rtl/>
        </w:rPr>
        <w:t>.</w:t>
      </w:r>
    </w:p>
    <w:p w:rsidR="00120720" w:rsidRDefault="00120720" w:rsidP="00775989">
      <w:pPr>
        <w:pStyle w:val="NumberedParaAR"/>
      </w:pPr>
      <w:r w:rsidRPr="00A741B8">
        <w:rPr>
          <w:rtl/>
        </w:rPr>
        <w:t>واتفق الفريق العامل على الحاجة إلى وضع آلية ليبلّغ مكتب الطرف المتعاقد المعيّن تلك التعديلات إلى المكتب الدولي الذي يتيحها علنا بدوره بطريقة مركز</w:t>
      </w:r>
      <w:r>
        <w:rPr>
          <w:rtl/>
        </w:rPr>
        <w:t>ية ("آلية الإبلاغ"</w:t>
      </w:r>
      <w:r>
        <w:rPr>
          <w:rFonts w:hint="cs"/>
          <w:rtl/>
        </w:rPr>
        <w:t>).وتكون إحدى الطرق السليمة ل</w:t>
      </w:r>
      <w:r w:rsidRPr="00A741B8">
        <w:rPr>
          <w:rtl/>
        </w:rPr>
        <w:t>تبليغ المعلومات المتعلقة بالتعديلات عبر بيان بمنح الحماية كما هو منصوص عليه في القاعدة</w:t>
      </w:r>
      <w:r>
        <w:rPr>
          <w:rFonts w:hint="cs"/>
          <w:rtl/>
        </w:rPr>
        <w:t> </w:t>
      </w:r>
      <w:r w:rsidRPr="00A741B8">
        <w:rPr>
          <w:rtl/>
        </w:rPr>
        <w:t>18(ثانيا)(1) و(2) وإخطار بسحب الرفض كما هو منصوص عليه في القاعدة</w:t>
      </w:r>
      <w:r>
        <w:rPr>
          <w:rFonts w:hint="cs"/>
          <w:rtl/>
        </w:rPr>
        <w:t> </w:t>
      </w:r>
      <w:r w:rsidRPr="00A741B8">
        <w:rPr>
          <w:rtl/>
        </w:rPr>
        <w:t>18(4) من اللائحة التنفيذية المشتركة</w:t>
      </w:r>
      <w:r>
        <w:rPr>
          <w:rFonts w:hint="cs"/>
          <w:rtl/>
        </w:rPr>
        <w:t xml:space="preserve">. </w:t>
      </w:r>
      <w:r w:rsidRPr="00A741B8">
        <w:rPr>
          <w:rtl/>
        </w:rPr>
        <w:t xml:space="preserve">ويدوَّن </w:t>
      </w:r>
      <w:r>
        <w:rPr>
          <w:rFonts w:hint="cs"/>
          <w:rtl/>
        </w:rPr>
        <w:t xml:space="preserve">أي </w:t>
      </w:r>
      <w:r>
        <w:rPr>
          <w:rtl/>
        </w:rPr>
        <w:t xml:space="preserve">سحب </w:t>
      </w:r>
      <w:r>
        <w:rPr>
          <w:rFonts w:hint="cs"/>
          <w:rtl/>
        </w:rPr>
        <w:t>لل</w:t>
      </w:r>
      <w:r w:rsidRPr="00A741B8">
        <w:rPr>
          <w:rtl/>
        </w:rPr>
        <w:t xml:space="preserve">رفض وأي بيان بمنح </w:t>
      </w:r>
      <w:r>
        <w:rPr>
          <w:rFonts w:hint="cs"/>
          <w:rtl/>
        </w:rPr>
        <w:t xml:space="preserve">الحماية </w:t>
      </w:r>
      <w:r w:rsidRPr="00A741B8">
        <w:rPr>
          <w:rtl/>
        </w:rPr>
        <w:t>في السجل الدولي و</w:t>
      </w:r>
      <w:r>
        <w:rPr>
          <w:rtl/>
        </w:rPr>
        <w:t xml:space="preserve">يُنشر في </w:t>
      </w:r>
      <w:r w:rsidRPr="00A741B8">
        <w:rPr>
          <w:i/>
          <w:iCs/>
          <w:rtl/>
        </w:rPr>
        <w:t>نشرة التصاميم الدولية</w:t>
      </w:r>
      <w:r>
        <w:rPr>
          <w:rFonts w:hint="cs"/>
          <w:rtl/>
        </w:rPr>
        <w:t xml:space="preserve">. </w:t>
      </w:r>
      <w:r w:rsidRPr="00A741B8">
        <w:rPr>
          <w:rtl/>
        </w:rPr>
        <w:t xml:space="preserve">وفي هذا الصدد، وبالنظر إلى تنوع التعديلات، </w:t>
      </w:r>
      <w:r>
        <w:rPr>
          <w:rFonts w:hint="cs"/>
          <w:rtl/>
        </w:rPr>
        <w:t>يتمثّل</w:t>
      </w:r>
      <w:r w:rsidRPr="00A741B8">
        <w:rPr>
          <w:rtl/>
        </w:rPr>
        <w:t xml:space="preserve"> أكثر الحلول تأكيدا وواقعية لتحقيق الإتاحة العلنية للمعلومات المتعلقة بالتعديلات </w:t>
      </w:r>
      <w:r>
        <w:rPr>
          <w:rFonts w:hint="cs"/>
          <w:rtl/>
        </w:rPr>
        <w:t>في</w:t>
      </w:r>
      <w:r w:rsidRPr="00A741B8">
        <w:rPr>
          <w:rtl/>
        </w:rPr>
        <w:t xml:space="preserve"> أن يحمّل المكتب الدولي نسخة من الإخطار أو البيان كما ورد من المكتب </w:t>
      </w:r>
      <w:r>
        <w:rPr>
          <w:rFonts w:hint="cs"/>
          <w:rtl/>
        </w:rPr>
        <w:t>ويتيحها</w:t>
      </w:r>
      <w:r w:rsidRPr="00A741B8">
        <w:rPr>
          <w:rtl/>
        </w:rPr>
        <w:t xml:space="preserve"> في النشرة.</w:t>
      </w:r>
    </w:p>
    <w:p w:rsidR="00120720" w:rsidRDefault="00120720" w:rsidP="00775989">
      <w:pPr>
        <w:pStyle w:val="NumberedParaAR"/>
      </w:pPr>
      <w:r>
        <w:rPr>
          <w:rFonts w:hint="cs"/>
          <w:rtl/>
        </w:rPr>
        <w:t xml:space="preserve">وبالإضافة إلى ذلك، رأى الفريق العامل في دورته الرابعة </w:t>
      </w:r>
      <w:r w:rsidRPr="00573EA4">
        <w:rPr>
          <w:rtl/>
        </w:rPr>
        <w:t>أن "التاريخ الذي أحدث فيه التسجيل الدولي، أو سيُحدث فيه، نفس أثر م</w:t>
      </w:r>
      <w:r>
        <w:rPr>
          <w:rtl/>
        </w:rPr>
        <w:t>نح الحماية وفقا للقانون المطبق"</w:t>
      </w:r>
      <w:r>
        <w:t xml:space="preserve"> </w:t>
      </w:r>
      <w:r w:rsidRPr="00573EA4">
        <w:rPr>
          <w:rtl/>
        </w:rPr>
        <w:t xml:space="preserve">سيكون أيضا عنصرا مهما يبلّغه مكتب الطرف المتعاقد المعيّن إلى </w:t>
      </w:r>
      <w:r w:rsidRPr="00573EA4">
        <w:rPr>
          <w:rtl/>
        </w:rPr>
        <w:lastRenderedPageBreak/>
        <w:t>المكتب الدولي الذي يتيحه بدوره علنا بطريقة مركزية.</w:t>
      </w:r>
      <w:r>
        <w:rPr>
          <w:rFonts w:hint="cs"/>
          <w:rtl/>
        </w:rPr>
        <w:t xml:space="preserve"> كما اتُفق على أن يكون إصدار بيان منح الحماية إجباريا في ظل بعض الظروف. وأخيرا وافق الفريق العامل على اقتراح تعديل جدول الرسوم من أجل السماح للمكتب الدولي من تحصيل رسم مقابل خدمات إضافية، مثل التقديم المتأخر لوثائق الأولوية بعد إيداع طلب دولي.</w:t>
      </w:r>
    </w:p>
    <w:p w:rsidR="00120720" w:rsidRDefault="00120720" w:rsidP="00C30193">
      <w:pPr>
        <w:pStyle w:val="DecisionParaReportAR"/>
        <w:keepNext/>
        <w:tabs>
          <w:tab w:val="clear" w:pos="567"/>
        </w:tabs>
        <w:ind w:left="566"/>
        <w:rPr>
          <w:rtl/>
        </w:rPr>
      </w:pPr>
      <w:r>
        <w:rPr>
          <w:rFonts w:hint="cs"/>
          <w:rtl/>
        </w:rPr>
        <w:t>إن الجمعية:</w:t>
      </w:r>
    </w:p>
    <w:p w:rsidR="00120720" w:rsidRDefault="008F4091" w:rsidP="00465BE5">
      <w:pPr>
        <w:pStyle w:val="DecisionParaReportAR"/>
        <w:numPr>
          <w:ilvl w:val="0"/>
          <w:numId w:val="0"/>
        </w:numPr>
        <w:ind w:left="1133"/>
        <w:rPr>
          <w:rtl/>
        </w:rPr>
      </w:pPr>
      <w:r>
        <w:rPr>
          <w:rFonts w:hint="cs"/>
          <w:rtl/>
        </w:rPr>
        <w:t>(أ)</w:t>
      </w:r>
      <w:r w:rsidR="00120720">
        <w:rPr>
          <w:rtl/>
        </w:rPr>
        <w:tab/>
      </w:r>
      <w:r w:rsidR="00120720">
        <w:rPr>
          <w:rFonts w:hint="cs"/>
          <w:rtl/>
        </w:rPr>
        <w:t>اعتمدت التوصية الداعية إلى جعل شهادة النقل وثيقة مقبولة في الأطراف المتعاقدة التي أصدرت إعلانا بموجب المادة</w:t>
      </w:r>
      <w:r w:rsidR="00120720">
        <w:rPr>
          <w:rFonts w:hint="eastAsia"/>
          <w:rtl/>
        </w:rPr>
        <w:t> </w:t>
      </w:r>
      <w:r w:rsidR="00120720">
        <w:rPr>
          <w:rFonts w:hint="cs"/>
          <w:rtl/>
        </w:rPr>
        <w:t>16(2) من وثيقة</w:t>
      </w:r>
      <w:r w:rsidR="00120720">
        <w:rPr>
          <w:rFonts w:hint="eastAsia"/>
          <w:rtl/>
        </w:rPr>
        <w:t> </w:t>
      </w:r>
      <w:r w:rsidR="00120720">
        <w:rPr>
          <w:rFonts w:hint="cs"/>
          <w:rtl/>
        </w:rPr>
        <w:t>1999، كما هو منصوص عليه في المرفق الأول من الوثيقة</w:t>
      </w:r>
      <w:r w:rsidR="00120720">
        <w:rPr>
          <w:rFonts w:hint="eastAsia"/>
          <w:rtl/>
        </w:rPr>
        <w:t> </w:t>
      </w:r>
      <w:r w:rsidR="00120720" w:rsidRPr="00A6752E">
        <w:t>H/A/34/2</w:t>
      </w:r>
      <w:r w:rsidR="00120720">
        <w:rPr>
          <w:rFonts w:hint="cs"/>
          <w:rtl/>
        </w:rPr>
        <w:t>؛</w:t>
      </w:r>
    </w:p>
    <w:p w:rsidR="00120720" w:rsidRDefault="008F4091" w:rsidP="00465BE5">
      <w:pPr>
        <w:pStyle w:val="DecisionParaReportAR"/>
        <w:numPr>
          <w:ilvl w:val="0"/>
          <w:numId w:val="0"/>
        </w:numPr>
        <w:ind w:left="1133"/>
        <w:rPr>
          <w:rtl/>
        </w:rPr>
      </w:pPr>
      <w:r>
        <w:rPr>
          <w:rFonts w:hint="cs"/>
          <w:rtl/>
        </w:rPr>
        <w:t>(ب)</w:t>
      </w:r>
      <w:r w:rsidR="00120720">
        <w:rPr>
          <w:rtl/>
        </w:rPr>
        <w:tab/>
      </w:r>
      <w:r w:rsidR="00120720">
        <w:rPr>
          <w:rFonts w:hint="cs"/>
          <w:rtl/>
        </w:rPr>
        <w:t>واعتمدت التعديلات المقترح إدخالها على اللائحة التنفيذية المشتركة فيما يخص القاعدة</w:t>
      </w:r>
      <w:r w:rsidR="00120720">
        <w:rPr>
          <w:rFonts w:hint="eastAsia"/>
          <w:rtl/>
        </w:rPr>
        <w:t> </w:t>
      </w:r>
      <w:r w:rsidR="00120720">
        <w:rPr>
          <w:rFonts w:hint="cs"/>
          <w:rtl/>
        </w:rPr>
        <w:t>18(4) والقاعدة</w:t>
      </w:r>
      <w:r w:rsidR="00120720">
        <w:rPr>
          <w:rFonts w:hint="eastAsia"/>
          <w:rtl/>
        </w:rPr>
        <w:t> </w:t>
      </w:r>
      <w:r w:rsidR="00120720">
        <w:rPr>
          <w:rFonts w:hint="cs"/>
          <w:rtl/>
        </w:rPr>
        <w:t>18(ثانيا)(1) و(2)، كما هو منصوص عليه في المرفق الخامس من الوثيقة</w:t>
      </w:r>
      <w:r w:rsidR="00120720">
        <w:rPr>
          <w:rFonts w:hint="eastAsia"/>
          <w:rtl/>
        </w:rPr>
        <w:t> </w:t>
      </w:r>
      <w:r w:rsidR="00120720" w:rsidRPr="00A6752E">
        <w:t>H/A/34/2</w:t>
      </w:r>
      <w:r w:rsidR="00120720">
        <w:rPr>
          <w:rFonts w:hint="cs"/>
          <w:rtl/>
        </w:rPr>
        <w:t>، على أن يكون تاريخ بدء النفاذ 1</w:t>
      </w:r>
      <w:r w:rsidR="00120720">
        <w:rPr>
          <w:rFonts w:hint="eastAsia"/>
          <w:rtl/>
        </w:rPr>
        <w:t> </w:t>
      </w:r>
      <w:r w:rsidR="00120720">
        <w:rPr>
          <w:rFonts w:hint="cs"/>
          <w:rtl/>
        </w:rPr>
        <w:t>يناير</w:t>
      </w:r>
      <w:r w:rsidR="00120720">
        <w:rPr>
          <w:rFonts w:hint="eastAsia"/>
          <w:rtl/>
        </w:rPr>
        <w:t> </w:t>
      </w:r>
      <w:r w:rsidR="00120720">
        <w:rPr>
          <w:rFonts w:hint="cs"/>
          <w:rtl/>
        </w:rPr>
        <w:t>2015؛</w:t>
      </w:r>
    </w:p>
    <w:p w:rsidR="00120720" w:rsidRDefault="008F4091" w:rsidP="00465BE5">
      <w:pPr>
        <w:pStyle w:val="DecisionParaReportAR"/>
        <w:numPr>
          <w:ilvl w:val="0"/>
          <w:numId w:val="0"/>
        </w:numPr>
        <w:ind w:left="1133"/>
        <w:rPr>
          <w:rtl/>
        </w:rPr>
      </w:pPr>
      <w:r>
        <w:rPr>
          <w:rFonts w:hint="cs"/>
          <w:rtl/>
        </w:rPr>
        <w:t>(ج)</w:t>
      </w:r>
      <w:r w:rsidR="00120720">
        <w:rPr>
          <w:rtl/>
        </w:rPr>
        <w:tab/>
      </w:r>
      <w:r w:rsidR="00120720">
        <w:rPr>
          <w:rFonts w:hint="cs"/>
          <w:rtl/>
        </w:rPr>
        <w:t>واعتمدت التعديلات المقترح إدخالها على اللائحة المشتركة فيما يخص جدول الرسوم، كما هو منصوص عليه في المرفق الخامس من الوثيقة</w:t>
      </w:r>
      <w:r w:rsidR="00120720">
        <w:rPr>
          <w:rFonts w:hint="eastAsia"/>
          <w:rtl/>
        </w:rPr>
        <w:t> </w:t>
      </w:r>
      <w:r w:rsidR="00120720" w:rsidRPr="00A6752E">
        <w:t>H/A/34/2</w:t>
      </w:r>
      <w:r w:rsidR="00120720">
        <w:rPr>
          <w:rFonts w:hint="cs"/>
          <w:rtl/>
        </w:rPr>
        <w:t>، على أن يكون تاريخ بدء النفاذ 1</w:t>
      </w:r>
      <w:r w:rsidR="00120720">
        <w:rPr>
          <w:rFonts w:hint="eastAsia"/>
          <w:rtl/>
        </w:rPr>
        <w:t> </w:t>
      </w:r>
      <w:r w:rsidR="00120720">
        <w:rPr>
          <w:rFonts w:hint="cs"/>
          <w:rtl/>
        </w:rPr>
        <w:t>يناير</w:t>
      </w:r>
      <w:r w:rsidR="00120720">
        <w:rPr>
          <w:rFonts w:hint="eastAsia"/>
          <w:rtl/>
        </w:rPr>
        <w:t> </w:t>
      </w:r>
      <w:r w:rsidR="00C30193">
        <w:rPr>
          <w:rFonts w:hint="cs"/>
          <w:rtl/>
        </w:rPr>
        <w:t>2015.</w:t>
      </w:r>
    </w:p>
    <w:p w:rsidR="00120720" w:rsidRPr="00FE51A6" w:rsidRDefault="00120720" w:rsidP="00775989">
      <w:pPr>
        <w:pStyle w:val="EndofDocumentAR"/>
      </w:pPr>
      <w:r>
        <w:rPr>
          <w:rFonts w:hint="cs"/>
          <w:rtl/>
        </w:rPr>
        <w:t>[نهاية الوثيقة]</w:t>
      </w:r>
    </w:p>
    <w:p w:rsidR="00153FF5" w:rsidRDefault="00153FF5" w:rsidP="00153FF5">
      <w:pPr>
        <w:pStyle w:val="NumberedParaAR"/>
        <w:numPr>
          <w:ilvl w:val="0"/>
          <w:numId w:val="0"/>
        </w:numPr>
        <w:rPr>
          <w:rtl/>
        </w:rPr>
      </w:pPr>
    </w:p>
    <w:p w:rsidR="00C30193" w:rsidRPr="001667B6" w:rsidRDefault="00C30193" w:rsidP="00153FF5">
      <w:pPr>
        <w:pStyle w:val="NumberedParaAR"/>
        <w:numPr>
          <w:ilvl w:val="0"/>
          <w:numId w:val="0"/>
        </w:numPr>
      </w:pPr>
    </w:p>
    <w:sectPr w:rsidR="00C30193" w:rsidRPr="001667B6"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C48" w:rsidRDefault="00333C48">
      <w:r>
        <w:separator/>
      </w:r>
    </w:p>
  </w:endnote>
  <w:endnote w:type="continuationSeparator" w:id="0">
    <w:p w:rsidR="00333C48" w:rsidRDefault="00333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C48" w:rsidRDefault="00333C48" w:rsidP="009622BF">
      <w:pPr>
        <w:bidi/>
      </w:pPr>
      <w:bookmarkStart w:id="0" w:name="OLE_LINK1"/>
      <w:bookmarkStart w:id="1" w:name="OLE_LINK2"/>
      <w:r>
        <w:separator/>
      </w:r>
      <w:bookmarkEnd w:id="0"/>
      <w:bookmarkEnd w:id="1"/>
    </w:p>
  </w:footnote>
  <w:footnote w:type="continuationSeparator" w:id="0">
    <w:p w:rsidR="00333C48" w:rsidRDefault="00333C48"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2CA" w:rsidRDefault="005A62CA" w:rsidP="00BC4581">
    <w:r>
      <w:t>H/A/</w:t>
    </w:r>
    <w:r w:rsidR="00BE190A">
      <w:t>34</w:t>
    </w:r>
    <w:r>
      <w:t>/</w:t>
    </w:r>
    <w:r w:rsidR="00BE190A">
      <w:t>3</w:t>
    </w:r>
  </w:p>
  <w:p w:rsidR="005A62CA" w:rsidRDefault="005A62CA" w:rsidP="00D61541">
    <w:r>
      <w:fldChar w:fldCharType="begin"/>
    </w:r>
    <w:r>
      <w:instrText xml:space="preserve"> PAGE  \* MERGEFORMAT </w:instrText>
    </w:r>
    <w:r>
      <w:fldChar w:fldCharType="separate"/>
    </w:r>
    <w:r w:rsidR="00FF2D1A">
      <w:rPr>
        <w:noProof/>
      </w:rPr>
      <w:t>4</w:t>
    </w:r>
    <w:r>
      <w:fldChar w:fldCharType="end"/>
    </w:r>
  </w:p>
  <w:p w:rsidR="005A62CA" w:rsidRDefault="005A62CA"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CB9"/>
    <w:rsid w:val="00002CBE"/>
    <w:rsid w:val="00003232"/>
    <w:rsid w:val="000033DA"/>
    <w:rsid w:val="0000579F"/>
    <w:rsid w:val="000076BD"/>
    <w:rsid w:val="00010481"/>
    <w:rsid w:val="00010671"/>
    <w:rsid w:val="000114E2"/>
    <w:rsid w:val="00013347"/>
    <w:rsid w:val="00013D73"/>
    <w:rsid w:val="000142E1"/>
    <w:rsid w:val="000146BD"/>
    <w:rsid w:val="00014B68"/>
    <w:rsid w:val="0001645D"/>
    <w:rsid w:val="00016C85"/>
    <w:rsid w:val="00017A43"/>
    <w:rsid w:val="0002157B"/>
    <w:rsid w:val="00023101"/>
    <w:rsid w:val="0002407C"/>
    <w:rsid w:val="0002476F"/>
    <w:rsid w:val="00024E17"/>
    <w:rsid w:val="00024FF3"/>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5B1F"/>
    <w:rsid w:val="000E6045"/>
    <w:rsid w:val="000E7872"/>
    <w:rsid w:val="000F0772"/>
    <w:rsid w:val="000F0BE5"/>
    <w:rsid w:val="000F0F0D"/>
    <w:rsid w:val="000F1B52"/>
    <w:rsid w:val="000F1C70"/>
    <w:rsid w:val="000F1EAA"/>
    <w:rsid w:val="000F26EE"/>
    <w:rsid w:val="000F30D5"/>
    <w:rsid w:val="000F33C5"/>
    <w:rsid w:val="000F3ACF"/>
    <w:rsid w:val="000F49FA"/>
    <w:rsid w:val="000F58C4"/>
    <w:rsid w:val="000F5E56"/>
    <w:rsid w:val="000F70F9"/>
    <w:rsid w:val="001007AB"/>
    <w:rsid w:val="001012E0"/>
    <w:rsid w:val="001016F2"/>
    <w:rsid w:val="001024C1"/>
    <w:rsid w:val="001029EA"/>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0720"/>
    <w:rsid w:val="00121092"/>
    <w:rsid w:val="00121AA0"/>
    <w:rsid w:val="00121FE6"/>
    <w:rsid w:val="00123F16"/>
    <w:rsid w:val="0012405D"/>
    <w:rsid w:val="001252B1"/>
    <w:rsid w:val="00126897"/>
    <w:rsid w:val="00130FC9"/>
    <w:rsid w:val="001310EE"/>
    <w:rsid w:val="0013191A"/>
    <w:rsid w:val="00131E8F"/>
    <w:rsid w:val="00135C24"/>
    <w:rsid w:val="00136389"/>
    <w:rsid w:val="00136A1A"/>
    <w:rsid w:val="00136A96"/>
    <w:rsid w:val="001376B6"/>
    <w:rsid w:val="00140A35"/>
    <w:rsid w:val="00142F4D"/>
    <w:rsid w:val="00143428"/>
    <w:rsid w:val="0014412C"/>
    <w:rsid w:val="00144132"/>
    <w:rsid w:val="00144713"/>
    <w:rsid w:val="00144CC3"/>
    <w:rsid w:val="0015009D"/>
    <w:rsid w:val="001519FB"/>
    <w:rsid w:val="00151B18"/>
    <w:rsid w:val="00151BF2"/>
    <w:rsid w:val="00151C68"/>
    <w:rsid w:val="001520DD"/>
    <w:rsid w:val="00152374"/>
    <w:rsid w:val="00153A62"/>
    <w:rsid w:val="00153CD7"/>
    <w:rsid w:val="00153FF5"/>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8AB"/>
    <w:rsid w:val="00176D25"/>
    <w:rsid w:val="00176D64"/>
    <w:rsid w:val="00176E2C"/>
    <w:rsid w:val="00177DBF"/>
    <w:rsid w:val="00182417"/>
    <w:rsid w:val="0018242F"/>
    <w:rsid w:val="0018414E"/>
    <w:rsid w:val="00185718"/>
    <w:rsid w:val="001857AF"/>
    <w:rsid w:val="00185BBE"/>
    <w:rsid w:val="00186606"/>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513D"/>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0FD4"/>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5129"/>
    <w:rsid w:val="00286744"/>
    <w:rsid w:val="002909B9"/>
    <w:rsid w:val="00292CEE"/>
    <w:rsid w:val="00292D22"/>
    <w:rsid w:val="0029470D"/>
    <w:rsid w:val="00297B80"/>
    <w:rsid w:val="002A076C"/>
    <w:rsid w:val="002A1059"/>
    <w:rsid w:val="002A376E"/>
    <w:rsid w:val="002A3C9D"/>
    <w:rsid w:val="002A5403"/>
    <w:rsid w:val="002A6C9F"/>
    <w:rsid w:val="002A77F3"/>
    <w:rsid w:val="002B14F0"/>
    <w:rsid w:val="002B1F0F"/>
    <w:rsid w:val="002B53D3"/>
    <w:rsid w:val="002B6202"/>
    <w:rsid w:val="002C014C"/>
    <w:rsid w:val="002C0536"/>
    <w:rsid w:val="002C060C"/>
    <w:rsid w:val="002C0BA6"/>
    <w:rsid w:val="002C12A7"/>
    <w:rsid w:val="002C2B6F"/>
    <w:rsid w:val="002C30CC"/>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3C48"/>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181"/>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688B"/>
    <w:rsid w:val="003A78C7"/>
    <w:rsid w:val="003A7E9A"/>
    <w:rsid w:val="003B15FE"/>
    <w:rsid w:val="003B1C41"/>
    <w:rsid w:val="003B46AD"/>
    <w:rsid w:val="003B5C96"/>
    <w:rsid w:val="003B65FB"/>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3082"/>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50EEE"/>
    <w:rsid w:val="004512B2"/>
    <w:rsid w:val="004528EE"/>
    <w:rsid w:val="00453360"/>
    <w:rsid w:val="00454650"/>
    <w:rsid w:val="00456409"/>
    <w:rsid w:val="004569C6"/>
    <w:rsid w:val="00456ADC"/>
    <w:rsid w:val="0045768F"/>
    <w:rsid w:val="00457769"/>
    <w:rsid w:val="00461DED"/>
    <w:rsid w:val="004627AE"/>
    <w:rsid w:val="0046298E"/>
    <w:rsid w:val="004647BB"/>
    <w:rsid w:val="0046482B"/>
    <w:rsid w:val="004648E0"/>
    <w:rsid w:val="00465BE5"/>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3750"/>
    <w:rsid w:val="00494195"/>
    <w:rsid w:val="004945FB"/>
    <w:rsid w:val="00497356"/>
    <w:rsid w:val="004A1DC1"/>
    <w:rsid w:val="004A31A2"/>
    <w:rsid w:val="004A48A7"/>
    <w:rsid w:val="004A655D"/>
    <w:rsid w:val="004B01B1"/>
    <w:rsid w:val="004B08D1"/>
    <w:rsid w:val="004B10E6"/>
    <w:rsid w:val="004B198F"/>
    <w:rsid w:val="004B46D0"/>
    <w:rsid w:val="004B57B0"/>
    <w:rsid w:val="004B60CE"/>
    <w:rsid w:val="004B61C9"/>
    <w:rsid w:val="004B7D44"/>
    <w:rsid w:val="004C0B26"/>
    <w:rsid w:val="004C12FE"/>
    <w:rsid w:val="004C1D57"/>
    <w:rsid w:val="004C265C"/>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CB9"/>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4F7C42"/>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4373"/>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27D"/>
    <w:rsid w:val="005409EB"/>
    <w:rsid w:val="00540F30"/>
    <w:rsid w:val="00541DD2"/>
    <w:rsid w:val="00543771"/>
    <w:rsid w:val="00543A63"/>
    <w:rsid w:val="00543AB5"/>
    <w:rsid w:val="005457CF"/>
    <w:rsid w:val="00545976"/>
    <w:rsid w:val="0054660F"/>
    <w:rsid w:val="00547628"/>
    <w:rsid w:val="005521EE"/>
    <w:rsid w:val="00553168"/>
    <w:rsid w:val="005533C3"/>
    <w:rsid w:val="005536E6"/>
    <w:rsid w:val="00553AC3"/>
    <w:rsid w:val="00553DBA"/>
    <w:rsid w:val="00554335"/>
    <w:rsid w:val="00555631"/>
    <w:rsid w:val="0055621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2CA"/>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486"/>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656E"/>
    <w:rsid w:val="00646DF5"/>
    <w:rsid w:val="00650397"/>
    <w:rsid w:val="006507E8"/>
    <w:rsid w:val="00650C73"/>
    <w:rsid w:val="00651143"/>
    <w:rsid w:val="00651959"/>
    <w:rsid w:val="00653149"/>
    <w:rsid w:val="006531E4"/>
    <w:rsid w:val="00654505"/>
    <w:rsid w:val="006557DA"/>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0D11"/>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52D"/>
    <w:rsid w:val="006E7572"/>
    <w:rsid w:val="006F2F22"/>
    <w:rsid w:val="006F434A"/>
    <w:rsid w:val="006F7974"/>
    <w:rsid w:val="00700A15"/>
    <w:rsid w:val="00700A60"/>
    <w:rsid w:val="00705027"/>
    <w:rsid w:val="00710494"/>
    <w:rsid w:val="007117BD"/>
    <w:rsid w:val="00714E9A"/>
    <w:rsid w:val="00715129"/>
    <w:rsid w:val="007154CE"/>
    <w:rsid w:val="00715B25"/>
    <w:rsid w:val="00716020"/>
    <w:rsid w:val="00720860"/>
    <w:rsid w:val="00721087"/>
    <w:rsid w:val="00721530"/>
    <w:rsid w:val="00723422"/>
    <w:rsid w:val="007260FE"/>
    <w:rsid w:val="00726DD6"/>
    <w:rsid w:val="00733416"/>
    <w:rsid w:val="0073377E"/>
    <w:rsid w:val="00733E05"/>
    <w:rsid w:val="00735C8A"/>
    <w:rsid w:val="00735FE2"/>
    <w:rsid w:val="0073719A"/>
    <w:rsid w:val="00737C62"/>
    <w:rsid w:val="00737C91"/>
    <w:rsid w:val="0074130E"/>
    <w:rsid w:val="007432D9"/>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5989"/>
    <w:rsid w:val="00776A33"/>
    <w:rsid w:val="00776F15"/>
    <w:rsid w:val="007779ED"/>
    <w:rsid w:val="00780B1A"/>
    <w:rsid w:val="007810D3"/>
    <w:rsid w:val="0078264A"/>
    <w:rsid w:val="00785E46"/>
    <w:rsid w:val="00787917"/>
    <w:rsid w:val="00791489"/>
    <w:rsid w:val="00791683"/>
    <w:rsid w:val="00791730"/>
    <w:rsid w:val="00792F0C"/>
    <w:rsid w:val="00795460"/>
    <w:rsid w:val="007A0313"/>
    <w:rsid w:val="007A0A83"/>
    <w:rsid w:val="007A4BB3"/>
    <w:rsid w:val="007A6307"/>
    <w:rsid w:val="007A6822"/>
    <w:rsid w:val="007A724D"/>
    <w:rsid w:val="007A749D"/>
    <w:rsid w:val="007A7B37"/>
    <w:rsid w:val="007B024C"/>
    <w:rsid w:val="007B1C4C"/>
    <w:rsid w:val="007B2800"/>
    <w:rsid w:val="007B38F7"/>
    <w:rsid w:val="007B40D4"/>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628D"/>
    <w:rsid w:val="007E7997"/>
    <w:rsid w:val="007E7B47"/>
    <w:rsid w:val="007F04EF"/>
    <w:rsid w:val="007F342F"/>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AF7"/>
    <w:rsid w:val="00840F1B"/>
    <w:rsid w:val="0084117A"/>
    <w:rsid w:val="00842827"/>
    <w:rsid w:val="00842965"/>
    <w:rsid w:val="00844300"/>
    <w:rsid w:val="0084513F"/>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65013"/>
    <w:rsid w:val="00867950"/>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57"/>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4091"/>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5DE1"/>
    <w:rsid w:val="00926344"/>
    <w:rsid w:val="00927301"/>
    <w:rsid w:val="00927E9D"/>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3B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C1B"/>
    <w:rsid w:val="009D500A"/>
    <w:rsid w:val="009D5159"/>
    <w:rsid w:val="009D5EA5"/>
    <w:rsid w:val="009D64DA"/>
    <w:rsid w:val="009D6BEA"/>
    <w:rsid w:val="009D76A3"/>
    <w:rsid w:val="009D775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4BD2"/>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77C5"/>
    <w:rsid w:val="00A37B2E"/>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0B0"/>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10F8"/>
    <w:rsid w:val="00AB246B"/>
    <w:rsid w:val="00AB2E96"/>
    <w:rsid w:val="00AB36D4"/>
    <w:rsid w:val="00AB3BA5"/>
    <w:rsid w:val="00AB5500"/>
    <w:rsid w:val="00AB5564"/>
    <w:rsid w:val="00AB57FB"/>
    <w:rsid w:val="00AB7348"/>
    <w:rsid w:val="00AC13B0"/>
    <w:rsid w:val="00AC2FD0"/>
    <w:rsid w:val="00AC3DBD"/>
    <w:rsid w:val="00AC5480"/>
    <w:rsid w:val="00AC5A3D"/>
    <w:rsid w:val="00AC5E85"/>
    <w:rsid w:val="00AD03D8"/>
    <w:rsid w:val="00AD0D5F"/>
    <w:rsid w:val="00AD34CF"/>
    <w:rsid w:val="00AD36C8"/>
    <w:rsid w:val="00AD37C9"/>
    <w:rsid w:val="00AD47D3"/>
    <w:rsid w:val="00AD652F"/>
    <w:rsid w:val="00AD7D05"/>
    <w:rsid w:val="00AE01F6"/>
    <w:rsid w:val="00AE16F0"/>
    <w:rsid w:val="00AE473C"/>
    <w:rsid w:val="00AE55E7"/>
    <w:rsid w:val="00AE6363"/>
    <w:rsid w:val="00AE6CD6"/>
    <w:rsid w:val="00AE7348"/>
    <w:rsid w:val="00AE7394"/>
    <w:rsid w:val="00AE7CD2"/>
    <w:rsid w:val="00AF0B77"/>
    <w:rsid w:val="00AF138B"/>
    <w:rsid w:val="00AF160F"/>
    <w:rsid w:val="00AF1919"/>
    <w:rsid w:val="00AF1B7B"/>
    <w:rsid w:val="00AF232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4684"/>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1A5"/>
    <w:rsid w:val="00B93957"/>
    <w:rsid w:val="00B9404A"/>
    <w:rsid w:val="00B94877"/>
    <w:rsid w:val="00B9491F"/>
    <w:rsid w:val="00B96043"/>
    <w:rsid w:val="00B96F5D"/>
    <w:rsid w:val="00BA02F9"/>
    <w:rsid w:val="00BA2682"/>
    <w:rsid w:val="00BA2F92"/>
    <w:rsid w:val="00BA31E4"/>
    <w:rsid w:val="00BA3959"/>
    <w:rsid w:val="00BA47CC"/>
    <w:rsid w:val="00BA524B"/>
    <w:rsid w:val="00BA54F7"/>
    <w:rsid w:val="00BA576C"/>
    <w:rsid w:val="00BA6205"/>
    <w:rsid w:val="00BA6CE5"/>
    <w:rsid w:val="00BA6F38"/>
    <w:rsid w:val="00BB1388"/>
    <w:rsid w:val="00BB2683"/>
    <w:rsid w:val="00BB40DF"/>
    <w:rsid w:val="00BB4E07"/>
    <w:rsid w:val="00BB5E2C"/>
    <w:rsid w:val="00BB7D9E"/>
    <w:rsid w:val="00BC16AC"/>
    <w:rsid w:val="00BC3AE8"/>
    <w:rsid w:val="00BC3AF4"/>
    <w:rsid w:val="00BC43A8"/>
    <w:rsid w:val="00BC4581"/>
    <w:rsid w:val="00BC5C6D"/>
    <w:rsid w:val="00BC7120"/>
    <w:rsid w:val="00BC76A3"/>
    <w:rsid w:val="00BD00D1"/>
    <w:rsid w:val="00BD07A2"/>
    <w:rsid w:val="00BD1757"/>
    <w:rsid w:val="00BD2603"/>
    <w:rsid w:val="00BD4EEC"/>
    <w:rsid w:val="00BD4F34"/>
    <w:rsid w:val="00BD537C"/>
    <w:rsid w:val="00BD6F5B"/>
    <w:rsid w:val="00BD7662"/>
    <w:rsid w:val="00BE05ED"/>
    <w:rsid w:val="00BE190A"/>
    <w:rsid w:val="00BE350E"/>
    <w:rsid w:val="00BE3801"/>
    <w:rsid w:val="00BE38CF"/>
    <w:rsid w:val="00BE394B"/>
    <w:rsid w:val="00BE48A8"/>
    <w:rsid w:val="00BE528F"/>
    <w:rsid w:val="00BE58D6"/>
    <w:rsid w:val="00BE5CA6"/>
    <w:rsid w:val="00BE707F"/>
    <w:rsid w:val="00BE7F5D"/>
    <w:rsid w:val="00BF0707"/>
    <w:rsid w:val="00BF164F"/>
    <w:rsid w:val="00BF1AAF"/>
    <w:rsid w:val="00BF268B"/>
    <w:rsid w:val="00BF4D03"/>
    <w:rsid w:val="00BF4E85"/>
    <w:rsid w:val="00BF54BD"/>
    <w:rsid w:val="00BF5892"/>
    <w:rsid w:val="00C016BC"/>
    <w:rsid w:val="00C01804"/>
    <w:rsid w:val="00C026BC"/>
    <w:rsid w:val="00C02AD4"/>
    <w:rsid w:val="00C03869"/>
    <w:rsid w:val="00C07988"/>
    <w:rsid w:val="00C07C5E"/>
    <w:rsid w:val="00C10068"/>
    <w:rsid w:val="00C10AC5"/>
    <w:rsid w:val="00C12DAD"/>
    <w:rsid w:val="00C12E17"/>
    <w:rsid w:val="00C142B1"/>
    <w:rsid w:val="00C14741"/>
    <w:rsid w:val="00C1544B"/>
    <w:rsid w:val="00C1665A"/>
    <w:rsid w:val="00C1739F"/>
    <w:rsid w:val="00C177FF"/>
    <w:rsid w:val="00C222FF"/>
    <w:rsid w:val="00C2338E"/>
    <w:rsid w:val="00C23FB0"/>
    <w:rsid w:val="00C24021"/>
    <w:rsid w:val="00C248AF"/>
    <w:rsid w:val="00C24B09"/>
    <w:rsid w:val="00C24BDE"/>
    <w:rsid w:val="00C24E9F"/>
    <w:rsid w:val="00C30193"/>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8766C"/>
    <w:rsid w:val="00C916C8"/>
    <w:rsid w:val="00C9398D"/>
    <w:rsid w:val="00C939EE"/>
    <w:rsid w:val="00C93C6E"/>
    <w:rsid w:val="00C93F93"/>
    <w:rsid w:val="00C94D44"/>
    <w:rsid w:val="00C95EEE"/>
    <w:rsid w:val="00C96C57"/>
    <w:rsid w:val="00C974CB"/>
    <w:rsid w:val="00C97929"/>
    <w:rsid w:val="00CA0049"/>
    <w:rsid w:val="00CA0980"/>
    <w:rsid w:val="00CA2A98"/>
    <w:rsid w:val="00CA2BAE"/>
    <w:rsid w:val="00CA34BA"/>
    <w:rsid w:val="00CA4503"/>
    <w:rsid w:val="00CA47CE"/>
    <w:rsid w:val="00CA5A66"/>
    <w:rsid w:val="00CA796A"/>
    <w:rsid w:val="00CB2575"/>
    <w:rsid w:val="00CB3677"/>
    <w:rsid w:val="00CB368F"/>
    <w:rsid w:val="00CB4C42"/>
    <w:rsid w:val="00CB4DFA"/>
    <w:rsid w:val="00CB7BD7"/>
    <w:rsid w:val="00CC4CB6"/>
    <w:rsid w:val="00CC4DB0"/>
    <w:rsid w:val="00CC5038"/>
    <w:rsid w:val="00CC5326"/>
    <w:rsid w:val="00CC7426"/>
    <w:rsid w:val="00CC763F"/>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3739"/>
    <w:rsid w:val="00CF5597"/>
    <w:rsid w:val="00CF57B4"/>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2ED9"/>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77493"/>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A76C5"/>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7960"/>
    <w:rsid w:val="00DD7B0D"/>
    <w:rsid w:val="00DE1F29"/>
    <w:rsid w:val="00DE3FEB"/>
    <w:rsid w:val="00DE48EC"/>
    <w:rsid w:val="00DE4905"/>
    <w:rsid w:val="00DE510C"/>
    <w:rsid w:val="00DE7822"/>
    <w:rsid w:val="00DF081A"/>
    <w:rsid w:val="00DF265D"/>
    <w:rsid w:val="00DF2EB0"/>
    <w:rsid w:val="00DF31C1"/>
    <w:rsid w:val="00DF3ECA"/>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4FD"/>
    <w:rsid w:val="00E2662B"/>
    <w:rsid w:val="00E26736"/>
    <w:rsid w:val="00E268AC"/>
    <w:rsid w:val="00E27D23"/>
    <w:rsid w:val="00E30A8A"/>
    <w:rsid w:val="00E31BC7"/>
    <w:rsid w:val="00E31E7F"/>
    <w:rsid w:val="00E341A9"/>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5A98"/>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452"/>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76"/>
    <w:rsid w:val="00EC3BCF"/>
    <w:rsid w:val="00EC56B1"/>
    <w:rsid w:val="00EC664F"/>
    <w:rsid w:val="00EC6749"/>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7912"/>
    <w:rsid w:val="00EE7915"/>
    <w:rsid w:val="00EF0465"/>
    <w:rsid w:val="00EF13C5"/>
    <w:rsid w:val="00EF16D8"/>
    <w:rsid w:val="00EF28EF"/>
    <w:rsid w:val="00EF40E7"/>
    <w:rsid w:val="00EF4529"/>
    <w:rsid w:val="00EF5B34"/>
    <w:rsid w:val="00EF61A0"/>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4CB9"/>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2D1A"/>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700A15"/>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700A15"/>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700A15"/>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FB7EC9"/>
    <w:pPr>
      <w:spacing w:after="108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BE190A"/>
    <w:rPr>
      <w:rFonts w:ascii="Tahoma" w:hAnsi="Tahoma" w:cs="Tahoma"/>
      <w:sz w:val="16"/>
      <w:szCs w:val="16"/>
    </w:rPr>
  </w:style>
  <w:style w:type="character" w:customStyle="1" w:styleId="BalloonTextChar">
    <w:name w:val="Balloon Text Char"/>
    <w:link w:val="BalloonText"/>
    <w:rsid w:val="00BE190A"/>
    <w:rPr>
      <w:rFonts w:ascii="Tahoma" w:hAnsi="Tahoma" w:cs="Tahoma"/>
      <w:sz w:val="16"/>
      <w:szCs w:val="16"/>
    </w:rPr>
  </w:style>
  <w:style w:type="paragraph" w:customStyle="1" w:styleId="DecisionParaReportAR">
    <w:name w:val="Decision_Para_Report_AR"/>
    <w:basedOn w:val="NumberedParaAR"/>
    <w:next w:val="NumberedParaAR"/>
    <w:qFormat/>
    <w:rsid w:val="00120720"/>
    <w:pPr>
      <w:ind w:left="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700A15"/>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700A15"/>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700A15"/>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FB7EC9"/>
    <w:pPr>
      <w:spacing w:after="108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BE190A"/>
    <w:rPr>
      <w:rFonts w:ascii="Tahoma" w:hAnsi="Tahoma" w:cs="Tahoma"/>
      <w:sz w:val="16"/>
      <w:szCs w:val="16"/>
    </w:rPr>
  </w:style>
  <w:style w:type="character" w:customStyle="1" w:styleId="BalloonTextChar">
    <w:name w:val="Balloon Text Char"/>
    <w:link w:val="BalloonText"/>
    <w:rsid w:val="00BE190A"/>
    <w:rPr>
      <w:rFonts w:ascii="Tahoma" w:hAnsi="Tahoma" w:cs="Tahoma"/>
      <w:sz w:val="16"/>
      <w:szCs w:val="16"/>
    </w:rPr>
  </w:style>
  <w:style w:type="paragraph" w:customStyle="1" w:styleId="DecisionParaReportAR">
    <w:name w:val="Decision_Para_Report_AR"/>
    <w:basedOn w:val="NumberedParaAR"/>
    <w:next w:val="NumberedParaAR"/>
    <w:qFormat/>
    <w:rsid w:val="00120720"/>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1136</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H/A/31/2  (Arabic)</vt:lpstr>
    </vt:vector>
  </TitlesOfParts>
  <Company>WIPO</Company>
  <LinksUpToDate>false</LinksUpToDate>
  <CharactersWithSpaces>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H/A/31/2  (Arabic)</dc:title>
  <dc:subject>التقرير</dc:subject>
  <dc:creator>الذي اعتمدته الجمعية</dc:creator>
  <cp:lastModifiedBy>CHADAREVIAN Diane</cp:lastModifiedBy>
  <cp:revision>9</cp:revision>
  <cp:lastPrinted>2015-01-12T10:15:00Z</cp:lastPrinted>
  <dcterms:created xsi:type="dcterms:W3CDTF">2015-01-08T10:06:00Z</dcterms:created>
  <dcterms:modified xsi:type="dcterms:W3CDTF">2015-01-12T10:15:00Z</dcterms:modified>
</cp:coreProperties>
</file>