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432CF7" w:rsidTr="00571A3A">
        <w:tc>
          <w:tcPr>
            <w:tcW w:w="4843" w:type="dxa"/>
            <w:tcBorders>
              <w:bottom w:val="single" w:sz="4" w:space="0" w:color="auto"/>
            </w:tcBorders>
          </w:tcPr>
          <w:p w:rsidR="00432CF7" w:rsidRPr="009A4222" w:rsidRDefault="00432CF7" w:rsidP="00571A3A">
            <w:pPr>
              <w:bidi/>
              <w:rPr>
                <w:rFonts w:ascii="Arabic Typesetting" w:hAnsi="Arabic Typesetting" w:cs="Arabic Typesetting"/>
                <w:sz w:val="36"/>
                <w:szCs w:val="36"/>
                <w:lang w:val="fr-CH"/>
              </w:rPr>
            </w:pPr>
          </w:p>
        </w:tc>
        <w:tc>
          <w:tcPr>
            <w:tcW w:w="4223" w:type="dxa"/>
            <w:tcBorders>
              <w:bottom w:val="single" w:sz="4" w:space="0" w:color="auto"/>
            </w:tcBorders>
          </w:tcPr>
          <w:p w:rsidR="00432CF7" w:rsidRDefault="00432CF7" w:rsidP="00571A3A">
            <w:pPr>
              <w:bidi/>
              <w:spacing w:after="20"/>
              <w:rPr>
                <w:rFonts w:ascii="Arabic Typesetting" w:hAnsi="Arabic Typesetting" w:cs="Arabic Typesetting"/>
                <w:sz w:val="36"/>
                <w:szCs w:val="36"/>
                <w:rtl/>
              </w:rPr>
            </w:pPr>
            <w:r>
              <w:rPr>
                <w:noProof/>
              </w:rPr>
              <w:drawing>
                <wp:inline distT="0" distB="0" distL="0" distR="0" wp14:anchorId="2B59D348" wp14:editId="300B4D18">
                  <wp:extent cx="1327150" cy="1263650"/>
                  <wp:effectExtent l="0" t="0" r="6350" b="0"/>
                  <wp:docPr id="7" name="Picture 7"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432CF7" w:rsidRPr="001667B6" w:rsidRDefault="00432CF7" w:rsidP="00571A3A">
            <w:pPr>
              <w:rPr>
                <w:b/>
                <w:bCs/>
                <w:sz w:val="40"/>
                <w:szCs w:val="40"/>
              </w:rPr>
            </w:pPr>
            <w:r>
              <w:rPr>
                <w:b/>
                <w:bCs/>
                <w:sz w:val="40"/>
                <w:szCs w:val="40"/>
              </w:rPr>
              <w:t>A</w:t>
            </w:r>
          </w:p>
        </w:tc>
      </w:tr>
      <w:tr w:rsidR="00432CF7" w:rsidTr="00571A3A">
        <w:trPr>
          <w:trHeight w:val="333"/>
        </w:trPr>
        <w:tc>
          <w:tcPr>
            <w:tcW w:w="9571" w:type="dxa"/>
            <w:gridSpan w:val="3"/>
            <w:tcBorders>
              <w:top w:val="single" w:sz="4" w:space="0" w:color="auto"/>
            </w:tcBorders>
            <w:vAlign w:val="bottom"/>
          </w:tcPr>
          <w:p w:rsidR="00432CF7" w:rsidRPr="00B6101C" w:rsidRDefault="00432CF7" w:rsidP="00571A3A">
            <w:pPr>
              <w:pStyle w:val="DocumentCodeAR"/>
              <w:bidi/>
              <w:rPr>
                <w:rtl/>
              </w:rPr>
            </w:pPr>
            <w:r>
              <w:t>A/54/8</w:t>
            </w:r>
          </w:p>
        </w:tc>
      </w:tr>
      <w:tr w:rsidR="00432CF7" w:rsidTr="00571A3A">
        <w:tc>
          <w:tcPr>
            <w:tcW w:w="9571" w:type="dxa"/>
            <w:gridSpan w:val="3"/>
          </w:tcPr>
          <w:p w:rsidR="00432CF7" w:rsidRPr="00B6101C" w:rsidRDefault="00432CF7" w:rsidP="00571A3A">
            <w:pPr>
              <w:pStyle w:val="DocumentLanguageAR"/>
              <w:bidi/>
              <w:rPr>
                <w:rtl/>
              </w:rPr>
            </w:pPr>
            <w:r w:rsidRPr="00B6101C">
              <w:rPr>
                <w:rFonts w:hint="cs"/>
                <w:rtl/>
              </w:rPr>
              <w:t xml:space="preserve">الأصل: </w:t>
            </w:r>
            <w:r>
              <w:rPr>
                <w:rFonts w:hint="cs"/>
                <w:rtl/>
              </w:rPr>
              <w:t>بالإنكليزية</w:t>
            </w:r>
          </w:p>
        </w:tc>
      </w:tr>
      <w:tr w:rsidR="00432CF7" w:rsidTr="00571A3A">
        <w:tc>
          <w:tcPr>
            <w:tcW w:w="9571" w:type="dxa"/>
            <w:gridSpan w:val="3"/>
          </w:tcPr>
          <w:p w:rsidR="00432CF7" w:rsidRPr="00B6101C" w:rsidRDefault="00432CF7" w:rsidP="00571A3A">
            <w:pPr>
              <w:pStyle w:val="DocumentDateAR"/>
              <w:bidi/>
              <w:rPr>
                <w:rtl/>
              </w:rPr>
            </w:pPr>
            <w:r w:rsidRPr="00B6101C">
              <w:rPr>
                <w:rFonts w:hint="cs"/>
                <w:rtl/>
              </w:rPr>
              <w:t xml:space="preserve">التاريخ: </w:t>
            </w:r>
            <w:r>
              <w:rPr>
                <w:rFonts w:hint="cs"/>
                <w:rtl/>
              </w:rPr>
              <w:t>24</w:t>
            </w:r>
            <w:r w:rsidRPr="00B6101C">
              <w:rPr>
                <w:rFonts w:hint="cs"/>
                <w:rtl/>
              </w:rPr>
              <w:t xml:space="preserve"> </w:t>
            </w:r>
            <w:r>
              <w:rPr>
                <w:rFonts w:hint="cs"/>
                <w:rtl/>
              </w:rPr>
              <w:t>يوليو</w:t>
            </w:r>
            <w:r w:rsidRPr="00B6101C">
              <w:rPr>
                <w:rFonts w:hint="cs"/>
                <w:rtl/>
              </w:rPr>
              <w:t xml:space="preserve"> </w:t>
            </w:r>
            <w:r>
              <w:rPr>
                <w:rFonts w:hint="cs"/>
                <w:rtl/>
              </w:rPr>
              <w:t>2014</w:t>
            </w:r>
          </w:p>
        </w:tc>
      </w:tr>
    </w:tbl>
    <w:p w:rsidR="00432CF7" w:rsidRDefault="00432CF7" w:rsidP="00432CF7">
      <w:pPr>
        <w:bidi/>
        <w:spacing w:line="360" w:lineRule="exact"/>
        <w:rPr>
          <w:rFonts w:ascii="Arabic Typesetting" w:hAnsi="Arabic Typesetting" w:cs="Arabic Typesetting"/>
          <w:sz w:val="36"/>
          <w:szCs w:val="36"/>
          <w:rtl/>
        </w:rPr>
      </w:pPr>
    </w:p>
    <w:p w:rsidR="00432CF7" w:rsidRDefault="00432CF7" w:rsidP="00432CF7">
      <w:pPr>
        <w:bidi/>
        <w:spacing w:line="360" w:lineRule="exact"/>
        <w:rPr>
          <w:rFonts w:ascii="Arabic Typesetting" w:hAnsi="Arabic Typesetting" w:cs="Arabic Typesetting"/>
          <w:sz w:val="36"/>
          <w:szCs w:val="36"/>
          <w:rtl/>
        </w:rPr>
      </w:pPr>
    </w:p>
    <w:p w:rsidR="00432CF7" w:rsidRDefault="00432CF7" w:rsidP="00432CF7">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432CF7" w:rsidRDefault="00432CF7" w:rsidP="00432CF7">
      <w:pPr>
        <w:bidi/>
        <w:spacing w:line="360" w:lineRule="exact"/>
        <w:rPr>
          <w:rFonts w:ascii="Arabic Typesetting" w:hAnsi="Arabic Typesetting" w:cs="Arabic Typesetting"/>
          <w:sz w:val="36"/>
          <w:szCs w:val="36"/>
          <w:rtl/>
        </w:rPr>
      </w:pPr>
    </w:p>
    <w:p w:rsidR="00432CF7" w:rsidRPr="00D61541" w:rsidRDefault="00432CF7" w:rsidP="00432CF7">
      <w:pPr>
        <w:pStyle w:val="MeetingSessionAR"/>
        <w:bidi/>
        <w:rPr>
          <w:rtl/>
        </w:rPr>
      </w:pPr>
      <w:r w:rsidRPr="00D61541">
        <w:rPr>
          <w:rFonts w:hint="cs"/>
          <w:rtl/>
        </w:rPr>
        <w:t xml:space="preserve">سلسلة الاجتماعات </w:t>
      </w:r>
      <w:r>
        <w:rPr>
          <w:rFonts w:hint="cs"/>
          <w:rtl/>
        </w:rPr>
        <w:t>الرابعة والخمسون</w:t>
      </w:r>
    </w:p>
    <w:p w:rsidR="00432CF7" w:rsidRPr="00D61541" w:rsidRDefault="00432CF7" w:rsidP="00432CF7">
      <w:pPr>
        <w:pStyle w:val="MeetingDatesAR"/>
        <w:bidi/>
        <w:rPr>
          <w:rtl/>
        </w:rPr>
      </w:pPr>
      <w:r w:rsidRPr="00D61541">
        <w:rPr>
          <w:rFonts w:hint="cs"/>
          <w:rtl/>
        </w:rPr>
        <w:t xml:space="preserve">جنيف، </w:t>
      </w:r>
      <w:r>
        <w:rPr>
          <w:rFonts w:hint="cs"/>
          <w:rtl/>
        </w:rPr>
        <w:t>من 22 إلى 30 سبتمبر 2014</w:t>
      </w:r>
    </w:p>
    <w:p w:rsidR="00432CF7" w:rsidRDefault="00432CF7" w:rsidP="00432CF7">
      <w:pPr>
        <w:bidi/>
        <w:spacing w:line="360" w:lineRule="exact"/>
        <w:rPr>
          <w:rFonts w:ascii="Arabic Typesetting" w:hAnsi="Arabic Typesetting" w:cs="Arabic Typesetting"/>
          <w:sz w:val="36"/>
          <w:szCs w:val="36"/>
          <w:rtl/>
        </w:rPr>
      </w:pPr>
    </w:p>
    <w:p w:rsidR="00432CF7" w:rsidRDefault="00432CF7" w:rsidP="00432CF7">
      <w:pPr>
        <w:bidi/>
        <w:spacing w:line="360" w:lineRule="exact"/>
        <w:rPr>
          <w:rFonts w:ascii="Arabic Typesetting" w:hAnsi="Arabic Typesetting" w:cs="Arabic Typesetting"/>
          <w:sz w:val="36"/>
          <w:szCs w:val="36"/>
          <w:rtl/>
        </w:rPr>
      </w:pPr>
    </w:p>
    <w:p w:rsidR="00432CF7" w:rsidRPr="00D61541" w:rsidRDefault="00432CF7" w:rsidP="00432CF7">
      <w:pPr>
        <w:pStyle w:val="DocumentTitleAR"/>
        <w:bidi/>
        <w:rPr>
          <w:rtl/>
        </w:rPr>
      </w:pPr>
      <w:r>
        <w:rPr>
          <w:rFonts w:hint="cs"/>
          <w:rtl/>
        </w:rPr>
        <w:t>تقرير الإدارة المالية للثنائية 2012/13</w:t>
      </w:r>
    </w:p>
    <w:p w:rsidR="00432CF7" w:rsidRPr="00D61541" w:rsidRDefault="00432CF7" w:rsidP="00432CF7">
      <w:pPr>
        <w:pStyle w:val="PreparedbyAR"/>
        <w:bidi/>
        <w:rPr>
          <w:rtl/>
        </w:rPr>
      </w:pPr>
      <w:r w:rsidRPr="00D61541">
        <w:rPr>
          <w:rFonts w:hint="cs"/>
          <w:rtl/>
        </w:rPr>
        <w:t xml:space="preserve">من </w:t>
      </w:r>
      <w:r w:rsidRPr="00931859">
        <w:rPr>
          <w:rFonts w:hint="cs"/>
          <w:rtl/>
        </w:rPr>
        <w:t>إعداد</w:t>
      </w:r>
      <w:r>
        <w:rPr>
          <w:rFonts w:hint="cs"/>
          <w:rtl/>
        </w:rPr>
        <w:t xml:space="preserve"> الأمانة</w:t>
      </w:r>
    </w:p>
    <w:p w:rsidR="00432CF7" w:rsidRDefault="00432CF7" w:rsidP="00432CF7">
      <w:pPr>
        <w:pStyle w:val="NumberedParaAR"/>
      </w:pPr>
      <w:r w:rsidRPr="00DC687C">
        <w:rPr>
          <w:rFonts w:hint="cs"/>
          <w:rtl/>
        </w:rPr>
        <w:t>تحتوي هذه الوثيقة على "</w:t>
      </w:r>
      <w:r>
        <w:rPr>
          <w:rFonts w:hint="cs"/>
          <w:rtl/>
        </w:rPr>
        <w:t>تقرير الإدارة المالية للثنائية 2012/13</w:t>
      </w:r>
      <w:r w:rsidRPr="00DC687C">
        <w:rPr>
          <w:rFonts w:hint="cs"/>
          <w:rtl/>
        </w:rPr>
        <w:t>" (الوثيقة</w:t>
      </w:r>
      <w:r>
        <w:rPr>
          <w:rFonts w:hint="eastAsia"/>
          <w:rtl/>
        </w:rPr>
        <w:t> </w:t>
      </w:r>
      <w:r w:rsidRPr="00DC687C">
        <w:t>WO/PBC/22/</w:t>
      </w:r>
      <w:r>
        <w:t>6</w:t>
      </w:r>
      <w:r w:rsidRPr="00DC687C">
        <w:rPr>
          <w:rFonts w:hint="cs"/>
          <w:rtl/>
        </w:rPr>
        <w:t>)، وهو مطروح على لجنة الويبو للبرامج والميزانية (اللجنة) في دورتها الثانية والعشرين (1 إلى 5 سبتمبر 2014).</w:t>
      </w:r>
    </w:p>
    <w:p w:rsidR="00432CF7" w:rsidRDefault="00432CF7" w:rsidP="00432CF7">
      <w:pPr>
        <w:pStyle w:val="NumberedParaAR"/>
      </w:pPr>
      <w:r w:rsidRPr="00DC687C">
        <w:rPr>
          <w:rFonts w:hint="cs"/>
          <w:rtl/>
        </w:rPr>
        <w:t>وسترد أية قرارات للجنة بشأن تلك الوثيقة في قائمة القرارات التي اتخذتها لجنة البرنامج والميزانية في دورتها الثانية والعشرين (1 إلى 5 سبتمبر 2014) (الوثيقة</w:t>
      </w:r>
      <w:r>
        <w:rPr>
          <w:rFonts w:hint="eastAsia"/>
          <w:rtl/>
        </w:rPr>
        <w:t> </w:t>
      </w:r>
      <w:r w:rsidRPr="00DC687C">
        <w:t>A/54/5</w:t>
      </w:r>
      <w:r w:rsidRPr="00DC687C">
        <w:rPr>
          <w:rFonts w:hint="cs"/>
          <w:rtl/>
        </w:rPr>
        <w:t>).</w:t>
      </w:r>
    </w:p>
    <w:p w:rsidR="00432CF7" w:rsidRDefault="00432CF7" w:rsidP="00432CF7">
      <w:pPr>
        <w:pStyle w:val="EndofDocumentAR"/>
      </w:pPr>
      <w:r w:rsidRPr="00DC687C">
        <w:rPr>
          <w:rFonts w:hint="cs"/>
          <w:rtl/>
        </w:rPr>
        <w:t xml:space="preserve">[تلي ذلك الوثيقة </w:t>
      </w:r>
      <w:r w:rsidRPr="00DC687C">
        <w:t>WO/PBC/22/</w:t>
      </w:r>
      <w:r>
        <w:t>6</w:t>
      </w:r>
      <w:r w:rsidRPr="00DC687C">
        <w:rPr>
          <w:rFonts w:hint="cs"/>
          <w:rtl/>
        </w:rPr>
        <w:t>]</w:t>
      </w:r>
    </w:p>
    <w:p w:rsidR="002E77BA" w:rsidRDefault="002E77BA" w:rsidP="00432CF7">
      <w:pPr>
        <w:bidi/>
        <w:rPr>
          <w:rFonts w:ascii="Arabic Typesetting" w:hAnsi="Arabic Typesetting" w:cs="Arabic Typesetting"/>
          <w:sz w:val="36"/>
          <w:szCs w:val="36"/>
          <w:rtl/>
        </w:rPr>
        <w:sectPr w:rsidR="002E77BA" w:rsidSect="00EB7752">
          <w:headerReference w:type="even" r:id="rId10"/>
          <w:headerReference w:type="default" r:id="rId11"/>
          <w:footerReference w:type="even" r:id="rId12"/>
          <w:footerReference w:type="default" r:id="rId13"/>
          <w:pgSz w:w="11907" w:h="16840" w:code="9"/>
          <w:pgMar w:top="567" w:right="1418" w:bottom="1418" w:left="1134" w:header="510" w:footer="1021" w:gutter="0"/>
          <w:cols w:space="720"/>
          <w:titlePg/>
          <w:docGrid w:linePitch="299"/>
        </w:sectPr>
      </w:pPr>
    </w:p>
    <w:p w:rsidR="00432CF7" w:rsidRDefault="00432CF7" w:rsidP="00432CF7">
      <w:pPr>
        <w:bidi/>
        <w:rPr>
          <w:rFonts w:ascii="Arabic Typesetting" w:hAnsi="Arabic Typesetting" w:cs="Arabic Typesetting"/>
          <w:sz w:val="36"/>
          <w:szCs w:val="36"/>
        </w:rPr>
      </w:pPr>
    </w:p>
    <w:p w:rsidR="00432CF7" w:rsidRDefault="00432CF7" w:rsidP="00432CF7">
      <w:pPr>
        <w:bidi/>
        <w:rPr>
          <w:rFonts w:ascii="Arabic Typesetting" w:hAnsi="Arabic Typesetting" w:cs="Arabic Typesetting"/>
          <w:sz w:val="36"/>
          <w:szCs w:val="36"/>
          <w:rtl/>
        </w:rPr>
        <w:sectPr w:rsidR="00432CF7" w:rsidSect="00EB7752">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6715D6" w:rsidRPr="00977A67" w:rsidTr="001E66FF">
        <w:tc>
          <w:tcPr>
            <w:tcW w:w="4843" w:type="dxa"/>
            <w:tcBorders>
              <w:bottom w:val="single" w:sz="4" w:space="0" w:color="auto"/>
            </w:tcBorders>
          </w:tcPr>
          <w:p w:rsidR="006715D6" w:rsidRDefault="006715D6" w:rsidP="001E66FF">
            <w:pPr>
              <w:bidi/>
              <w:rPr>
                <w:rFonts w:ascii="Arabic Typesetting" w:hAnsi="Arabic Typesetting" w:cs="Arabic Typesetting"/>
                <w:sz w:val="36"/>
                <w:szCs w:val="36"/>
                <w:rtl/>
              </w:rPr>
            </w:pPr>
          </w:p>
        </w:tc>
        <w:tc>
          <w:tcPr>
            <w:tcW w:w="4223" w:type="dxa"/>
            <w:tcBorders>
              <w:bottom w:val="single" w:sz="4" w:space="0" w:color="auto"/>
            </w:tcBorders>
          </w:tcPr>
          <w:p w:rsidR="006715D6" w:rsidRPr="00977A67" w:rsidRDefault="006715D6" w:rsidP="001E66FF">
            <w:pPr>
              <w:bidi/>
              <w:spacing w:after="20"/>
              <w:rPr>
                <w:rFonts w:ascii="Arabic Typesetting" w:hAnsi="Arabic Typesetting" w:cs="Arabic Typesetting"/>
                <w:sz w:val="36"/>
                <w:szCs w:val="36"/>
                <w:rtl/>
              </w:rPr>
            </w:pPr>
            <w:r w:rsidRPr="00977A67">
              <w:rPr>
                <w:noProof/>
              </w:rPr>
              <w:drawing>
                <wp:inline distT="0" distB="0" distL="0" distR="0" wp14:anchorId="54BA486E" wp14:editId="09798E9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6715D6" w:rsidRPr="00977A67" w:rsidRDefault="006715D6" w:rsidP="001E66FF">
            <w:pPr>
              <w:rPr>
                <w:b/>
                <w:bCs/>
                <w:sz w:val="40"/>
                <w:szCs w:val="40"/>
              </w:rPr>
            </w:pPr>
            <w:r w:rsidRPr="00977A67">
              <w:rPr>
                <w:b/>
                <w:bCs/>
                <w:sz w:val="40"/>
                <w:szCs w:val="40"/>
              </w:rPr>
              <w:t>A</w:t>
            </w:r>
          </w:p>
        </w:tc>
      </w:tr>
      <w:tr w:rsidR="006715D6" w:rsidRPr="00977A67" w:rsidTr="001E66FF">
        <w:trPr>
          <w:trHeight w:val="333"/>
        </w:trPr>
        <w:tc>
          <w:tcPr>
            <w:tcW w:w="9571" w:type="dxa"/>
            <w:gridSpan w:val="3"/>
            <w:tcBorders>
              <w:top w:val="single" w:sz="4" w:space="0" w:color="auto"/>
            </w:tcBorders>
            <w:vAlign w:val="bottom"/>
          </w:tcPr>
          <w:p w:rsidR="006715D6" w:rsidRPr="00977A67" w:rsidRDefault="006715D6" w:rsidP="001E66FF">
            <w:pPr>
              <w:pStyle w:val="DocumentCodeAR"/>
              <w:bidi/>
              <w:rPr>
                <w:rtl/>
              </w:rPr>
            </w:pPr>
            <w:r w:rsidRPr="00977A67">
              <w:t>WO/PBC/22/6</w:t>
            </w:r>
          </w:p>
        </w:tc>
      </w:tr>
      <w:tr w:rsidR="006715D6" w:rsidRPr="00977A67" w:rsidTr="001E66FF">
        <w:tc>
          <w:tcPr>
            <w:tcW w:w="9571" w:type="dxa"/>
            <w:gridSpan w:val="3"/>
          </w:tcPr>
          <w:p w:rsidR="006715D6" w:rsidRPr="00977A67" w:rsidRDefault="006715D6" w:rsidP="001E66FF">
            <w:pPr>
              <w:pStyle w:val="DocumentLanguageAR"/>
              <w:bidi/>
              <w:rPr>
                <w:rtl/>
              </w:rPr>
            </w:pPr>
            <w:r w:rsidRPr="00977A67">
              <w:rPr>
                <w:rFonts w:hint="cs"/>
                <w:rtl/>
              </w:rPr>
              <w:t>الأصل: بالإنكليزية</w:t>
            </w:r>
          </w:p>
        </w:tc>
      </w:tr>
      <w:tr w:rsidR="006715D6" w:rsidRPr="00977A67" w:rsidTr="001E66FF">
        <w:tc>
          <w:tcPr>
            <w:tcW w:w="9571" w:type="dxa"/>
            <w:gridSpan w:val="3"/>
          </w:tcPr>
          <w:p w:rsidR="006715D6" w:rsidRPr="00977A67" w:rsidRDefault="006715D6" w:rsidP="001E66FF">
            <w:pPr>
              <w:pStyle w:val="DocumentDateAR"/>
              <w:bidi/>
              <w:rPr>
                <w:rtl/>
              </w:rPr>
            </w:pPr>
            <w:r w:rsidRPr="00977A67">
              <w:rPr>
                <w:rFonts w:hint="cs"/>
                <w:rtl/>
              </w:rPr>
              <w:t>التاريخ: 24 يوليو 2014</w:t>
            </w:r>
          </w:p>
        </w:tc>
      </w:tr>
    </w:tbl>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pStyle w:val="MeetingTitleAR"/>
        <w:bidi/>
        <w:ind w:right="550"/>
        <w:rPr>
          <w:rtl/>
          <w:lang w:val="fr-CH"/>
        </w:rPr>
      </w:pPr>
      <w:r w:rsidRPr="00977A67">
        <w:rPr>
          <w:rtl/>
        </w:rPr>
        <w:t xml:space="preserve">لجنة </w:t>
      </w:r>
      <w:r w:rsidRPr="00977A67">
        <w:rPr>
          <w:rFonts w:hint="cs"/>
          <w:rtl/>
          <w:lang w:val="fr-CH"/>
        </w:rPr>
        <w:t>البرنامج والميزانية</w:t>
      </w:r>
    </w:p>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pStyle w:val="MeetingSessionAR"/>
        <w:bidi/>
        <w:rPr>
          <w:rFonts w:ascii="Cambria Math" w:hAnsi="Cambria Math"/>
          <w:rtl/>
        </w:rPr>
      </w:pPr>
      <w:r w:rsidRPr="00977A67">
        <w:rPr>
          <w:rFonts w:ascii="Cambria Math" w:hAnsi="Cambria Math"/>
          <w:rtl/>
        </w:rPr>
        <w:t xml:space="preserve">الدورة </w:t>
      </w:r>
      <w:r w:rsidRPr="00977A67">
        <w:rPr>
          <w:rFonts w:ascii="Cambria Math" w:hAnsi="Cambria Math" w:hint="cs"/>
          <w:rtl/>
        </w:rPr>
        <w:t>الثانية والعشرون</w:t>
      </w:r>
    </w:p>
    <w:p w:rsidR="006715D6" w:rsidRPr="00977A67" w:rsidRDefault="006715D6" w:rsidP="006715D6">
      <w:pPr>
        <w:pStyle w:val="MeetingDatesAR"/>
        <w:bidi/>
        <w:rPr>
          <w:rtl/>
        </w:rPr>
      </w:pPr>
      <w:r w:rsidRPr="00977A67">
        <w:rPr>
          <w:rFonts w:hint="cs"/>
          <w:rtl/>
        </w:rPr>
        <w:t>جنيف، من 1 إلى 5 سبتمبر 2014</w:t>
      </w:r>
    </w:p>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bidi/>
        <w:spacing w:line="360" w:lineRule="exact"/>
        <w:rPr>
          <w:rFonts w:ascii="Arabic Typesetting" w:hAnsi="Arabic Typesetting" w:cs="Arabic Typesetting"/>
          <w:sz w:val="36"/>
          <w:szCs w:val="36"/>
          <w:rtl/>
        </w:rPr>
      </w:pPr>
    </w:p>
    <w:p w:rsidR="006715D6" w:rsidRPr="00977A67" w:rsidRDefault="006715D6" w:rsidP="006715D6">
      <w:pPr>
        <w:pStyle w:val="DocumentTitleAR"/>
        <w:bidi/>
        <w:rPr>
          <w:rtl/>
        </w:rPr>
      </w:pPr>
      <w:r w:rsidRPr="00977A67">
        <w:rPr>
          <w:rFonts w:hint="cs"/>
          <w:rtl/>
        </w:rPr>
        <w:t>تقرير الإدارة المالية للثنائية 2012/13</w:t>
      </w:r>
    </w:p>
    <w:p w:rsidR="006715D6" w:rsidRPr="00977A67" w:rsidRDefault="006715D6" w:rsidP="006715D6">
      <w:pPr>
        <w:pStyle w:val="PreparedbyAR"/>
        <w:bidi/>
        <w:rPr>
          <w:rtl/>
        </w:rPr>
      </w:pPr>
      <w:r w:rsidRPr="00977A67">
        <w:rPr>
          <w:rFonts w:hint="cs"/>
          <w:rtl/>
        </w:rPr>
        <w:t>وثيقة من إعداد الأمانة</w:t>
      </w:r>
    </w:p>
    <w:p w:rsidR="006715D6" w:rsidRPr="00977A67" w:rsidRDefault="006715D6" w:rsidP="006715D6">
      <w:pPr>
        <w:pStyle w:val="NumberedParaAR"/>
      </w:pPr>
      <w:r w:rsidRPr="00977A67">
        <w:rPr>
          <w:rtl/>
        </w:rPr>
        <w:t xml:space="preserve">أحيل تقرير الإدارة المالية للمنظمة العالمية للملكية الفكرية (الويبو) </w:t>
      </w:r>
      <w:r w:rsidRPr="00977A67">
        <w:rPr>
          <w:rFonts w:hint="cs"/>
          <w:rtl/>
        </w:rPr>
        <w:t>للثنائية</w:t>
      </w:r>
      <w:r w:rsidRPr="00977A67">
        <w:rPr>
          <w:rFonts w:hint="eastAsia"/>
          <w:rtl/>
        </w:rPr>
        <w:t> </w:t>
      </w:r>
      <w:r w:rsidRPr="00977A67">
        <w:rPr>
          <w:rFonts w:hint="cs"/>
          <w:rtl/>
        </w:rPr>
        <w:t>2012/13</w:t>
      </w:r>
      <w:r w:rsidRPr="00977A67">
        <w:rPr>
          <w:rtl/>
        </w:rPr>
        <w:t xml:space="preserve"> إلى لجنة البرنامج والميزانية </w:t>
      </w:r>
      <w:r w:rsidRPr="00977A67">
        <w:rPr>
          <w:rFonts w:hint="cs"/>
          <w:rtl/>
        </w:rPr>
        <w:t xml:space="preserve">(اللجنة) </w:t>
      </w:r>
      <w:r w:rsidRPr="00977A67">
        <w:rPr>
          <w:rtl/>
        </w:rPr>
        <w:t>وفقا للمادة</w:t>
      </w:r>
      <w:r w:rsidRPr="00977A67">
        <w:rPr>
          <w:rFonts w:hint="cs"/>
          <w:rtl/>
        </w:rPr>
        <w:t> 7.6</w:t>
      </w:r>
      <w:r w:rsidRPr="00977A67">
        <w:rPr>
          <w:rtl/>
        </w:rPr>
        <w:t xml:space="preserve"> من النظام المالي ولائحته التي تنص على أن يحال تقرير الإدارة المالية إلى جميع الدول المعنية.</w:t>
      </w:r>
    </w:p>
    <w:p w:rsidR="006715D6" w:rsidRPr="00977A67" w:rsidRDefault="006715D6" w:rsidP="006715D6">
      <w:pPr>
        <w:pStyle w:val="NumberedParaAR"/>
      </w:pPr>
      <w:r w:rsidRPr="00977A67">
        <w:rPr>
          <w:rtl/>
        </w:rPr>
        <w:t>والجدير بالذكر أن تقرير الإدارة المالية لا يخضع لتدقيق خارجي.</w:t>
      </w:r>
    </w:p>
    <w:p w:rsidR="006715D6" w:rsidRPr="00977A67" w:rsidRDefault="006715D6" w:rsidP="006715D6">
      <w:pPr>
        <w:pStyle w:val="NumberedParaAR"/>
      </w:pPr>
      <w:r w:rsidRPr="00977A67">
        <w:rPr>
          <w:rFonts w:hint="cs"/>
          <w:rtl/>
        </w:rPr>
        <w:t>وفيما يلي فقرة القرار المقترحة.</w:t>
      </w:r>
    </w:p>
    <w:p w:rsidR="006715D6" w:rsidRPr="00977A67" w:rsidRDefault="006715D6" w:rsidP="006715D6">
      <w:pPr>
        <w:pStyle w:val="DecisionParaAR"/>
      </w:pPr>
      <w:r w:rsidRPr="00977A67">
        <w:rPr>
          <w:rFonts w:hint="cs"/>
          <w:rtl/>
        </w:rPr>
        <w:t>أوصت</w:t>
      </w:r>
      <w:r w:rsidRPr="00977A67">
        <w:rPr>
          <w:rtl/>
        </w:rPr>
        <w:t xml:space="preserve"> لجنة البرنامج والميزانية</w:t>
      </w:r>
      <w:r w:rsidRPr="00977A67">
        <w:rPr>
          <w:rFonts w:hint="cs"/>
          <w:rtl/>
        </w:rPr>
        <w:t xml:space="preserve"> </w:t>
      </w:r>
      <w:r w:rsidRPr="00977A67">
        <w:rPr>
          <w:rtl/>
        </w:rPr>
        <w:t>جمعيات الدول الأعضاء في الويبو بالموافقة على تقرير الإدارة المالية للثنائية</w:t>
      </w:r>
      <w:r w:rsidRPr="00977A67">
        <w:rPr>
          <w:rFonts w:hint="cs"/>
          <w:rtl/>
        </w:rPr>
        <w:t> 2012/13.</w:t>
      </w:r>
    </w:p>
    <w:p w:rsidR="006715D6" w:rsidRDefault="006715D6" w:rsidP="006715D6">
      <w:pPr>
        <w:pStyle w:val="EndofDocumentAR"/>
        <w:rPr>
          <w:rtl/>
        </w:rPr>
      </w:pPr>
      <w:r w:rsidRPr="00977A67">
        <w:rPr>
          <w:rFonts w:hint="cs"/>
          <w:rtl/>
        </w:rPr>
        <w:t>[يلي ذلك تقرير الإدارة المالية للثنائية 2012/13]</w:t>
      </w:r>
    </w:p>
    <w:p w:rsidR="006715D6" w:rsidRDefault="006715D6" w:rsidP="006715D6">
      <w:pPr>
        <w:pStyle w:val="NormalParaAR"/>
        <w:rPr>
          <w:rtl/>
        </w:rPr>
      </w:pPr>
    </w:p>
    <w:p w:rsidR="006715D6" w:rsidRDefault="006715D6" w:rsidP="006715D6">
      <w:pPr>
        <w:pStyle w:val="NormalParaAR"/>
        <w:rPr>
          <w:rtl/>
        </w:rPr>
        <w:sectPr w:rsidR="006715D6" w:rsidSect="00EB7752">
          <w:headerReference w:type="even" r:id="rId14"/>
          <w:headerReference w:type="default" r:id="rId15"/>
          <w:footerReference w:type="even" r:id="rId16"/>
          <w:footerReference w:type="default" r:id="rId17"/>
          <w:pgSz w:w="11907" w:h="16840" w:code="9"/>
          <w:pgMar w:top="567" w:right="1418" w:bottom="1418" w:left="1134" w:header="510" w:footer="1021" w:gutter="0"/>
          <w:cols w:space="720"/>
          <w:titlePg/>
          <w:docGrid w:linePitch="299"/>
        </w:sectPr>
      </w:pPr>
    </w:p>
    <w:p w:rsidR="006715D6" w:rsidRPr="00B326E5" w:rsidRDefault="006715D6" w:rsidP="006715D6">
      <w:pPr>
        <w:pStyle w:val="NormalParaAR"/>
        <w:rPr>
          <w:rtl/>
        </w:rPr>
        <w:sectPr w:rsidR="006715D6" w:rsidRPr="00B326E5" w:rsidSect="00EB7752">
          <w:pgSz w:w="11907" w:h="16840" w:code="9"/>
          <w:pgMar w:top="567" w:right="1418" w:bottom="1418" w:left="1134" w:header="510" w:footer="1021" w:gutter="0"/>
          <w:cols w:space="720"/>
          <w:titlePg/>
          <w:docGrid w:linePitch="299"/>
        </w:sectPr>
      </w:pPr>
    </w:p>
    <w:p w:rsidR="006715D6" w:rsidRPr="00977A67" w:rsidRDefault="006715D6" w:rsidP="006715D6">
      <w:pPr>
        <w:bidi/>
        <w:spacing w:before="1800" w:after="960"/>
        <w:jc w:val="center"/>
        <w:rPr>
          <w:rFonts w:ascii="Arabic Typesetting" w:hAnsi="Arabic Typesetting" w:cs="Arabic Typesetting"/>
          <w:b/>
          <w:bCs/>
          <w:sz w:val="52"/>
          <w:szCs w:val="52"/>
          <w:rtl/>
          <w:lang w:val="fr-CH"/>
        </w:rPr>
      </w:pPr>
      <w:r w:rsidRPr="00977A67">
        <w:rPr>
          <w:rFonts w:ascii="Arabic Typesetting" w:hAnsi="Arabic Typesetting" w:cs="Arabic Typesetting"/>
          <w:b/>
          <w:bCs/>
          <w:sz w:val="52"/>
          <w:szCs w:val="52"/>
          <w:rtl/>
          <w:lang w:val="fr-CH"/>
        </w:rPr>
        <w:t>المنظمة العالمية للملكية الفكرية</w:t>
      </w:r>
    </w:p>
    <w:p w:rsidR="006715D6" w:rsidRPr="00977A67" w:rsidRDefault="006715D6" w:rsidP="006715D6">
      <w:pPr>
        <w:bidi/>
        <w:spacing w:after="240"/>
        <w:jc w:val="center"/>
        <w:rPr>
          <w:rFonts w:ascii="Arabic Typesetting" w:hAnsi="Arabic Typesetting" w:cs="Arabic Typesetting"/>
          <w:b/>
          <w:bCs/>
          <w:sz w:val="72"/>
          <w:szCs w:val="72"/>
          <w:rtl/>
          <w:lang w:val="fr-CH"/>
        </w:rPr>
      </w:pPr>
      <w:r w:rsidRPr="00977A67">
        <w:rPr>
          <w:rFonts w:ascii="Arabic Typesetting" w:hAnsi="Arabic Typesetting" w:cs="Arabic Typesetting" w:hint="cs"/>
          <w:b/>
          <w:bCs/>
          <w:sz w:val="72"/>
          <w:szCs w:val="72"/>
          <w:rtl/>
          <w:lang w:val="fr-CH"/>
        </w:rPr>
        <w:t>تقرير الإدارة المالية للثنائية 2012/13</w:t>
      </w:r>
    </w:p>
    <w:p w:rsidR="006715D6" w:rsidRPr="00977A67" w:rsidRDefault="006715D6" w:rsidP="006715D6">
      <w:pPr>
        <w:pStyle w:val="NormalParaAR"/>
        <w:jc w:val="center"/>
        <w:rPr>
          <w:rtl/>
        </w:rPr>
      </w:pPr>
    </w:p>
    <w:p w:rsidR="006715D6" w:rsidRPr="00977A67" w:rsidRDefault="006715D6" w:rsidP="006715D6">
      <w:pPr>
        <w:pStyle w:val="NormalParaAR"/>
        <w:jc w:val="center"/>
        <w:rPr>
          <w:rtl/>
        </w:rPr>
      </w:pPr>
    </w:p>
    <w:p w:rsidR="006715D6" w:rsidRPr="00977A67" w:rsidRDefault="006715D6" w:rsidP="006715D6">
      <w:pPr>
        <w:pStyle w:val="NormalParaAR"/>
        <w:jc w:val="center"/>
        <w:rPr>
          <w:rtl/>
        </w:rPr>
      </w:pPr>
    </w:p>
    <w:p w:rsidR="006715D6" w:rsidRPr="00977A67" w:rsidRDefault="006715D6" w:rsidP="006715D6">
      <w:pPr>
        <w:pStyle w:val="NormalParaAR"/>
        <w:jc w:val="center"/>
        <w:rPr>
          <w:rtl/>
        </w:rPr>
      </w:pPr>
    </w:p>
    <w:p w:rsidR="006715D6" w:rsidRPr="00977A67" w:rsidRDefault="006715D6" w:rsidP="006715D6">
      <w:pPr>
        <w:pStyle w:val="NormalParaAR"/>
        <w:jc w:val="center"/>
        <w:rPr>
          <w:rtl/>
        </w:rPr>
        <w:sectPr w:rsidR="006715D6" w:rsidRPr="00977A67" w:rsidSect="00EB7752">
          <w:pgSz w:w="11907" w:h="16840" w:code="9"/>
          <w:pgMar w:top="567" w:right="1418" w:bottom="1418" w:left="1134" w:header="510" w:footer="1021" w:gutter="0"/>
          <w:cols w:space="720"/>
          <w:titlePg/>
          <w:docGrid w:linePitch="299"/>
        </w:sectPr>
      </w:pPr>
    </w:p>
    <w:p w:rsidR="006715D6" w:rsidRPr="00977A67" w:rsidRDefault="006715D6" w:rsidP="006715D6">
      <w:pPr>
        <w:bidi/>
        <w:rPr>
          <w:rFonts w:ascii="Arabic Typesetting" w:hAnsi="Arabic Typesetting" w:cs="Arabic Typesetting"/>
          <w:sz w:val="44"/>
          <w:szCs w:val="44"/>
          <w:rtl/>
        </w:rPr>
      </w:pPr>
    </w:p>
    <w:p w:rsidR="006715D6" w:rsidRPr="00977A67" w:rsidRDefault="006715D6" w:rsidP="006715D6">
      <w:pPr>
        <w:pStyle w:val="NormalParaAR"/>
        <w:jc w:val="center"/>
        <w:rPr>
          <w:sz w:val="44"/>
          <w:szCs w:val="44"/>
          <w:rtl/>
        </w:rPr>
      </w:pPr>
    </w:p>
    <w:p w:rsidR="006715D6" w:rsidRPr="00977A67" w:rsidRDefault="006715D6" w:rsidP="006715D6">
      <w:pPr>
        <w:pStyle w:val="NormalParaAR"/>
        <w:keepNext/>
        <w:jc w:val="center"/>
        <w:rPr>
          <w:sz w:val="44"/>
          <w:szCs w:val="44"/>
          <w:rtl/>
        </w:rPr>
      </w:pPr>
    </w:p>
    <w:p w:rsidR="006715D6" w:rsidRPr="00977A67" w:rsidRDefault="006715D6" w:rsidP="006715D6">
      <w:pPr>
        <w:pStyle w:val="NormalParaAR"/>
        <w:keepNext/>
        <w:jc w:val="center"/>
        <w:rPr>
          <w:sz w:val="44"/>
          <w:szCs w:val="44"/>
          <w:rtl/>
        </w:rPr>
      </w:pPr>
      <w:r w:rsidRPr="00977A67">
        <w:rPr>
          <w:rFonts w:hint="cs"/>
          <w:sz w:val="44"/>
          <w:szCs w:val="44"/>
          <w:rtl/>
        </w:rPr>
        <w:t>تمهيد</w:t>
      </w:r>
    </w:p>
    <w:p w:rsidR="006715D6" w:rsidRPr="00977A67" w:rsidRDefault="006715D6" w:rsidP="006715D6">
      <w:pPr>
        <w:pStyle w:val="NormalParaAR"/>
        <w:keepNext/>
        <w:jc w:val="center"/>
        <w:rPr>
          <w:sz w:val="44"/>
          <w:szCs w:val="44"/>
        </w:rPr>
      </w:pPr>
    </w:p>
    <w:p w:rsidR="006715D6" w:rsidRPr="00977A67" w:rsidRDefault="006715D6" w:rsidP="006715D6">
      <w:pPr>
        <w:pStyle w:val="NormalParaAR"/>
        <w:keepNext/>
        <w:jc w:val="center"/>
        <w:rPr>
          <w:sz w:val="44"/>
          <w:szCs w:val="44"/>
        </w:rPr>
      </w:pPr>
    </w:p>
    <w:p w:rsidR="006715D6" w:rsidRPr="00977A67" w:rsidRDefault="006715D6" w:rsidP="006715D6">
      <w:pPr>
        <w:pStyle w:val="NormalParaAR"/>
        <w:keepNext/>
        <w:jc w:val="center"/>
        <w:rPr>
          <w:sz w:val="44"/>
          <w:szCs w:val="44"/>
          <w:rtl/>
        </w:rPr>
      </w:pPr>
    </w:p>
    <w:p w:rsidR="006715D6" w:rsidRPr="00977A67" w:rsidRDefault="006715D6" w:rsidP="006715D6">
      <w:pPr>
        <w:pStyle w:val="NormalParaAR"/>
        <w:rPr>
          <w:rtl/>
        </w:rPr>
      </w:pPr>
      <w:r w:rsidRPr="00977A67">
        <w:rPr>
          <w:rFonts w:hint="cs"/>
          <w:rtl/>
        </w:rPr>
        <w:t>شهدت الثنائية 2012/13 زيادة في معظم تدفقات الإيرادات بالمقارنة مع ما سُجّل في الثنائية السابقة، وذلك على الرغم من استمرار الاضطراب والغموض في الانتعاش الاقتصادي العالمي على مدى الثنائية. وباستثناء نظام لاهاي، فاقت تدفقات الإيرادات المبالغ المرصودة في الميزانية. وبالإضافة إلى ذلك، واصلت المنظمة تنفيذ مختلف تدابيرها الخاصة بتحقيق الفعالية من حيث التكلفة، وتمكّنت بالتالي من تجاوز الشرط الذي حدّدته جمعيات الدول الأعضاء في أكتوبر 2011 وهو تقليص النفقات بمبلغ يساوي 10,2 مليون فرنك سويسري.</w:t>
      </w:r>
    </w:p>
    <w:p w:rsidR="006715D6" w:rsidRPr="00977A67" w:rsidRDefault="006715D6" w:rsidP="006715D6">
      <w:pPr>
        <w:pStyle w:val="NormalParaAR"/>
        <w:rPr>
          <w:rtl/>
        </w:rPr>
      </w:pPr>
      <w:r w:rsidRPr="00977A67">
        <w:rPr>
          <w:rtl/>
        </w:rPr>
        <w:t xml:space="preserve">وحققت المنظمة فائضا قدره </w:t>
      </w:r>
      <w:r w:rsidRPr="00977A67">
        <w:rPr>
          <w:rFonts w:hint="cs"/>
          <w:rtl/>
        </w:rPr>
        <w:t>68,9</w:t>
      </w:r>
      <w:r w:rsidRPr="00977A67">
        <w:rPr>
          <w:rtl/>
        </w:rPr>
        <w:t xml:space="preserve"> مليون فرنك سويسري مقارنة بميزانية الثنائية. وبلغت النفقات مقابل المبالغ المخصصة لمختلف المشروعات من الأموال الاحتياطية </w:t>
      </w:r>
      <w:r w:rsidRPr="00977A67">
        <w:rPr>
          <w:rFonts w:hint="cs"/>
          <w:rtl/>
        </w:rPr>
        <w:t>45</w:t>
      </w:r>
      <w:r w:rsidRPr="00977A67">
        <w:rPr>
          <w:rtl/>
        </w:rPr>
        <w:t>,</w:t>
      </w:r>
      <w:r w:rsidRPr="00977A67">
        <w:rPr>
          <w:rFonts w:hint="cs"/>
          <w:rtl/>
        </w:rPr>
        <w:t>3</w:t>
      </w:r>
      <w:r w:rsidRPr="00977A67">
        <w:rPr>
          <w:rtl/>
        </w:rPr>
        <w:t xml:space="preserve"> مليون فرنك سويسري ووصلت التسويات التي أجريت على أساس المعايير المحاسبية الدولية من أجل مواءمة نتائج الويبو على أساس الميزانية مع نتائجها وفقا لتلك المعايير إلى </w:t>
      </w:r>
      <w:r w:rsidRPr="00977A67">
        <w:rPr>
          <w:rFonts w:hint="cs"/>
          <w:rtl/>
        </w:rPr>
        <w:t>11</w:t>
      </w:r>
      <w:r w:rsidRPr="00977A67">
        <w:rPr>
          <w:rtl/>
        </w:rPr>
        <w:t>,</w:t>
      </w:r>
      <w:r w:rsidRPr="00977A67">
        <w:rPr>
          <w:rFonts w:hint="cs"/>
          <w:rtl/>
        </w:rPr>
        <w:t>0</w:t>
      </w:r>
      <w:r w:rsidRPr="00977A67">
        <w:rPr>
          <w:rtl/>
        </w:rPr>
        <w:t xml:space="preserve"> مليون فرنك سويسري</w:t>
      </w:r>
      <w:r w:rsidRPr="00977A67">
        <w:rPr>
          <w:rFonts w:hint="cs"/>
          <w:rtl/>
        </w:rPr>
        <w:t>. وبناء عليه</w:t>
      </w:r>
      <w:r w:rsidRPr="00977A67">
        <w:rPr>
          <w:rtl/>
        </w:rPr>
        <w:t xml:space="preserve"> </w:t>
      </w:r>
      <w:r w:rsidRPr="00977A67">
        <w:rPr>
          <w:rFonts w:hint="cs"/>
          <w:rtl/>
        </w:rPr>
        <w:t>كانت</w:t>
      </w:r>
      <w:r w:rsidRPr="00977A67">
        <w:rPr>
          <w:rtl/>
        </w:rPr>
        <w:t xml:space="preserve"> </w:t>
      </w:r>
      <w:r w:rsidRPr="00977A67">
        <w:rPr>
          <w:rFonts w:hint="cs"/>
          <w:rtl/>
        </w:rPr>
        <w:t>النتيجة</w:t>
      </w:r>
      <w:r w:rsidRPr="00977A67">
        <w:rPr>
          <w:rtl/>
        </w:rPr>
        <w:t xml:space="preserve"> </w:t>
      </w:r>
      <w:r w:rsidRPr="00977A67">
        <w:rPr>
          <w:rFonts w:hint="cs"/>
          <w:rtl/>
        </w:rPr>
        <w:t>ال</w:t>
      </w:r>
      <w:r w:rsidRPr="00977A67">
        <w:rPr>
          <w:rtl/>
        </w:rPr>
        <w:t xml:space="preserve">إجمالية </w:t>
      </w:r>
      <w:r w:rsidRPr="00977A67">
        <w:rPr>
          <w:rFonts w:hint="cs"/>
          <w:rtl/>
        </w:rPr>
        <w:t>فائضا</w:t>
      </w:r>
      <w:r w:rsidRPr="00977A67">
        <w:rPr>
          <w:rtl/>
        </w:rPr>
        <w:t xml:space="preserve"> قدره </w:t>
      </w:r>
      <w:r w:rsidRPr="00977A67">
        <w:rPr>
          <w:rFonts w:hint="cs"/>
          <w:rtl/>
        </w:rPr>
        <w:t>34</w:t>
      </w:r>
      <w:r w:rsidRPr="00977A67">
        <w:rPr>
          <w:rtl/>
        </w:rPr>
        <w:t>,</w:t>
      </w:r>
      <w:r w:rsidRPr="00977A67">
        <w:rPr>
          <w:rFonts w:hint="cs"/>
          <w:rtl/>
        </w:rPr>
        <w:t>6</w:t>
      </w:r>
      <w:r w:rsidRPr="00977A67">
        <w:rPr>
          <w:rtl/>
        </w:rPr>
        <w:t xml:space="preserve"> مليون فرنك سويسري.</w:t>
      </w:r>
    </w:p>
    <w:p w:rsidR="006715D6" w:rsidRPr="00977A67" w:rsidRDefault="006715D6" w:rsidP="006715D6">
      <w:pPr>
        <w:pStyle w:val="NormalParaAR"/>
        <w:rPr>
          <w:rtl/>
        </w:rPr>
      </w:pPr>
      <w:r w:rsidRPr="00977A67">
        <w:rPr>
          <w:rtl/>
        </w:rPr>
        <w:t>ويعرض هذا التقرير عن الإدارة المالية نتائج المنظمة للثنائية</w:t>
      </w:r>
      <w:r w:rsidRPr="00977A67">
        <w:rPr>
          <w:rFonts w:hint="cs"/>
          <w:rtl/>
        </w:rPr>
        <w:t xml:space="preserve"> 2012/13 </w:t>
      </w:r>
      <w:r w:rsidRPr="00977A67">
        <w:rPr>
          <w:rtl/>
        </w:rPr>
        <w:t xml:space="preserve">بالمقارنة مع الميزانية ومع النتائج مقابل ميزانية الثنائية السابقة. </w:t>
      </w:r>
      <w:r w:rsidRPr="00977A67">
        <w:rPr>
          <w:rFonts w:hint="cs"/>
          <w:rtl/>
        </w:rPr>
        <w:t xml:space="preserve">كما </w:t>
      </w:r>
      <w:r w:rsidRPr="00977A67">
        <w:rPr>
          <w:rtl/>
        </w:rPr>
        <w:t>يقدم تفاصيل عن الأداء المالي للمنظمة أثناء الثنائية</w:t>
      </w:r>
      <w:r w:rsidRPr="00977A67">
        <w:rPr>
          <w:rFonts w:hint="cs"/>
          <w:rtl/>
        </w:rPr>
        <w:t xml:space="preserve"> 2012/13 </w:t>
      </w:r>
      <w:r w:rsidRPr="00977A67">
        <w:rPr>
          <w:rtl/>
        </w:rPr>
        <w:t>وعن حالتها المالية في نهاية سنتي</w:t>
      </w:r>
      <w:r w:rsidRPr="00977A67">
        <w:rPr>
          <w:rFonts w:hint="cs"/>
          <w:rtl/>
        </w:rPr>
        <w:t> 2012</w:t>
      </w:r>
      <w:r w:rsidRPr="00977A67">
        <w:rPr>
          <w:rtl/>
        </w:rPr>
        <w:t xml:space="preserve"> و</w:t>
      </w:r>
      <w:r w:rsidRPr="00977A67">
        <w:rPr>
          <w:rFonts w:hint="cs"/>
          <w:rtl/>
        </w:rPr>
        <w:t>2013</w:t>
      </w:r>
      <w:r w:rsidRPr="00977A67">
        <w:rPr>
          <w:rtl/>
        </w:rPr>
        <w:t xml:space="preserve"> وفقا للمعايير المحاسبية الدولية.</w:t>
      </w:r>
    </w:p>
    <w:p w:rsidR="006715D6" w:rsidRPr="00977A67" w:rsidRDefault="006715D6" w:rsidP="006715D6">
      <w:pPr>
        <w:pStyle w:val="NormalAR"/>
        <w:tabs>
          <w:tab w:val="center" w:pos="6802"/>
        </w:tabs>
        <w:spacing w:line="240" w:lineRule="auto"/>
        <w:jc w:val="both"/>
        <w:rPr>
          <w:rtl/>
          <w:lang w:bidi="ar-SA"/>
        </w:rPr>
      </w:pPr>
      <w:r w:rsidRPr="00977A67">
        <w:rPr>
          <w:rFonts w:hint="cs"/>
          <w:rtl/>
          <w:lang w:bidi="ar-SA"/>
        </w:rPr>
        <w:tab/>
      </w:r>
      <w:r w:rsidRPr="00977A67">
        <w:rPr>
          <w:noProof/>
          <w:rtl/>
          <w:lang w:bidi="ar-SA"/>
        </w:rPr>
        <mc:AlternateContent>
          <mc:Choice Requires="wpc">
            <w:drawing>
              <wp:inline distT="0" distB="0" distL="0" distR="0" wp14:anchorId="58436BA5" wp14:editId="2D858836">
                <wp:extent cx="1600200" cy="610235"/>
                <wp:effectExtent l="0" t="0" r="1905" b="635"/>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0" y="0"/>
                            <a:ext cx="425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D6" w:rsidRDefault="006715D6" w:rsidP="006715D6">
                              <w:r>
                                <w:rPr>
                                  <w:color w:val="000000"/>
                                  <w:sz w:val="24"/>
                                  <w:szCs w:val="24"/>
                                </w:rPr>
                                <w:t xml:space="preserve"> </w:t>
                              </w:r>
                            </w:p>
                          </w:txbxContent>
                        </wps:txbx>
                        <wps:bodyPr rot="0" vert="horz" wrap="none" lIns="0" tIns="0" rIns="0" bIns="0" anchor="t" anchorCtr="0" upright="1">
                          <a:spAutoFit/>
                        </wps:bodyPr>
                      </wps:wsp>
                      <pic:pic xmlns:pic="http://schemas.openxmlformats.org/drawingml/2006/picture">
                        <pic:nvPicPr>
                          <pic:cNvPr id="3"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9695" y="76835"/>
                            <a:ext cx="13995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4" o:spid="_x0000_s1026" editas="canvas" style="width:126pt;height:48.05pt;mso-position-horizontal-relative:char;mso-position-vertical-relative:line" coordsize="16002,6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6102;visibility:visible;mso-wrap-style:square">
                  <v:fill o:detectmouseclick="t"/>
                  <v:path o:connecttype="none"/>
                </v:shape>
                <v:rect id="Rectangle 4" o:spid="_x0000_s1028" style="position:absolute;width:425;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6715D6" w:rsidRDefault="006715D6" w:rsidP="006715D6">
                        <w:r>
                          <w:rPr>
                            <w:color w:val="000000"/>
                            <w:sz w:val="24"/>
                            <w:szCs w:val="24"/>
                          </w:rPr>
                          <w:t xml:space="preserve"> </w:t>
                        </w:r>
                      </w:p>
                    </w:txbxContent>
                  </v:textbox>
                </v:rect>
                <v:shape id="Picture 5" o:spid="_x0000_s1029" type="#_x0000_t75" style="position:absolute;left:996;top:768;width:13996;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f3XnEAAAA2gAAAA8AAABkcnMvZG93bnJldi54bWxEj0FrwkAUhO8F/8PyhN7qRkurRNcQhEJ7&#10;6KHRi7dn9pnEZN8mu1tN/323UPA4zMw3zCYbTSeu5HxjWcF8loAgLq1uuFJw2L89rUD4gKyxs0wK&#10;fshDtp08bDDV9sZfdC1CJSKEfYoK6hD6VEpf1mTQz2xPHL2zdQZDlK6S2uEtwk0nF0nyKg02HBdq&#10;7GlXU9kW30aBezGF3/vjSR/by8f5kA/j8nNQ6nE65msQgcZwD/+337WCZ/i7Em+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f3XnEAAAA2gAAAA8AAAAAAAAAAAAAAAAA&#10;nwIAAGRycy9kb3ducmV2LnhtbFBLBQYAAAAABAAEAPcAAACQAwAAAAA=&#10;">
                  <v:imagedata r:id="rId19" o:title=""/>
                </v:shape>
                <w10:anchorlock/>
              </v:group>
            </w:pict>
          </mc:Fallback>
        </mc:AlternateContent>
      </w:r>
    </w:p>
    <w:p w:rsidR="006715D6" w:rsidRPr="00977A67" w:rsidRDefault="006715D6" w:rsidP="006715D6">
      <w:pPr>
        <w:pStyle w:val="NormalAR"/>
        <w:tabs>
          <w:tab w:val="center" w:pos="6802"/>
        </w:tabs>
        <w:spacing w:after="0"/>
        <w:rPr>
          <w:rtl/>
          <w:lang w:bidi="ar-SA"/>
        </w:rPr>
      </w:pPr>
      <w:r w:rsidRPr="00977A67">
        <w:rPr>
          <w:rFonts w:hint="cs"/>
          <w:rtl/>
          <w:lang w:bidi="ar-SA"/>
        </w:rPr>
        <w:tab/>
      </w:r>
      <w:proofErr w:type="spellStart"/>
      <w:r w:rsidRPr="00977A67">
        <w:rPr>
          <w:rFonts w:hint="cs"/>
          <w:rtl/>
          <w:lang w:bidi="ar-SA"/>
        </w:rPr>
        <w:t>فرانسس</w:t>
      </w:r>
      <w:proofErr w:type="spellEnd"/>
      <w:r w:rsidRPr="00977A67">
        <w:rPr>
          <w:rFonts w:hint="cs"/>
          <w:rtl/>
          <w:lang w:bidi="ar-SA"/>
        </w:rPr>
        <w:t xml:space="preserve"> غري</w:t>
      </w:r>
    </w:p>
    <w:p w:rsidR="006715D6" w:rsidRPr="00977A67" w:rsidRDefault="006715D6" w:rsidP="006715D6">
      <w:pPr>
        <w:pStyle w:val="NormalAR"/>
        <w:tabs>
          <w:tab w:val="center" w:pos="6802"/>
        </w:tabs>
        <w:rPr>
          <w:rtl/>
          <w:lang w:bidi="ar-SA"/>
        </w:rPr>
      </w:pPr>
      <w:r w:rsidRPr="00977A67">
        <w:rPr>
          <w:rFonts w:hint="cs"/>
          <w:rtl/>
          <w:lang w:bidi="ar-SA"/>
        </w:rPr>
        <w:tab/>
        <w:t>المدير العام</w:t>
      </w:r>
    </w:p>
    <w:p w:rsidR="006715D6" w:rsidRPr="00977A67" w:rsidRDefault="006715D6" w:rsidP="006715D6">
      <w:pPr>
        <w:pStyle w:val="NormalParaAR"/>
        <w:rPr>
          <w:rtl/>
        </w:rPr>
      </w:pPr>
    </w:p>
    <w:p w:rsidR="006715D6" w:rsidRPr="00977A67" w:rsidRDefault="006715D6" w:rsidP="006715D6">
      <w:pPr>
        <w:pStyle w:val="NormalParaAR"/>
        <w:rPr>
          <w:rtl/>
        </w:rPr>
      </w:pPr>
    </w:p>
    <w:p w:rsidR="006715D6" w:rsidRPr="00977A67" w:rsidRDefault="006715D6" w:rsidP="006715D6">
      <w:pPr>
        <w:pStyle w:val="NormalParaAR"/>
        <w:rPr>
          <w:rtl/>
        </w:rPr>
      </w:pPr>
    </w:p>
    <w:p w:rsidR="006715D6" w:rsidRPr="00977A67" w:rsidRDefault="006715D6" w:rsidP="006715D6">
      <w:pPr>
        <w:pStyle w:val="NormalParaAR"/>
        <w:rPr>
          <w:rtl/>
        </w:rPr>
      </w:pPr>
    </w:p>
    <w:p w:rsidR="006715D6" w:rsidRPr="00977A67" w:rsidRDefault="006715D6" w:rsidP="006715D6">
      <w:pPr>
        <w:pStyle w:val="NormalParaAR"/>
        <w:rPr>
          <w:rtl/>
        </w:rPr>
      </w:pPr>
    </w:p>
    <w:p w:rsidR="006715D6" w:rsidRPr="00977A67" w:rsidRDefault="006715D6" w:rsidP="006715D6">
      <w:pPr>
        <w:rPr>
          <w:rFonts w:ascii="Arabic Typesetting" w:hAnsi="Arabic Typesetting" w:cs="Arabic Typesetting"/>
          <w:sz w:val="36"/>
          <w:szCs w:val="36"/>
        </w:rPr>
      </w:pPr>
      <w:r w:rsidRPr="00977A67">
        <w:rPr>
          <w:rtl/>
        </w:rPr>
        <w:br w:type="page"/>
      </w:r>
    </w:p>
    <w:p w:rsidR="006715D6" w:rsidRPr="00977A67" w:rsidRDefault="006715D6" w:rsidP="006715D6">
      <w:pPr>
        <w:pStyle w:val="NormalParaAR"/>
        <w:jc w:val="center"/>
        <w:rPr>
          <w:sz w:val="44"/>
          <w:szCs w:val="44"/>
          <w:rtl/>
        </w:rPr>
      </w:pPr>
    </w:p>
    <w:p w:rsidR="006715D6" w:rsidRPr="00977A67" w:rsidRDefault="006715D6" w:rsidP="006715D6">
      <w:pPr>
        <w:pStyle w:val="NormalParaAR"/>
        <w:keepNext/>
        <w:jc w:val="center"/>
        <w:rPr>
          <w:sz w:val="44"/>
          <w:szCs w:val="44"/>
          <w:rtl/>
        </w:rPr>
      </w:pPr>
    </w:p>
    <w:p w:rsidR="006715D6" w:rsidRPr="00977A67" w:rsidRDefault="006715D6" w:rsidP="006715D6">
      <w:pPr>
        <w:pStyle w:val="NormalParaAR"/>
        <w:keepNext/>
        <w:jc w:val="center"/>
        <w:rPr>
          <w:sz w:val="44"/>
          <w:szCs w:val="44"/>
          <w:rtl/>
        </w:rPr>
      </w:pPr>
    </w:p>
    <w:p w:rsidR="006715D6" w:rsidRPr="00977A67" w:rsidRDefault="006715D6" w:rsidP="006715D6">
      <w:pPr>
        <w:pStyle w:val="NormalAR"/>
        <w:spacing w:before="720" w:after="0" w:line="360" w:lineRule="exact"/>
        <w:jc w:val="center"/>
        <w:rPr>
          <w:b/>
          <w:bCs/>
          <w:sz w:val="44"/>
          <w:szCs w:val="44"/>
          <w:rtl/>
          <w:lang w:bidi="ar-SA"/>
        </w:rPr>
      </w:pPr>
      <w:r w:rsidRPr="00977A67">
        <w:rPr>
          <w:rFonts w:hint="cs"/>
          <w:b/>
          <w:bCs/>
          <w:sz w:val="44"/>
          <w:szCs w:val="44"/>
          <w:rtl/>
          <w:lang w:bidi="ar-SA"/>
        </w:rPr>
        <w:t>تقرير الإدارة المالية</w:t>
      </w:r>
    </w:p>
    <w:p w:rsidR="006715D6" w:rsidRPr="00977A67" w:rsidRDefault="006715D6" w:rsidP="006715D6">
      <w:pPr>
        <w:pStyle w:val="NormalAR"/>
        <w:spacing w:after="100" w:afterAutospacing="1" w:line="360" w:lineRule="exact"/>
        <w:jc w:val="center"/>
        <w:rPr>
          <w:b/>
          <w:bCs/>
          <w:sz w:val="44"/>
          <w:szCs w:val="44"/>
          <w:rtl/>
          <w:lang w:bidi="ar-SA"/>
        </w:rPr>
      </w:pPr>
      <w:r w:rsidRPr="00977A67">
        <w:rPr>
          <w:rFonts w:hint="cs"/>
          <w:b/>
          <w:bCs/>
          <w:sz w:val="44"/>
          <w:szCs w:val="44"/>
          <w:rtl/>
          <w:lang w:bidi="ar-SA"/>
        </w:rPr>
        <w:t>2012/13</w:t>
      </w:r>
    </w:p>
    <w:p w:rsidR="006715D6" w:rsidRPr="00977A67" w:rsidRDefault="006715D6" w:rsidP="006715D6">
      <w:pPr>
        <w:pStyle w:val="NormalParaAR"/>
        <w:rPr>
          <w:rtl/>
        </w:rPr>
      </w:pPr>
    </w:p>
    <w:p w:rsidR="006715D6" w:rsidRPr="00977A67" w:rsidRDefault="006715D6" w:rsidP="006715D6">
      <w:pPr>
        <w:pStyle w:val="NormalParaAR"/>
        <w:rPr>
          <w:rtl/>
        </w:rPr>
      </w:pPr>
      <w:r w:rsidRPr="00977A67">
        <w:rPr>
          <w:rtl/>
        </w:rPr>
        <w:t>يشمل تقرير الإدارة المالية</w:t>
      </w:r>
      <w:r w:rsidRPr="00977A67">
        <w:t xml:space="preserve"> </w:t>
      </w:r>
      <w:r w:rsidRPr="00977A67">
        <w:rPr>
          <w:rtl/>
        </w:rPr>
        <w:t xml:space="preserve">مبالغ محسوبة بالفرنك السويسري ويعرض النتائج المالية </w:t>
      </w:r>
      <w:proofErr w:type="spellStart"/>
      <w:r w:rsidRPr="00977A67">
        <w:rPr>
          <w:rtl/>
        </w:rPr>
        <w:t>للويبو</w:t>
      </w:r>
      <w:proofErr w:type="spellEnd"/>
      <w:r w:rsidRPr="00977A67">
        <w:rPr>
          <w:rtl/>
        </w:rPr>
        <w:t xml:space="preserve"> وللاتحادات التي تديرها الويبو</w:t>
      </w:r>
      <w:r w:rsidRPr="00977A67">
        <w:rPr>
          <w:rtl/>
        </w:rPr>
        <w:footnoteReference w:customMarkFollows="1" w:id="1"/>
        <w:t>*.</w:t>
      </w:r>
    </w:p>
    <w:p w:rsidR="006715D6" w:rsidRPr="00977A67" w:rsidRDefault="006715D6" w:rsidP="006715D6">
      <w:pPr>
        <w:pStyle w:val="NormalParaAR"/>
        <w:rPr>
          <w:rtl/>
        </w:rPr>
      </w:pPr>
      <w:r w:rsidRPr="00977A67">
        <w:rPr>
          <w:rtl/>
        </w:rPr>
        <w:t xml:space="preserve">وتحتوي الصفحات الأولى من التقرير على ملخص للنتائج التي تبيّن فائضا في الإيرادات </w:t>
      </w:r>
      <w:r w:rsidRPr="00977A67">
        <w:rPr>
          <w:rFonts w:hint="cs"/>
          <w:rtl/>
        </w:rPr>
        <w:t>قدره 68,9</w:t>
      </w:r>
      <w:r w:rsidRPr="00977A67">
        <w:rPr>
          <w:rtl/>
        </w:rPr>
        <w:t xml:space="preserve"> مليون فرنك سويسري</w:t>
      </w:r>
      <w:r w:rsidRPr="00977A67">
        <w:rPr>
          <w:rFonts w:hint="cs"/>
          <w:rtl/>
        </w:rPr>
        <w:t xml:space="preserve"> (قبل التسوية </w:t>
      </w:r>
      <w:r w:rsidRPr="00977A67">
        <w:rPr>
          <w:rtl/>
        </w:rPr>
        <w:t>على أساس المعايير المحاسبية الدولية</w:t>
      </w:r>
      <w:r w:rsidRPr="00977A67">
        <w:rPr>
          <w:rFonts w:hint="cs"/>
          <w:rtl/>
        </w:rPr>
        <w:t>)</w:t>
      </w:r>
      <w:r w:rsidRPr="00977A67">
        <w:rPr>
          <w:rtl/>
        </w:rPr>
        <w:t xml:space="preserve">، بالإضافة إلى حالة مختلف الاتحادات وحالة الأموال الاحتياطية </w:t>
      </w:r>
      <w:r w:rsidRPr="00977A67">
        <w:rPr>
          <w:rFonts w:hint="cs"/>
          <w:rtl/>
        </w:rPr>
        <w:t>والاعتمادات</w:t>
      </w:r>
      <w:r w:rsidRPr="00977A67">
        <w:rPr>
          <w:rtl/>
        </w:rPr>
        <w:t xml:space="preserve"> الرئيسية. وترد بعد الملخص تفاصيل</w:t>
      </w:r>
      <w:r w:rsidRPr="00977A67">
        <w:rPr>
          <w:rFonts w:hint="cs"/>
          <w:rtl/>
        </w:rPr>
        <w:t xml:space="preserve"> الأداء المالي للمنظمة أثناء الثنائية إلى جانب أصولها وخصومها في نهاية سنتي 2012 2013. وبعد اعتماد الويبو للمعايير المحاسبية الدولية في عام 2010، تعد المنظمة مجموعة من البيانات المالية التي تخضع للتدقيق الخارجي فيما يخص كل سنة من الثنائية. وتتيح المنظمة نسخا من البيانات المالية المدقّقة وما يرافقها من تقارير مراجع الحسابات الخارجي كوثائق منفردة.</w:t>
      </w:r>
    </w:p>
    <w:p w:rsidR="006715D6" w:rsidRPr="00977A67" w:rsidRDefault="006715D6" w:rsidP="006715D6">
      <w:pPr>
        <w:pStyle w:val="NormalParaAR"/>
        <w:rPr>
          <w:rtl/>
        </w:rPr>
      </w:pPr>
      <w:r w:rsidRPr="00977A67">
        <w:rPr>
          <w:rFonts w:hint="cs"/>
          <w:rtl/>
        </w:rPr>
        <w:t xml:space="preserve">وترد بعد المعلومات المالية تفاصيل عن الاشتراكات في الثنائية 2012/13. </w:t>
      </w:r>
      <w:r w:rsidRPr="00977A67">
        <w:rPr>
          <w:rtl/>
        </w:rPr>
        <w:t>ويبيَّن في فصل منفرد توزيع مبلغ</w:t>
      </w:r>
      <w:r w:rsidRPr="00977A67">
        <w:rPr>
          <w:rFonts w:hint="cs"/>
          <w:rtl/>
        </w:rPr>
        <w:t> 333</w:t>
      </w:r>
      <w:r w:rsidRPr="00977A67">
        <w:rPr>
          <w:rtl/>
        </w:rPr>
        <w:t xml:space="preserve"> مليون فرنك سويسري على الدول الأعضاء خلال الثنائية في إطار </w:t>
      </w:r>
      <w:r w:rsidRPr="00977A67">
        <w:rPr>
          <w:rFonts w:hint="cs"/>
          <w:rtl/>
        </w:rPr>
        <w:t xml:space="preserve">اتفاقي </w:t>
      </w:r>
      <w:r w:rsidRPr="00977A67">
        <w:rPr>
          <w:rtl/>
        </w:rPr>
        <w:t>مدري</w:t>
      </w:r>
      <w:r w:rsidRPr="00977A67">
        <w:rPr>
          <w:rFonts w:hint="cs"/>
          <w:rtl/>
        </w:rPr>
        <w:t>د</w:t>
      </w:r>
      <w:r w:rsidRPr="00977A67">
        <w:rPr>
          <w:rtl/>
        </w:rPr>
        <w:t xml:space="preserve"> ولاها</w:t>
      </w:r>
      <w:r w:rsidRPr="00977A67">
        <w:rPr>
          <w:rFonts w:hint="cs"/>
          <w:rtl/>
        </w:rPr>
        <w:t>ي.</w:t>
      </w:r>
    </w:p>
    <w:p w:rsidR="006715D6" w:rsidRPr="00977A67" w:rsidRDefault="006715D6" w:rsidP="006715D6">
      <w:pPr>
        <w:pStyle w:val="NormalParaAR"/>
        <w:rPr>
          <w:rtl/>
        </w:rPr>
      </w:pPr>
      <w:r w:rsidRPr="00977A67">
        <w:rPr>
          <w:rtl/>
        </w:rPr>
        <w:t xml:space="preserve">ولضمان الشفافية في هذا التقرير، أعدّ فصل منفرد عولجت فيه الصناديق </w:t>
      </w:r>
      <w:proofErr w:type="spellStart"/>
      <w:r w:rsidRPr="00977A67">
        <w:rPr>
          <w:rtl/>
        </w:rPr>
        <w:t>الاستئمانية</w:t>
      </w:r>
      <w:proofErr w:type="spellEnd"/>
      <w:r w:rsidRPr="00977A67">
        <w:rPr>
          <w:rtl/>
        </w:rPr>
        <w:t xml:space="preserve"> التي تخص</w:t>
      </w:r>
      <w:r w:rsidRPr="00977A67">
        <w:rPr>
          <w:rFonts w:hint="cs"/>
          <w:rtl/>
        </w:rPr>
        <w:t>ّ</w:t>
      </w:r>
      <w:r w:rsidRPr="00977A67">
        <w:rPr>
          <w:rtl/>
        </w:rPr>
        <w:t>صها الدول الأعضاء وعُرضت كعناصر قائمة بذاتها ومستقلة عن حسابات الويبو.</w:t>
      </w:r>
    </w:p>
    <w:p w:rsidR="006715D6" w:rsidRPr="00977A67" w:rsidRDefault="006715D6" w:rsidP="006715D6">
      <w:pPr>
        <w:pStyle w:val="NormalAR"/>
        <w:tabs>
          <w:tab w:val="center" w:pos="6802"/>
        </w:tabs>
        <w:spacing w:line="240" w:lineRule="auto"/>
        <w:jc w:val="both"/>
        <w:rPr>
          <w:rtl/>
          <w:lang w:bidi="ar-SA"/>
        </w:rPr>
      </w:pPr>
      <w:r w:rsidRPr="00977A67">
        <w:rPr>
          <w:rFonts w:hint="cs"/>
          <w:rtl/>
          <w:lang w:bidi="ar-SA"/>
        </w:rPr>
        <w:tab/>
      </w:r>
      <w:r w:rsidRPr="00977A67">
        <w:rPr>
          <w:noProof/>
          <w:lang w:bidi="ar-SA"/>
        </w:rPr>
        <w:drawing>
          <wp:inline distT="0" distB="0" distL="0" distR="0" wp14:anchorId="76C74F56" wp14:editId="573BA0A2">
            <wp:extent cx="1600200"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6715D6" w:rsidRPr="00977A67" w:rsidRDefault="006715D6" w:rsidP="006715D6">
      <w:pPr>
        <w:pStyle w:val="NormalAR"/>
        <w:tabs>
          <w:tab w:val="center" w:pos="6802"/>
        </w:tabs>
        <w:spacing w:after="0"/>
        <w:rPr>
          <w:rtl/>
          <w:lang w:bidi="ar-SA"/>
        </w:rPr>
      </w:pPr>
      <w:r w:rsidRPr="00977A67">
        <w:rPr>
          <w:rFonts w:hint="cs"/>
          <w:rtl/>
          <w:lang w:bidi="ar-SA"/>
        </w:rPr>
        <w:tab/>
      </w:r>
      <w:proofErr w:type="spellStart"/>
      <w:r w:rsidRPr="00977A67">
        <w:rPr>
          <w:rFonts w:hint="cs"/>
          <w:rtl/>
          <w:lang w:bidi="ar-SA"/>
        </w:rPr>
        <w:t>فرانسس</w:t>
      </w:r>
      <w:proofErr w:type="spellEnd"/>
      <w:r w:rsidRPr="00977A67">
        <w:rPr>
          <w:rFonts w:hint="cs"/>
          <w:rtl/>
          <w:lang w:bidi="ar-SA"/>
        </w:rPr>
        <w:t xml:space="preserve"> غري</w:t>
      </w:r>
    </w:p>
    <w:p w:rsidR="006715D6" w:rsidRDefault="006715D6" w:rsidP="006715D6">
      <w:pPr>
        <w:pStyle w:val="NormalAR"/>
        <w:tabs>
          <w:tab w:val="center" w:pos="6802"/>
        </w:tabs>
        <w:rPr>
          <w:lang w:bidi="ar-SA"/>
        </w:rPr>
      </w:pPr>
      <w:r w:rsidRPr="00977A67">
        <w:rPr>
          <w:rFonts w:hint="cs"/>
          <w:rtl/>
          <w:lang w:bidi="ar-SA"/>
        </w:rPr>
        <w:tab/>
        <w:t>المدير العام</w:t>
      </w:r>
    </w:p>
    <w:p w:rsidR="006715D6" w:rsidRPr="00977A67" w:rsidRDefault="006715D6" w:rsidP="006715D6">
      <w:pPr>
        <w:pStyle w:val="NormalAR"/>
        <w:tabs>
          <w:tab w:val="center" w:pos="6802"/>
        </w:tabs>
        <w:rPr>
          <w:lang w:bidi="ar-SA"/>
        </w:rPr>
      </w:pPr>
    </w:p>
    <w:p w:rsidR="006715D6" w:rsidRPr="00977A67" w:rsidRDefault="006715D6" w:rsidP="006715D6">
      <w:pPr>
        <w:pStyle w:val="NormalParaAR"/>
        <w:rPr>
          <w:rtl/>
        </w:rPr>
        <w:sectPr w:rsidR="006715D6" w:rsidRPr="00977A67" w:rsidSect="00651720">
          <w:headerReference w:type="default" r:id="rId21"/>
          <w:footerReference w:type="first" r:id="rId22"/>
          <w:pgSz w:w="11907" w:h="16840" w:code="9"/>
          <w:pgMar w:top="567" w:right="1418" w:bottom="1418" w:left="1134" w:header="510" w:footer="1021" w:gutter="0"/>
          <w:pgNumType w:fmt="lowerRoman" w:start="2"/>
          <w:cols w:space="720"/>
          <w:titlePg/>
          <w:docGrid w:linePitch="299"/>
        </w:sectPr>
      </w:pPr>
    </w:p>
    <w:p w:rsidR="006715D6" w:rsidRPr="00977A67" w:rsidRDefault="006715D6" w:rsidP="006715D6">
      <w:pPr>
        <w:pStyle w:val="TOC1"/>
        <w:spacing w:before="0" w:after="0"/>
        <w:rPr>
          <w:rtl/>
        </w:rPr>
      </w:pPr>
      <w:r w:rsidRPr="00977A67">
        <w:rPr>
          <w:rtl/>
        </w:rPr>
        <w:t>المحتويات</w:t>
      </w:r>
    </w:p>
    <w:p w:rsidR="006715D6" w:rsidRPr="00977A67" w:rsidRDefault="006715D6" w:rsidP="006715D6">
      <w:pPr>
        <w:pStyle w:val="TOC1"/>
        <w:spacing w:before="0" w:after="0"/>
        <w:rPr>
          <w:rFonts w:eastAsiaTheme="minorEastAsia"/>
        </w:rPr>
      </w:pPr>
      <w:r w:rsidRPr="00977A67">
        <w:rPr>
          <w:sz w:val="28"/>
          <w:szCs w:val="28"/>
          <w:rtl/>
        </w:rPr>
        <w:fldChar w:fldCharType="begin"/>
      </w:r>
      <w:r w:rsidRPr="00977A67">
        <w:rPr>
          <w:sz w:val="28"/>
          <w:szCs w:val="28"/>
          <w:rtl/>
        </w:rPr>
        <w:instrText xml:space="preserve"> </w:instrText>
      </w:r>
      <w:r w:rsidRPr="00977A67">
        <w:rPr>
          <w:sz w:val="28"/>
          <w:szCs w:val="28"/>
        </w:rPr>
        <w:instrText>TOC</w:instrText>
      </w:r>
      <w:r w:rsidRPr="00977A67">
        <w:rPr>
          <w:sz w:val="28"/>
          <w:szCs w:val="28"/>
          <w:rtl/>
        </w:rPr>
        <w:instrText xml:space="preserve"> \</w:instrText>
      </w:r>
      <w:r w:rsidRPr="00977A67">
        <w:rPr>
          <w:sz w:val="28"/>
          <w:szCs w:val="28"/>
        </w:rPr>
        <w:instrText>o \h \z \u</w:instrText>
      </w:r>
      <w:r w:rsidRPr="00977A67">
        <w:rPr>
          <w:sz w:val="28"/>
          <w:szCs w:val="28"/>
          <w:rtl/>
        </w:rPr>
        <w:instrText xml:space="preserve"> </w:instrText>
      </w:r>
      <w:r w:rsidRPr="00977A67">
        <w:rPr>
          <w:sz w:val="28"/>
          <w:szCs w:val="28"/>
          <w:rtl/>
        </w:rPr>
        <w:fldChar w:fldCharType="separate"/>
      </w:r>
      <w:hyperlink w:anchor="_Toc394914246" w:history="1">
        <w:r w:rsidRPr="00977A67">
          <w:rPr>
            <w:rStyle w:val="Hyperlink"/>
            <w:sz w:val="32"/>
            <w:szCs w:val="32"/>
            <w:rtl/>
          </w:rPr>
          <w:t>مقاييس مالية رئيسية ومقاييس أخرى</w:t>
        </w:r>
        <w:r w:rsidRPr="00977A67">
          <w:rPr>
            <w:webHidden/>
          </w:rPr>
          <w:tab/>
        </w:r>
        <w:r w:rsidRPr="00977A67">
          <w:rPr>
            <w:webHidden/>
            <w:sz w:val="32"/>
            <w:szCs w:val="32"/>
          </w:rPr>
          <w:fldChar w:fldCharType="begin"/>
        </w:r>
        <w:r w:rsidRPr="00977A67">
          <w:rPr>
            <w:webHidden/>
            <w:sz w:val="32"/>
            <w:szCs w:val="32"/>
          </w:rPr>
          <w:instrText xml:space="preserve"> PAGEREF _Toc394914246 \h </w:instrText>
        </w:r>
        <w:r w:rsidRPr="00977A67">
          <w:rPr>
            <w:webHidden/>
            <w:sz w:val="32"/>
            <w:szCs w:val="32"/>
          </w:rPr>
        </w:r>
        <w:r w:rsidRPr="00977A67">
          <w:rPr>
            <w:webHidden/>
            <w:sz w:val="32"/>
            <w:szCs w:val="32"/>
          </w:rPr>
          <w:fldChar w:fldCharType="separate"/>
        </w:r>
        <w:r w:rsidR="00197C9F">
          <w:rPr>
            <w:webHidden/>
            <w:sz w:val="32"/>
            <w:szCs w:val="32"/>
            <w:rtl/>
          </w:rPr>
          <w:t>6</w:t>
        </w:r>
        <w:r w:rsidRPr="00977A67">
          <w:rPr>
            <w:webHidden/>
            <w:sz w:val="32"/>
            <w:szCs w:val="32"/>
          </w:rPr>
          <w:fldChar w:fldCharType="end"/>
        </w:r>
      </w:hyperlink>
    </w:p>
    <w:p w:rsidR="006715D6" w:rsidRPr="00977A67" w:rsidRDefault="006715D6" w:rsidP="006715D6">
      <w:pPr>
        <w:pStyle w:val="TOC1"/>
        <w:spacing w:before="0" w:after="0"/>
        <w:rPr>
          <w:rFonts w:eastAsiaTheme="minorEastAsia"/>
        </w:rPr>
      </w:pPr>
      <w:hyperlink w:anchor="_Toc394914247" w:history="1">
        <w:r w:rsidRPr="00977A67">
          <w:rPr>
            <w:rStyle w:val="Hyperlink"/>
            <w:sz w:val="32"/>
            <w:szCs w:val="32"/>
            <w:rtl/>
          </w:rPr>
          <w:t>ملخص النتائج بحسب كل اتحاد</w:t>
        </w:r>
        <w:r w:rsidRPr="00977A67">
          <w:rPr>
            <w:webHidden/>
          </w:rPr>
          <w:tab/>
        </w:r>
        <w:r w:rsidRPr="00977A67">
          <w:rPr>
            <w:webHidden/>
            <w:sz w:val="32"/>
            <w:szCs w:val="32"/>
          </w:rPr>
          <w:fldChar w:fldCharType="begin"/>
        </w:r>
        <w:r w:rsidRPr="00977A67">
          <w:rPr>
            <w:webHidden/>
            <w:sz w:val="32"/>
            <w:szCs w:val="32"/>
          </w:rPr>
          <w:instrText xml:space="preserve"> PAGEREF _Toc394914247 \h </w:instrText>
        </w:r>
        <w:r w:rsidRPr="00977A67">
          <w:rPr>
            <w:webHidden/>
            <w:sz w:val="32"/>
            <w:szCs w:val="32"/>
          </w:rPr>
        </w:r>
        <w:r w:rsidRPr="00977A67">
          <w:rPr>
            <w:webHidden/>
            <w:sz w:val="32"/>
            <w:szCs w:val="32"/>
          </w:rPr>
          <w:fldChar w:fldCharType="separate"/>
        </w:r>
        <w:r w:rsidR="00197C9F">
          <w:rPr>
            <w:webHidden/>
            <w:sz w:val="32"/>
            <w:szCs w:val="32"/>
            <w:rtl/>
          </w:rPr>
          <w:t>7</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48" w:history="1">
        <w:r w:rsidRPr="00977A67">
          <w:rPr>
            <w:rStyle w:val="Hyperlink"/>
            <w:rFonts w:ascii="Arabic Typesetting" w:hAnsi="Arabic Typesetting" w:cs="Arabic Typesetting"/>
            <w:noProof/>
            <w:sz w:val="32"/>
            <w:szCs w:val="32"/>
            <w:rtl/>
          </w:rPr>
          <w:t>الجدول 1</w:t>
        </w:r>
        <w:r w:rsidRPr="00977A67">
          <w:rPr>
            <w:rFonts w:eastAsiaTheme="minorEastAsia"/>
            <w:noProof/>
          </w:rPr>
          <w:tab/>
        </w:r>
        <w:r w:rsidRPr="00977A67">
          <w:rPr>
            <w:rStyle w:val="Hyperlink"/>
            <w:rFonts w:ascii="Arabic Typesetting" w:hAnsi="Arabic Typesetting" w:cs="Arabic Typesetting"/>
            <w:noProof/>
            <w:sz w:val="32"/>
            <w:szCs w:val="32"/>
            <w:rtl/>
          </w:rPr>
          <w:t>الأموال الاحتياطية وصناديق رؤوس الأموال العاملة في نهاية 2013</w:t>
        </w:r>
        <w:r w:rsidRPr="00977A67">
          <w:rPr>
            <w:noProof/>
            <w:webHidden/>
          </w:rPr>
          <w:tab/>
        </w:r>
        <w:r w:rsidRPr="00977A67">
          <w:rPr>
            <w:noProof/>
            <w:webHidden/>
          </w:rPr>
          <w:fldChar w:fldCharType="begin"/>
        </w:r>
        <w:r w:rsidRPr="00977A67">
          <w:rPr>
            <w:noProof/>
            <w:webHidden/>
          </w:rPr>
          <w:instrText xml:space="preserve"> PAGEREF _Toc394914248 \h </w:instrText>
        </w:r>
        <w:r w:rsidRPr="00977A67">
          <w:rPr>
            <w:noProof/>
            <w:webHidden/>
          </w:rPr>
        </w:r>
        <w:r w:rsidRPr="00977A67">
          <w:rPr>
            <w:noProof/>
            <w:webHidden/>
          </w:rPr>
          <w:fldChar w:fldCharType="separate"/>
        </w:r>
        <w:r w:rsidR="00197C9F">
          <w:rPr>
            <w:noProof/>
            <w:webHidden/>
            <w:rtl/>
          </w:rPr>
          <w:t>7</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49" w:history="1">
        <w:r w:rsidRPr="00977A67">
          <w:rPr>
            <w:rStyle w:val="Hyperlink"/>
            <w:rFonts w:ascii="Arabic Typesetting" w:hAnsi="Arabic Typesetting" w:cs="Arabic Typesetting"/>
            <w:noProof/>
            <w:sz w:val="32"/>
            <w:szCs w:val="32"/>
            <w:rtl/>
          </w:rPr>
          <w:t>الجدول 2.1</w:t>
        </w:r>
        <w:r w:rsidRPr="00977A67">
          <w:rPr>
            <w:rFonts w:eastAsiaTheme="minorEastAsia"/>
            <w:noProof/>
          </w:rPr>
          <w:tab/>
        </w:r>
        <w:r w:rsidRPr="00977A67">
          <w:rPr>
            <w:rStyle w:val="Hyperlink"/>
            <w:rFonts w:ascii="Arabic Typesetting" w:hAnsi="Arabic Typesetting" w:cs="Arabic Typesetting"/>
            <w:noProof/>
            <w:sz w:val="32"/>
            <w:szCs w:val="32"/>
            <w:rtl/>
          </w:rPr>
          <w:t>الإيرادات والنفقات بحسب كل اتحاد - الثنائية 2012/13 (على أساس الميزانية)</w:t>
        </w:r>
        <w:r w:rsidRPr="00977A67">
          <w:rPr>
            <w:noProof/>
            <w:webHidden/>
          </w:rPr>
          <w:tab/>
        </w:r>
        <w:r w:rsidRPr="00977A67">
          <w:rPr>
            <w:noProof/>
            <w:webHidden/>
          </w:rPr>
          <w:fldChar w:fldCharType="begin"/>
        </w:r>
        <w:r w:rsidRPr="00977A67">
          <w:rPr>
            <w:noProof/>
            <w:webHidden/>
          </w:rPr>
          <w:instrText xml:space="preserve"> PAGEREF _Toc394914249 \h </w:instrText>
        </w:r>
        <w:r w:rsidRPr="00977A67">
          <w:rPr>
            <w:noProof/>
            <w:webHidden/>
          </w:rPr>
        </w:r>
        <w:r w:rsidRPr="00977A67">
          <w:rPr>
            <w:noProof/>
            <w:webHidden/>
          </w:rPr>
          <w:fldChar w:fldCharType="separate"/>
        </w:r>
        <w:r w:rsidR="00197C9F">
          <w:rPr>
            <w:noProof/>
            <w:webHidden/>
            <w:rtl/>
          </w:rPr>
          <w:t>7</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50" w:history="1">
        <w:r w:rsidRPr="00977A67">
          <w:rPr>
            <w:rStyle w:val="Hyperlink"/>
            <w:rFonts w:ascii="Arabic Typesetting" w:hAnsi="Arabic Typesetting" w:cs="Arabic Typesetting"/>
            <w:noProof/>
            <w:sz w:val="32"/>
            <w:szCs w:val="32"/>
            <w:rtl/>
          </w:rPr>
          <w:t>الجدول 3.1</w:t>
        </w:r>
        <w:r w:rsidRPr="00977A67">
          <w:rPr>
            <w:rFonts w:eastAsiaTheme="minorEastAsia"/>
            <w:noProof/>
          </w:rPr>
          <w:tab/>
        </w:r>
        <w:r w:rsidRPr="00977A67">
          <w:rPr>
            <w:rStyle w:val="Hyperlink"/>
            <w:rFonts w:ascii="Arabic Typesetting" w:hAnsi="Arabic Typesetting" w:cs="Arabic Typesetting"/>
            <w:noProof/>
            <w:sz w:val="32"/>
            <w:szCs w:val="32"/>
            <w:rtl/>
          </w:rPr>
          <w:t>المشروعات الخاصة المموّلة من الأموال الاحتياطية في نهاية 2013</w:t>
        </w:r>
        <w:r w:rsidRPr="00977A67">
          <w:rPr>
            <w:noProof/>
            <w:webHidden/>
          </w:rPr>
          <w:tab/>
        </w:r>
        <w:r w:rsidRPr="00977A67">
          <w:rPr>
            <w:noProof/>
            <w:webHidden/>
          </w:rPr>
          <w:fldChar w:fldCharType="begin"/>
        </w:r>
        <w:r w:rsidRPr="00977A67">
          <w:rPr>
            <w:noProof/>
            <w:webHidden/>
          </w:rPr>
          <w:instrText xml:space="preserve"> PAGEREF _Toc394914250 \h </w:instrText>
        </w:r>
        <w:r w:rsidRPr="00977A67">
          <w:rPr>
            <w:noProof/>
            <w:webHidden/>
          </w:rPr>
        </w:r>
        <w:r w:rsidRPr="00977A67">
          <w:rPr>
            <w:noProof/>
            <w:webHidden/>
          </w:rPr>
          <w:fldChar w:fldCharType="separate"/>
        </w:r>
        <w:r w:rsidR="00197C9F">
          <w:rPr>
            <w:noProof/>
            <w:webHidden/>
            <w:rtl/>
          </w:rPr>
          <w:t>8</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51" w:history="1">
        <w:r w:rsidRPr="00977A67">
          <w:rPr>
            <w:rStyle w:val="Hyperlink"/>
            <w:rFonts w:ascii="Arabic Typesetting" w:hAnsi="Arabic Typesetting" w:cs="Arabic Typesetting"/>
            <w:noProof/>
            <w:sz w:val="32"/>
            <w:szCs w:val="32"/>
            <w:rtl/>
          </w:rPr>
          <w:t>الجدول 4.1</w:t>
        </w:r>
        <w:r w:rsidRPr="00977A67">
          <w:rPr>
            <w:rFonts w:eastAsiaTheme="minorEastAsia"/>
            <w:noProof/>
          </w:rPr>
          <w:tab/>
        </w:r>
        <w:r w:rsidRPr="00977A67">
          <w:rPr>
            <w:rStyle w:val="Hyperlink"/>
            <w:rFonts w:ascii="Arabic Typesetting" w:hAnsi="Arabic Typesetting" w:cs="Arabic Typesetting"/>
            <w:noProof/>
            <w:sz w:val="32"/>
            <w:szCs w:val="32"/>
            <w:rtl/>
          </w:rPr>
          <w:t>مشروعا البناء الرئيسيان في نهاية 2013</w:t>
        </w:r>
        <w:r w:rsidRPr="00977A67">
          <w:rPr>
            <w:noProof/>
            <w:webHidden/>
          </w:rPr>
          <w:tab/>
        </w:r>
        <w:r w:rsidRPr="00977A67">
          <w:rPr>
            <w:noProof/>
            <w:webHidden/>
          </w:rPr>
          <w:fldChar w:fldCharType="begin"/>
        </w:r>
        <w:r w:rsidRPr="00977A67">
          <w:rPr>
            <w:noProof/>
            <w:webHidden/>
          </w:rPr>
          <w:instrText xml:space="preserve"> PAGEREF _Toc394914251 \h </w:instrText>
        </w:r>
        <w:r w:rsidRPr="00977A67">
          <w:rPr>
            <w:noProof/>
            <w:webHidden/>
          </w:rPr>
        </w:r>
        <w:r w:rsidRPr="00977A67">
          <w:rPr>
            <w:noProof/>
            <w:webHidden/>
          </w:rPr>
          <w:fldChar w:fldCharType="separate"/>
        </w:r>
        <w:r w:rsidR="00197C9F">
          <w:rPr>
            <w:noProof/>
            <w:webHidden/>
            <w:rtl/>
          </w:rPr>
          <w:t>8</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52" w:history="1">
        <w:r w:rsidRPr="00977A67">
          <w:rPr>
            <w:rStyle w:val="Hyperlink"/>
            <w:sz w:val="32"/>
            <w:szCs w:val="32"/>
            <w:rtl/>
          </w:rPr>
          <w:t>الميزانية</w:t>
        </w:r>
        <w:r w:rsidRPr="00977A67">
          <w:rPr>
            <w:webHidden/>
          </w:rPr>
          <w:tab/>
        </w:r>
        <w:r w:rsidRPr="00977A67">
          <w:rPr>
            <w:webHidden/>
            <w:sz w:val="32"/>
            <w:szCs w:val="32"/>
          </w:rPr>
          <w:fldChar w:fldCharType="begin"/>
        </w:r>
        <w:r w:rsidRPr="00977A67">
          <w:rPr>
            <w:webHidden/>
            <w:sz w:val="32"/>
            <w:szCs w:val="32"/>
          </w:rPr>
          <w:instrText xml:space="preserve"> PAGEREF _Toc394914252 \h </w:instrText>
        </w:r>
        <w:r w:rsidRPr="00977A67">
          <w:rPr>
            <w:webHidden/>
            <w:sz w:val="32"/>
            <w:szCs w:val="32"/>
          </w:rPr>
        </w:r>
        <w:r w:rsidRPr="00977A67">
          <w:rPr>
            <w:webHidden/>
            <w:sz w:val="32"/>
            <w:szCs w:val="32"/>
          </w:rPr>
          <w:fldChar w:fldCharType="separate"/>
        </w:r>
        <w:r w:rsidR="00197C9F">
          <w:rPr>
            <w:webHidden/>
            <w:sz w:val="32"/>
            <w:szCs w:val="32"/>
            <w:rtl/>
          </w:rPr>
          <w:t>8</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53" w:history="1">
        <w:r w:rsidRPr="00977A67">
          <w:rPr>
            <w:rStyle w:val="Hyperlink"/>
            <w:rFonts w:ascii="Arabic Typesetting" w:hAnsi="Arabic Typesetting" w:cs="Arabic Typesetting"/>
            <w:noProof/>
            <w:sz w:val="32"/>
            <w:szCs w:val="32"/>
            <w:rtl/>
          </w:rPr>
          <w:t>الجدول 2</w:t>
        </w:r>
        <w:r w:rsidRPr="00977A67">
          <w:rPr>
            <w:rFonts w:eastAsiaTheme="minorEastAsia"/>
            <w:noProof/>
          </w:rPr>
          <w:tab/>
        </w:r>
        <w:r w:rsidRPr="00977A67">
          <w:rPr>
            <w:rStyle w:val="Hyperlink"/>
            <w:rFonts w:ascii="Arabic Typesetting" w:hAnsi="Arabic Typesetting" w:cs="Arabic Typesetting"/>
            <w:noProof/>
            <w:sz w:val="32"/>
            <w:szCs w:val="32"/>
            <w:rtl/>
          </w:rPr>
          <w:t>الميزانية المعتمدة والتحويلات بحسب كل برنامج – الثنائية 2012/13</w:t>
        </w:r>
        <w:r w:rsidRPr="00977A67">
          <w:rPr>
            <w:noProof/>
            <w:webHidden/>
          </w:rPr>
          <w:tab/>
        </w:r>
        <w:r w:rsidRPr="00977A67">
          <w:rPr>
            <w:noProof/>
            <w:webHidden/>
          </w:rPr>
          <w:fldChar w:fldCharType="begin"/>
        </w:r>
        <w:r w:rsidRPr="00977A67">
          <w:rPr>
            <w:noProof/>
            <w:webHidden/>
          </w:rPr>
          <w:instrText xml:space="preserve"> PAGEREF _Toc394914253 \h </w:instrText>
        </w:r>
        <w:r w:rsidRPr="00977A67">
          <w:rPr>
            <w:noProof/>
            <w:webHidden/>
          </w:rPr>
        </w:r>
        <w:r w:rsidRPr="00977A67">
          <w:rPr>
            <w:noProof/>
            <w:webHidden/>
          </w:rPr>
          <w:fldChar w:fldCharType="separate"/>
        </w:r>
        <w:r w:rsidR="00197C9F">
          <w:rPr>
            <w:noProof/>
            <w:webHidden/>
            <w:rtl/>
          </w:rPr>
          <w:t>11</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54" w:history="1">
        <w:r w:rsidRPr="00977A67">
          <w:rPr>
            <w:rStyle w:val="Hyperlink"/>
            <w:rFonts w:ascii="Arabic Typesetting" w:hAnsi="Arabic Typesetting" w:cs="Arabic Typesetting"/>
            <w:noProof/>
            <w:sz w:val="32"/>
            <w:szCs w:val="32"/>
            <w:rtl/>
          </w:rPr>
          <w:t>الجدول 3</w:t>
        </w:r>
        <w:r w:rsidRPr="00977A67">
          <w:rPr>
            <w:rFonts w:eastAsiaTheme="minorEastAsia"/>
            <w:noProof/>
          </w:rPr>
          <w:tab/>
        </w:r>
        <w:r w:rsidRPr="00977A67">
          <w:rPr>
            <w:rStyle w:val="Hyperlink"/>
            <w:rFonts w:ascii="Arabic Typesetting" w:hAnsi="Arabic Typesetting" w:cs="Arabic Typesetting"/>
            <w:noProof/>
            <w:sz w:val="32"/>
            <w:szCs w:val="32"/>
            <w:rtl/>
          </w:rPr>
          <w:t>تقرير عن الوظائف بحسب كل برنامج – الثنائية 2012/13</w:t>
        </w:r>
        <w:r w:rsidRPr="00977A67">
          <w:rPr>
            <w:noProof/>
            <w:webHidden/>
          </w:rPr>
          <w:tab/>
        </w:r>
        <w:r w:rsidRPr="00977A67">
          <w:rPr>
            <w:noProof/>
            <w:webHidden/>
          </w:rPr>
          <w:fldChar w:fldCharType="begin"/>
        </w:r>
        <w:r w:rsidRPr="00977A67">
          <w:rPr>
            <w:noProof/>
            <w:webHidden/>
          </w:rPr>
          <w:instrText xml:space="preserve"> PAGEREF _Toc394914254 \h </w:instrText>
        </w:r>
        <w:r w:rsidRPr="00977A67">
          <w:rPr>
            <w:noProof/>
            <w:webHidden/>
          </w:rPr>
        </w:r>
        <w:r w:rsidRPr="00977A67">
          <w:rPr>
            <w:noProof/>
            <w:webHidden/>
          </w:rPr>
          <w:fldChar w:fldCharType="separate"/>
        </w:r>
        <w:r w:rsidR="00197C9F">
          <w:rPr>
            <w:noProof/>
            <w:webHidden/>
            <w:rtl/>
          </w:rPr>
          <w:t>12</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55" w:history="1">
        <w:r w:rsidRPr="00977A67">
          <w:rPr>
            <w:rStyle w:val="Hyperlink"/>
            <w:sz w:val="32"/>
            <w:szCs w:val="32"/>
            <w:rtl/>
          </w:rPr>
          <w:t>النفقات</w:t>
        </w:r>
        <w:r w:rsidRPr="00977A67">
          <w:rPr>
            <w:webHidden/>
          </w:rPr>
          <w:tab/>
        </w:r>
        <w:r w:rsidRPr="00977A67">
          <w:rPr>
            <w:webHidden/>
            <w:sz w:val="32"/>
            <w:szCs w:val="32"/>
          </w:rPr>
          <w:fldChar w:fldCharType="begin"/>
        </w:r>
        <w:r w:rsidRPr="00977A67">
          <w:rPr>
            <w:webHidden/>
            <w:sz w:val="32"/>
            <w:szCs w:val="32"/>
          </w:rPr>
          <w:instrText xml:space="preserve"> PAGEREF _Toc394914255 \h </w:instrText>
        </w:r>
        <w:r w:rsidRPr="00977A67">
          <w:rPr>
            <w:webHidden/>
            <w:sz w:val="32"/>
            <w:szCs w:val="32"/>
          </w:rPr>
        </w:r>
        <w:r w:rsidRPr="00977A67">
          <w:rPr>
            <w:webHidden/>
            <w:sz w:val="32"/>
            <w:szCs w:val="32"/>
          </w:rPr>
          <w:fldChar w:fldCharType="separate"/>
        </w:r>
        <w:r w:rsidR="00197C9F">
          <w:rPr>
            <w:webHidden/>
            <w:sz w:val="32"/>
            <w:szCs w:val="32"/>
            <w:rtl/>
          </w:rPr>
          <w:t>13</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56" w:history="1">
        <w:r w:rsidRPr="00977A67">
          <w:rPr>
            <w:rStyle w:val="Hyperlink"/>
            <w:rFonts w:ascii="Arabic Typesetting" w:hAnsi="Arabic Typesetting" w:cs="Arabic Typesetting"/>
            <w:noProof/>
            <w:sz w:val="32"/>
            <w:szCs w:val="32"/>
            <w:rtl/>
          </w:rPr>
          <w:t>الجدول 4</w:t>
        </w:r>
        <w:r w:rsidRPr="00977A67">
          <w:rPr>
            <w:rFonts w:eastAsiaTheme="minorEastAsia"/>
            <w:noProof/>
          </w:rPr>
          <w:tab/>
        </w:r>
        <w:r w:rsidRPr="00977A67">
          <w:rPr>
            <w:rStyle w:val="Hyperlink"/>
            <w:rFonts w:ascii="Arabic Typesetting" w:hAnsi="Arabic Typesetting" w:cs="Arabic Typesetting"/>
            <w:noProof/>
            <w:sz w:val="32"/>
            <w:szCs w:val="32"/>
            <w:rtl/>
          </w:rPr>
          <w:t>تقرير عن الميزانية والنفقات بحسب كل برنامج – الثنائية 2012/13</w:t>
        </w:r>
        <w:r w:rsidRPr="00977A67">
          <w:rPr>
            <w:noProof/>
            <w:webHidden/>
          </w:rPr>
          <w:tab/>
        </w:r>
        <w:r w:rsidRPr="00977A67">
          <w:rPr>
            <w:noProof/>
            <w:webHidden/>
          </w:rPr>
          <w:fldChar w:fldCharType="begin"/>
        </w:r>
        <w:r w:rsidRPr="00977A67">
          <w:rPr>
            <w:noProof/>
            <w:webHidden/>
          </w:rPr>
          <w:instrText xml:space="preserve"> PAGEREF _Toc394914256 \h </w:instrText>
        </w:r>
        <w:r w:rsidRPr="00977A67">
          <w:rPr>
            <w:noProof/>
            <w:webHidden/>
          </w:rPr>
        </w:r>
        <w:r w:rsidRPr="00977A67">
          <w:rPr>
            <w:noProof/>
            <w:webHidden/>
          </w:rPr>
          <w:fldChar w:fldCharType="separate"/>
        </w:r>
        <w:r w:rsidR="00197C9F">
          <w:rPr>
            <w:noProof/>
            <w:webHidden/>
            <w:rtl/>
          </w:rPr>
          <w:t>13</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57" w:history="1">
        <w:r w:rsidRPr="00977A67">
          <w:rPr>
            <w:rStyle w:val="Hyperlink"/>
            <w:rFonts w:ascii="Arabic Typesetting" w:hAnsi="Arabic Typesetting" w:cs="Arabic Typesetting"/>
            <w:noProof/>
            <w:sz w:val="32"/>
            <w:szCs w:val="32"/>
            <w:rtl/>
          </w:rPr>
          <w:t>الجدول 5</w:t>
        </w:r>
        <w:r w:rsidRPr="00977A67">
          <w:rPr>
            <w:rFonts w:eastAsiaTheme="minorEastAsia"/>
            <w:noProof/>
          </w:rPr>
          <w:tab/>
        </w:r>
        <w:r w:rsidRPr="00977A67">
          <w:rPr>
            <w:rStyle w:val="Hyperlink"/>
            <w:rFonts w:ascii="Arabic Typesetting" w:hAnsi="Arabic Typesetting" w:cs="Arabic Typesetting"/>
            <w:noProof/>
            <w:sz w:val="32"/>
            <w:szCs w:val="32"/>
            <w:rtl/>
          </w:rPr>
          <w:t>النفقات بحسب غرض الإنفاق – الثنائية 2012/13</w:t>
        </w:r>
        <w:r w:rsidRPr="00977A67">
          <w:rPr>
            <w:noProof/>
            <w:webHidden/>
          </w:rPr>
          <w:tab/>
        </w:r>
        <w:r w:rsidRPr="00977A67">
          <w:rPr>
            <w:noProof/>
            <w:webHidden/>
          </w:rPr>
          <w:fldChar w:fldCharType="begin"/>
        </w:r>
        <w:r w:rsidRPr="00977A67">
          <w:rPr>
            <w:noProof/>
            <w:webHidden/>
          </w:rPr>
          <w:instrText xml:space="preserve"> PAGEREF _Toc394914257 \h </w:instrText>
        </w:r>
        <w:r w:rsidRPr="00977A67">
          <w:rPr>
            <w:noProof/>
            <w:webHidden/>
          </w:rPr>
        </w:r>
        <w:r w:rsidRPr="00977A67">
          <w:rPr>
            <w:noProof/>
            <w:webHidden/>
          </w:rPr>
          <w:fldChar w:fldCharType="separate"/>
        </w:r>
        <w:r w:rsidR="00197C9F">
          <w:rPr>
            <w:noProof/>
            <w:webHidden/>
            <w:rtl/>
          </w:rPr>
          <w:t>14</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58" w:history="1">
        <w:r w:rsidRPr="00977A67">
          <w:rPr>
            <w:rStyle w:val="Hyperlink"/>
            <w:rFonts w:ascii="Arabic Typesetting" w:hAnsi="Arabic Typesetting" w:cs="Arabic Typesetting"/>
            <w:noProof/>
            <w:sz w:val="32"/>
            <w:szCs w:val="32"/>
            <w:rtl/>
          </w:rPr>
          <w:t>الموارد البشرية</w:t>
        </w:r>
        <w:r w:rsidRPr="00977A67">
          <w:rPr>
            <w:noProof/>
            <w:webHidden/>
          </w:rPr>
          <w:tab/>
        </w:r>
        <w:r w:rsidRPr="00977A67">
          <w:rPr>
            <w:noProof/>
            <w:webHidden/>
          </w:rPr>
          <w:fldChar w:fldCharType="begin"/>
        </w:r>
        <w:r w:rsidRPr="00977A67">
          <w:rPr>
            <w:noProof/>
            <w:webHidden/>
          </w:rPr>
          <w:instrText xml:space="preserve"> PAGEREF _Toc394914258 \h </w:instrText>
        </w:r>
        <w:r w:rsidRPr="00977A67">
          <w:rPr>
            <w:noProof/>
            <w:webHidden/>
          </w:rPr>
        </w:r>
        <w:r w:rsidRPr="00977A67">
          <w:rPr>
            <w:noProof/>
            <w:webHidden/>
          </w:rPr>
          <w:fldChar w:fldCharType="separate"/>
        </w:r>
        <w:r w:rsidR="00197C9F">
          <w:rPr>
            <w:noProof/>
            <w:webHidden/>
            <w:rtl/>
          </w:rPr>
          <w:t>14</w:t>
        </w:r>
        <w:r w:rsidRPr="00977A67">
          <w:rPr>
            <w:noProof/>
            <w:webHidden/>
          </w:rPr>
          <w:fldChar w:fldCharType="end"/>
        </w:r>
      </w:hyperlink>
    </w:p>
    <w:p w:rsidR="006715D6" w:rsidRPr="00977A67" w:rsidRDefault="006715D6" w:rsidP="006715D6">
      <w:pPr>
        <w:pStyle w:val="TOC3"/>
        <w:tabs>
          <w:tab w:val="right" w:leader="dot" w:pos="9345"/>
        </w:tabs>
        <w:bidi/>
        <w:rPr>
          <w:rFonts w:ascii="Arabic Typesetting" w:eastAsiaTheme="minorEastAsia" w:hAnsi="Arabic Typesetting" w:cs="Arabic Typesetting"/>
          <w:i w:val="0"/>
          <w:iCs w:val="0"/>
          <w:noProof/>
          <w:sz w:val="32"/>
          <w:szCs w:val="32"/>
        </w:rPr>
      </w:pPr>
      <w:hyperlink w:anchor="_Toc394914259" w:history="1">
        <w:r w:rsidRPr="00977A67">
          <w:rPr>
            <w:rStyle w:val="Hyperlink"/>
            <w:rFonts w:ascii="Arabic Typesetting" w:hAnsi="Arabic Typesetting" w:cs="Arabic Typesetting"/>
            <w:i w:val="0"/>
            <w:iCs w:val="0"/>
            <w:noProof/>
            <w:sz w:val="32"/>
            <w:szCs w:val="32"/>
            <w:rtl/>
          </w:rPr>
          <w:t>تطور نفقات الموظفين بحسب السنوات</w:t>
        </w:r>
        <w:r w:rsidRPr="00977A67">
          <w:rPr>
            <w:rFonts w:ascii="Arabic Typesetting" w:hAnsi="Arabic Typesetting" w:cs="Arabic Typesetting"/>
            <w:i w:val="0"/>
            <w:iCs w:val="0"/>
            <w:noProof/>
            <w:webHidden/>
            <w:sz w:val="32"/>
            <w:szCs w:val="32"/>
          </w:rPr>
          <w:tab/>
        </w:r>
        <w:r w:rsidRPr="00977A67">
          <w:rPr>
            <w:rFonts w:ascii="Arabic Typesetting" w:hAnsi="Arabic Typesetting" w:cs="Arabic Typesetting"/>
            <w:i w:val="0"/>
            <w:iCs w:val="0"/>
            <w:noProof/>
            <w:webHidden/>
            <w:sz w:val="32"/>
            <w:szCs w:val="32"/>
          </w:rPr>
          <w:fldChar w:fldCharType="begin"/>
        </w:r>
        <w:r w:rsidRPr="00977A67">
          <w:rPr>
            <w:rFonts w:ascii="Arabic Typesetting" w:hAnsi="Arabic Typesetting" w:cs="Arabic Typesetting"/>
            <w:i w:val="0"/>
            <w:iCs w:val="0"/>
            <w:noProof/>
            <w:webHidden/>
            <w:sz w:val="32"/>
            <w:szCs w:val="32"/>
          </w:rPr>
          <w:instrText xml:space="preserve"> PAGEREF _Toc394914259 \h </w:instrText>
        </w:r>
        <w:r w:rsidRPr="00977A67">
          <w:rPr>
            <w:rFonts w:ascii="Arabic Typesetting" w:hAnsi="Arabic Typesetting" w:cs="Arabic Typesetting"/>
            <w:i w:val="0"/>
            <w:iCs w:val="0"/>
            <w:noProof/>
            <w:webHidden/>
            <w:sz w:val="32"/>
            <w:szCs w:val="32"/>
          </w:rPr>
        </w:r>
        <w:r w:rsidRPr="00977A67">
          <w:rPr>
            <w:rFonts w:ascii="Arabic Typesetting" w:hAnsi="Arabic Typesetting" w:cs="Arabic Typesetting"/>
            <w:i w:val="0"/>
            <w:iCs w:val="0"/>
            <w:noProof/>
            <w:webHidden/>
            <w:sz w:val="32"/>
            <w:szCs w:val="32"/>
          </w:rPr>
          <w:fldChar w:fldCharType="separate"/>
        </w:r>
        <w:r w:rsidR="00197C9F">
          <w:rPr>
            <w:rFonts w:ascii="Arabic Typesetting" w:hAnsi="Arabic Typesetting" w:cs="Arabic Typesetting"/>
            <w:i w:val="0"/>
            <w:iCs w:val="0"/>
            <w:noProof/>
            <w:webHidden/>
            <w:sz w:val="32"/>
            <w:szCs w:val="32"/>
            <w:rtl/>
          </w:rPr>
          <w:t>15</w:t>
        </w:r>
        <w:r w:rsidRPr="00977A67">
          <w:rPr>
            <w:rFonts w:ascii="Arabic Typesetting" w:hAnsi="Arabic Typesetting" w:cs="Arabic Typesetting"/>
            <w:i w:val="0"/>
            <w:iCs w:val="0"/>
            <w:noProof/>
            <w:webHidden/>
            <w:sz w:val="32"/>
            <w:szCs w:val="32"/>
          </w:rPr>
          <w:fldChar w:fldCharType="end"/>
        </w:r>
      </w:hyperlink>
    </w:p>
    <w:p w:rsidR="006715D6" w:rsidRPr="00977A67" w:rsidRDefault="006715D6" w:rsidP="006715D6">
      <w:pPr>
        <w:pStyle w:val="TOC2"/>
        <w:rPr>
          <w:rFonts w:eastAsiaTheme="minorEastAsia"/>
          <w:noProof/>
        </w:rPr>
      </w:pPr>
      <w:hyperlink w:anchor="_Toc394914260" w:history="1">
        <w:r w:rsidRPr="00977A67">
          <w:rPr>
            <w:rStyle w:val="Hyperlink"/>
            <w:rFonts w:ascii="Arabic Typesetting" w:hAnsi="Arabic Typesetting" w:cs="Arabic Typesetting"/>
            <w:noProof/>
            <w:sz w:val="32"/>
            <w:szCs w:val="32"/>
            <w:rtl/>
          </w:rPr>
          <w:t>الأسفار والمنح</w:t>
        </w:r>
        <w:r w:rsidRPr="00977A67">
          <w:rPr>
            <w:noProof/>
            <w:webHidden/>
          </w:rPr>
          <w:tab/>
        </w:r>
        <w:r w:rsidRPr="00977A67">
          <w:rPr>
            <w:noProof/>
            <w:webHidden/>
          </w:rPr>
          <w:fldChar w:fldCharType="begin"/>
        </w:r>
        <w:r w:rsidRPr="00977A67">
          <w:rPr>
            <w:noProof/>
            <w:webHidden/>
          </w:rPr>
          <w:instrText xml:space="preserve"> PAGEREF _Toc394914260 \h </w:instrText>
        </w:r>
        <w:r w:rsidRPr="00977A67">
          <w:rPr>
            <w:noProof/>
            <w:webHidden/>
          </w:rPr>
        </w:r>
        <w:r w:rsidRPr="00977A67">
          <w:rPr>
            <w:noProof/>
            <w:webHidden/>
          </w:rPr>
          <w:fldChar w:fldCharType="separate"/>
        </w:r>
        <w:r w:rsidR="00197C9F">
          <w:rPr>
            <w:noProof/>
            <w:webHidden/>
            <w:rtl/>
          </w:rPr>
          <w:t>16</w:t>
        </w:r>
        <w:r w:rsidRPr="00977A67">
          <w:rPr>
            <w:noProof/>
            <w:webHidden/>
          </w:rPr>
          <w:fldChar w:fldCharType="end"/>
        </w:r>
      </w:hyperlink>
    </w:p>
    <w:p w:rsidR="006715D6" w:rsidRPr="00977A67" w:rsidRDefault="006715D6" w:rsidP="006715D6">
      <w:pPr>
        <w:pStyle w:val="TOC3"/>
        <w:tabs>
          <w:tab w:val="right" w:leader="dot" w:pos="9345"/>
        </w:tabs>
        <w:bidi/>
        <w:rPr>
          <w:rFonts w:ascii="Arabic Typesetting" w:eastAsiaTheme="minorEastAsia" w:hAnsi="Arabic Typesetting" w:cs="Arabic Typesetting"/>
          <w:i w:val="0"/>
          <w:iCs w:val="0"/>
          <w:noProof/>
          <w:sz w:val="32"/>
          <w:szCs w:val="32"/>
        </w:rPr>
      </w:pPr>
      <w:hyperlink w:anchor="_Toc394914261" w:history="1">
        <w:r w:rsidRPr="00977A67">
          <w:rPr>
            <w:rStyle w:val="Hyperlink"/>
            <w:rFonts w:ascii="Arabic Typesetting" w:hAnsi="Arabic Typesetting" w:cs="Arabic Typesetting"/>
            <w:i w:val="0"/>
            <w:iCs w:val="0"/>
            <w:noProof/>
            <w:sz w:val="32"/>
            <w:szCs w:val="32"/>
            <w:rtl/>
          </w:rPr>
          <w:t>تطور نفقات المنح والأسفار بحسب السنوات</w:t>
        </w:r>
        <w:r w:rsidRPr="00977A67">
          <w:rPr>
            <w:rFonts w:ascii="Arabic Typesetting" w:hAnsi="Arabic Typesetting" w:cs="Arabic Typesetting"/>
            <w:i w:val="0"/>
            <w:iCs w:val="0"/>
            <w:noProof/>
            <w:webHidden/>
            <w:sz w:val="32"/>
            <w:szCs w:val="32"/>
          </w:rPr>
          <w:tab/>
        </w:r>
        <w:r w:rsidRPr="00977A67">
          <w:rPr>
            <w:rFonts w:ascii="Arabic Typesetting" w:hAnsi="Arabic Typesetting" w:cs="Arabic Typesetting"/>
            <w:i w:val="0"/>
            <w:iCs w:val="0"/>
            <w:noProof/>
            <w:webHidden/>
            <w:sz w:val="32"/>
            <w:szCs w:val="32"/>
          </w:rPr>
          <w:fldChar w:fldCharType="begin"/>
        </w:r>
        <w:r w:rsidRPr="00977A67">
          <w:rPr>
            <w:rFonts w:ascii="Arabic Typesetting" w:hAnsi="Arabic Typesetting" w:cs="Arabic Typesetting"/>
            <w:i w:val="0"/>
            <w:iCs w:val="0"/>
            <w:noProof/>
            <w:webHidden/>
            <w:sz w:val="32"/>
            <w:szCs w:val="32"/>
          </w:rPr>
          <w:instrText xml:space="preserve"> PAGEREF _Toc394914261 \h </w:instrText>
        </w:r>
        <w:r w:rsidRPr="00977A67">
          <w:rPr>
            <w:rFonts w:ascii="Arabic Typesetting" w:hAnsi="Arabic Typesetting" w:cs="Arabic Typesetting"/>
            <w:i w:val="0"/>
            <w:iCs w:val="0"/>
            <w:noProof/>
            <w:webHidden/>
            <w:sz w:val="32"/>
            <w:szCs w:val="32"/>
          </w:rPr>
        </w:r>
        <w:r w:rsidRPr="00977A67">
          <w:rPr>
            <w:rFonts w:ascii="Arabic Typesetting" w:hAnsi="Arabic Typesetting" w:cs="Arabic Typesetting"/>
            <w:i w:val="0"/>
            <w:iCs w:val="0"/>
            <w:noProof/>
            <w:webHidden/>
            <w:sz w:val="32"/>
            <w:szCs w:val="32"/>
          </w:rPr>
          <w:fldChar w:fldCharType="separate"/>
        </w:r>
        <w:r w:rsidR="00197C9F">
          <w:rPr>
            <w:rFonts w:ascii="Arabic Typesetting" w:hAnsi="Arabic Typesetting" w:cs="Arabic Typesetting"/>
            <w:i w:val="0"/>
            <w:iCs w:val="0"/>
            <w:noProof/>
            <w:webHidden/>
            <w:sz w:val="32"/>
            <w:szCs w:val="32"/>
            <w:rtl/>
          </w:rPr>
          <w:t>16</w:t>
        </w:r>
        <w:r w:rsidRPr="00977A67">
          <w:rPr>
            <w:rFonts w:ascii="Arabic Typesetting" w:hAnsi="Arabic Typesetting" w:cs="Arabic Typesetting"/>
            <w:i w:val="0"/>
            <w:iCs w:val="0"/>
            <w:noProof/>
            <w:webHidden/>
            <w:sz w:val="32"/>
            <w:szCs w:val="32"/>
          </w:rPr>
          <w:fldChar w:fldCharType="end"/>
        </w:r>
      </w:hyperlink>
    </w:p>
    <w:p w:rsidR="006715D6" w:rsidRPr="00977A67" w:rsidRDefault="006715D6" w:rsidP="006715D6">
      <w:pPr>
        <w:pStyle w:val="TOC2"/>
        <w:rPr>
          <w:rFonts w:eastAsiaTheme="minorEastAsia"/>
          <w:noProof/>
        </w:rPr>
      </w:pPr>
      <w:hyperlink w:anchor="_Toc394914262" w:history="1">
        <w:r w:rsidRPr="00977A67">
          <w:rPr>
            <w:rStyle w:val="Hyperlink"/>
            <w:rFonts w:ascii="Arabic Typesetting" w:hAnsi="Arabic Typesetting" w:cs="Arabic Typesetting"/>
            <w:noProof/>
            <w:sz w:val="32"/>
            <w:szCs w:val="32"/>
            <w:rtl/>
          </w:rPr>
          <w:t>الخدمات التعاقدية</w:t>
        </w:r>
        <w:r w:rsidRPr="00977A67">
          <w:rPr>
            <w:noProof/>
            <w:webHidden/>
          </w:rPr>
          <w:tab/>
        </w:r>
        <w:r w:rsidRPr="00977A67">
          <w:rPr>
            <w:noProof/>
            <w:webHidden/>
          </w:rPr>
          <w:fldChar w:fldCharType="begin"/>
        </w:r>
        <w:r w:rsidRPr="00977A67">
          <w:rPr>
            <w:noProof/>
            <w:webHidden/>
          </w:rPr>
          <w:instrText xml:space="preserve"> PAGEREF _Toc394914262 \h </w:instrText>
        </w:r>
        <w:r w:rsidRPr="00977A67">
          <w:rPr>
            <w:noProof/>
            <w:webHidden/>
          </w:rPr>
        </w:r>
        <w:r w:rsidRPr="00977A67">
          <w:rPr>
            <w:noProof/>
            <w:webHidden/>
          </w:rPr>
          <w:fldChar w:fldCharType="separate"/>
        </w:r>
        <w:r w:rsidR="00197C9F">
          <w:rPr>
            <w:noProof/>
            <w:webHidden/>
            <w:rtl/>
          </w:rPr>
          <w:t>17</w:t>
        </w:r>
        <w:r w:rsidRPr="00977A67">
          <w:rPr>
            <w:noProof/>
            <w:webHidden/>
          </w:rPr>
          <w:fldChar w:fldCharType="end"/>
        </w:r>
      </w:hyperlink>
    </w:p>
    <w:p w:rsidR="006715D6" w:rsidRPr="00977A67" w:rsidRDefault="006715D6" w:rsidP="006715D6">
      <w:pPr>
        <w:pStyle w:val="TOC3"/>
        <w:tabs>
          <w:tab w:val="right" w:leader="dot" w:pos="9345"/>
        </w:tabs>
        <w:bidi/>
        <w:rPr>
          <w:rFonts w:ascii="Arabic Typesetting" w:eastAsiaTheme="minorEastAsia" w:hAnsi="Arabic Typesetting" w:cs="Arabic Typesetting"/>
          <w:i w:val="0"/>
          <w:iCs w:val="0"/>
          <w:noProof/>
          <w:sz w:val="32"/>
          <w:szCs w:val="32"/>
        </w:rPr>
      </w:pPr>
      <w:hyperlink w:anchor="_Toc394914263" w:history="1">
        <w:r w:rsidRPr="00977A67">
          <w:rPr>
            <w:rStyle w:val="Hyperlink"/>
            <w:rFonts w:ascii="Arabic Typesetting" w:hAnsi="Arabic Typesetting" w:cs="Arabic Typesetting"/>
            <w:i w:val="0"/>
            <w:iCs w:val="0"/>
            <w:noProof/>
            <w:sz w:val="32"/>
            <w:szCs w:val="32"/>
            <w:rtl/>
          </w:rPr>
          <w:t>تطور نفقات الخدمات التعاقدية بحسب السنوات</w:t>
        </w:r>
        <w:r w:rsidRPr="00977A67">
          <w:rPr>
            <w:rFonts w:ascii="Arabic Typesetting" w:hAnsi="Arabic Typesetting" w:cs="Arabic Typesetting"/>
            <w:i w:val="0"/>
            <w:iCs w:val="0"/>
            <w:noProof/>
            <w:webHidden/>
            <w:sz w:val="32"/>
            <w:szCs w:val="32"/>
          </w:rPr>
          <w:tab/>
        </w:r>
        <w:r w:rsidRPr="00977A67">
          <w:rPr>
            <w:rFonts w:ascii="Arabic Typesetting" w:hAnsi="Arabic Typesetting" w:cs="Arabic Typesetting"/>
            <w:i w:val="0"/>
            <w:iCs w:val="0"/>
            <w:noProof/>
            <w:webHidden/>
            <w:sz w:val="32"/>
            <w:szCs w:val="32"/>
          </w:rPr>
          <w:fldChar w:fldCharType="begin"/>
        </w:r>
        <w:r w:rsidRPr="00977A67">
          <w:rPr>
            <w:rFonts w:ascii="Arabic Typesetting" w:hAnsi="Arabic Typesetting" w:cs="Arabic Typesetting"/>
            <w:i w:val="0"/>
            <w:iCs w:val="0"/>
            <w:noProof/>
            <w:webHidden/>
            <w:sz w:val="32"/>
            <w:szCs w:val="32"/>
          </w:rPr>
          <w:instrText xml:space="preserve"> PAGEREF _Toc394914263 \h </w:instrText>
        </w:r>
        <w:r w:rsidRPr="00977A67">
          <w:rPr>
            <w:rFonts w:ascii="Arabic Typesetting" w:hAnsi="Arabic Typesetting" w:cs="Arabic Typesetting"/>
            <w:i w:val="0"/>
            <w:iCs w:val="0"/>
            <w:noProof/>
            <w:webHidden/>
            <w:sz w:val="32"/>
            <w:szCs w:val="32"/>
          </w:rPr>
        </w:r>
        <w:r w:rsidRPr="00977A67">
          <w:rPr>
            <w:rFonts w:ascii="Arabic Typesetting" w:hAnsi="Arabic Typesetting" w:cs="Arabic Typesetting"/>
            <w:i w:val="0"/>
            <w:iCs w:val="0"/>
            <w:noProof/>
            <w:webHidden/>
            <w:sz w:val="32"/>
            <w:szCs w:val="32"/>
          </w:rPr>
          <w:fldChar w:fldCharType="separate"/>
        </w:r>
        <w:r w:rsidR="00197C9F">
          <w:rPr>
            <w:rFonts w:ascii="Arabic Typesetting" w:hAnsi="Arabic Typesetting" w:cs="Arabic Typesetting"/>
            <w:i w:val="0"/>
            <w:iCs w:val="0"/>
            <w:noProof/>
            <w:webHidden/>
            <w:sz w:val="32"/>
            <w:szCs w:val="32"/>
            <w:rtl/>
          </w:rPr>
          <w:t>17</w:t>
        </w:r>
        <w:r w:rsidRPr="00977A67">
          <w:rPr>
            <w:rFonts w:ascii="Arabic Typesetting" w:hAnsi="Arabic Typesetting" w:cs="Arabic Typesetting"/>
            <w:i w:val="0"/>
            <w:iCs w:val="0"/>
            <w:noProof/>
            <w:webHidden/>
            <w:sz w:val="32"/>
            <w:szCs w:val="32"/>
          </w:rPr>
          <w:fldChar w:fldCharType="end"/>
        </w:r>
      </w:hyperlink>
    </w:p>
    <w:p w:rsidR="006715D6" w:rsidRPr="00977A67" w:rsidRDefault="006715D6" w:rsidP="006715D6">
      <w:pPr>
        <w:pStyle w:val="TOC2"/>
        <w:rPr>
          <w:rFonts w:eastAsiaTheme="minorEastAsia"/>
          <w:noProof/>
        </w:rPr>
      </w:pPr>
      <w:hyperlink w:anchor="_Toc394914264" w:history="1">
        <w:r w:rsidRPr="00977A67">
          <w:rPr>
            <w:rStyle w:val="Hyperlink"/>
            <w:rFonts w:ascii="Arabic Typesetting" w:hAnsi="Arabic Typesetting" w:cs="Arabic Typesetting"/>
            <w:noProof/>
            <w:sz w:val="32"/>
            <w:szCs w:val="32"/>
            <w:rtl/>
          </w:rPr>
          <w:t>مصروفات التشغيل</w:t>
        </w:r>
        <w:r w:rsidRPr="00977A67">
          <w:rPr>
            <w:noProof/>
            <w:webHidden/>
          </w:rPr>
          <w:tab/>
        </w:r>
        <w:r w:rsidRPr="00977A67">
          <w:rPr>
            <w:noProof/>
            <w:webHidden/>
          </w:rPr>
          <w:fldChar w:fldCharType="begin"/>
        </w:r>
        <w:r w:rsidRPr="00977A67">
          <w:rPr>
            <w:noProof/>
            <w:webHidden/>
          </w:rPr>
          <w:instrText xml:space="preserve"> PAGEREF _Toc394914264 \h </w:instrText>
        </w:r>
        <w:r w:rsidRPr="00977A67">
          <w:rPr>
            <w:noProof/>
            <w:webHidden/>
          </w:rPr>
        </w:r>
        <w:r w:rsidRPr="00977A67">
          <w:rPr>
            <w:noProof/>
            <w:webHidden/>
          </w:rPr>
          <w:fldChar w:fldCharType="separate"/>
        </w:r>
        <w:r w:rsidR="00197C9F">
          <w:rPr>
            <w:noProof/>
            <w:webHidden/>
            <w:rtl/>
          </w:rPr>
          <w:t>18</w:t>
        </w:r>
        <w:r w:rsidRPr="00977A67">
          <w:rPr>
            <w:noProof/>
            <w:webHidden/>
          </w:rPr>
          <w:fldChar w:fldCharType="end"/>
        </w:r>
      </w:hyperlink>
    </w:p>
    <w:p w:rsidR="006715D6" w:rsidRPr="00977A67" w:rsidRDefault="006715D6" w:rsidP="006715D6">
      <w:pPr>
        <w:pStyle w:val="TOC3"/>
        <w:tabs>
          <w:tab w:val="right" w:leader="dot" w:pos="9345"/>
        </w:tabs>
        <w:bidi/>
        <w:rPr>
          <w:rFonts w:ascii="Arabic Typesetting" w:eastAsiaTheme="minorEastAsia" w:hAnsi="Arabic Typesetting" w:cs="Arabic Typesetting"/>
          <w:i w:val="0"/>
          <w:iCs w:val="0"/>
          <w:noProof/>
          <w:sz w:val="32"/>
          <w:szCs w:val="32"/>
        </w:rPr>
      </w:pPr>
      <w:hyperlink w:anchor="_Toc394914265" w:history="1">
        <w:r w:rsidRPr="00977A67">
          <w:rPr>
            <w:rStyle w:val="Hyperlink"/>
            <w:rFonts w:ascii="Arabic Typesetting" w:hAnsi="Arabic Typesetting" w:cs="Arabic Typesetting"/>
            <w:i w:val="0"/>
            <w:iCs w:val="0"/>
            <w:noProof/>
            <w:sz w:val="32"/>
            <w:szCs w:val="32"/>
            <w:rtl/>
          </w:rPr>
          <w:t>تطور مصروفات التشغيل بحسب السنوات</w:t>
        </w:r>
        <w:r w:rsidRPr="00977A67">
          <w:rPr>
            <w:rFonts w:ascii="Arabic Typesetting" w:hAnsi="Arabic Typesetting" w:cs="Arabic Typesetting"/>
            <w:i w:val="0"/>
            <w:iCs w:val="0"/>
            <w:noProof/>
            <w:webHidden/>
            <w:sz w:val="32"/>
            <w:szCs w:val="32"/>
          </w:rPr>
          <w:tab/>
        </w:r>
        <w:r w:rsidRPr="00977A67">
          <w:rPr>
            <w:rFonts w:ascii="Arabic Typesetting" w:hAnsi="Arabic Typesetting" w:cs="Arabic Typesetting"/>
            <w:i w:val="0"/>
            <w:iCs w:val="0"/>
            <w:noProof/>
            <w:webHidden/>
            <w:sz w:val="32"/>
            <w:szCs w:val="32"/>
          </w:rPr>
          <w:fldChar w:fldCharType="begin"/>
        </w:r>
        <w:r w:rsidRPr="00977A67">
          <w:rPr>
            <w:rFonts w:ascii="Arabic Typesetting" w:hAnsi="Arabic Typesetting" w:cs="Arabic Typesetting"/>
            <w:i w:val="0"/>
            <w:iCs w:val="0"/>
            <w:noProof/>
            <w:webHidden/>
            <w:sz w:val="32"/>
            <w:szCs w:val="32"/>
          </w:rPr>
          <w:instrText xml:space="preserve"> PAGEREF _Toc394914265 \h </w:instrText>
        </w:r>
        <w:r w:rsidRPr="00977A67">
          <w:rPr>
            <w:rFonts w:ascii="Arabic Typesetting" w:hAnsi="Arabic Typesetting" w:cs="Arabic Typesetting"/>
            <w:i w:val="0"/>
            <w:iCs w:val="0"/>
            <w:noProof/>
            <w:webHidden/>
            <w:sz w:val="32"/>
            <w:szCs w:val="32"/>
          </w:rPr>
        </w:r>
        <w:r w:rsidRPr="00977A67">
          <w:rPr>
            <w:rFonts w:ascii="Arabic Typesetting" w:hAnsi="Arabic Typesetting" w:cs="Arabic Typesetting"/>
            <w:i w:val="0"/>
            <w:iCs w:val="0"/>
            <w:noProof/>
            <w:webHidden/>
            <w:sz w:val="32"/>
            <w:szCs w:val="32"/>
          </w:rPr>
          <w:fldChar w:fldCharType="separate"/>
        </w:r>
        <w:r w:rsidR="00197C9F">
          <w:rPr>
            <w:rFonts w:ascii="Arabic Typesetting" w:hAnsi="Arabic Typesetting" w:cs="Arabic Typesetting"/>
            <w:i w:val="0"/>
            <w:iCs w:val="0"/>
            <w:noProof/>
            <w:webHidden/>
            <w:sz w:val="32"/>
            <w:szCs w:val="32"/>
            <w:rtl/>
          </w:rPr>
          <w:t>18</w:t>
        </w:r>
        <w:r w:rsidRPr="00977A67">
          <w:rPr>
            <w:rFonts w:ascii="Arabic Typesetting" w:hAnsi="Arabic Typesetting" w:cs="Arabic Typesetting"/>
            <w:i w:val="0"/>
            <w:iCs w:val="0"/>
            <w:noProof/>
            <w:webHidden/>
            <w:sz w:val="32"/>
            <w:szCs w:val="32"/>
          </w:rPr>
          <w:fldChar w:fldCharType="end"/>
        </w:r>
      </w:hyperlink>
    </w:p>
    <w:p w:rsidR="006715D6" w:rsidRPr="00977A67" w:rsidRDefault="006715D6" w:rsidP="006715D6">
      <w:pPr>
        <w:pStyle w:val="TOC2"/>
        <w:rPr>
          <w:rFonts w:eastAsiaTheme="minorEastAsia"/>
          <w:noProof/>
        </w:rPr>
      </w:pPr>
      <w:hyperlink w:anchor="_Toc394914266" w:history="1">
        <w:r w:rsidRPr="00977A67">
          <w:rPr>
            <w:rStyle w:val="Hyperlink"/>
            <w:rFonts w:ascii="Arabic Typesetting" w:hAnsi="Arabic Typesetting" w:cs="Arabic Typesetting"/>
            <w:noProof/>
            <w:sz w:val="32"/>
            <w:szCs w:val="32"/>
            <w:rtl/>
          </w:rPr>
          <w:t>المعدات والإمدادات</w:t>
        </w:r>
        <w:r w:rsidRPr="00977A67">
          <w:rPr>
            <w:noProof/>
            <w:webHidden/>
          </w:rPr>
          <w:tab/>
        </w:r>
        <w:r w:rsidRPr="00977A67">
          <w:rPr>
            <w:noProof/>
            <w:webHidden/>
          </w:rPr>
          <w:fldChar w:fldCharType="begin"/>
        </w:r>
        <w:r w:rsidRPr="00977A67">
          <w:rPr>
            <w:noProof/>
            <w:webHidden/>
          </w:rPr>
          <w:instrText xml:space="preserve"> PAGEREF _Toc394914266 \h </w:instrText>
        </w:r>
        <w:r w:rsidRPr="00977A67">
          <w:rPr>
            <w:noProof/>
            <w:webHidden/>
          </w:rPr>
        </w:r>
        <w:r w:rsidRPr="00977A67">
          <w:rPr>
            <w:noProof/>
            <w:webHidden/>
          </w:rPr>
          <w:fldChar w:fldCharType="separate"/>
        </w:r>
        <w:r w:rsidR="00197C9F">
          <w:rPr>
            <w:noProof/>
            <w:webHidden/>
            <w:rtl/>
          </w:rPr>
          <w:t>19</w:t>
        </w:r>
        <w:r w:rsidRPr="00977A67">
          <w:rPr>
            <w:noProof/>
            <w:webHidden/>
          </w:rPr>
          <w:fldChar w:fldCharType="end"/>
        </w:r>
      </w:hyperlink>
    </w:p>
    <w:p w:rsidR="006715D6" w:rsidRPr="00977A67" w:rsidRDefault="006715D6" w:rsidP="006715D6">
      <w:pPr>
        <w:pStyle w:val="TOC3"/>
        <w:tabs>
          <w:tab w:val="right" w:leader="dot" w:pos="9345"/>
        </w:tabs>
        <w:bidi/>
        <w:rPr>
          <w:rFonts w:ascii="Arabic Typesetting" w:eastAsiaTheme="minorEastAsia" w:hAnsi="Arabic Typesetting" w:cs="Arabic Typesetting"/>
          <w:i w:val="0"/>
          <w:iCs w:val="0"/>
          <w:noProof/>
          <w:sz w:val="32"/>
          <w:szCs w:val="32"/>
        </w:rPr>
      </w:pPr>
      <w:hyperlink w:anchor="_Toc394914267" w:history="1">
        <w:r w:rsidRPr="00977A67">
          <w:rPr>
            <w:rStyle w:val="Hyperlink"/>
            <w:rFonts w:ascii="Arabic Typesetting" w:hAnsi="Arabic Typesetting" w:cs="Arabic Typesetting"/>
            <w:i w:val="0"/>
            <w:iCs w:val="0"/>
            <w:noProof/>
            <w:sz w:val="32"/>
            <w:szCs w:val="32"/>
            <w:rtl/>
          </w:rPr>
          <w:t>تطور نفقات المعدات والإمدادات بحسب السنوات</w:t>
        </w:r>
        <w:r w:rsidRPr="00977A67">
          <w:rPr>
            <w:rFonts w:ascii="Arabic Typesetting" w:hAnsi="Arabic Typesetting" w:cs="Arabic Typesetting"/>
            <w:i w:val="0"/>
            <w:iCs w:val="0"/>
            <w:noProof/>
            <w:webHidden/>
            <w:sz w:val="32"/>
            <w:szCs w:val="32"/>
          </w:rPr>
          <w:tab/>
        </w:r>
        <w:r w:rsidRPr="00977A67">
          <w:rPr>
            <w:rFonts w:ascii="Arabic Typesetting" w:hAnsi="Arabic Typesetting" w:cs="Arabic Typesetting"/>
            <w:i w:val="0"/>
            <w:iCs w:val="0"/>
            <w:noProof/>
            <w:webHidden/>
            <w:sz w:val="32"/>
            <w:szCs w:val="32"/>
          </w:rPr>
          <w:fldChar w:fldCharType="begin"/>
        </w:r>
        <w:r w:rsidRPr="00977A67">
          <w:rPr>
            <w:rFonts w:ascii="Arabic Typesetting" w:hAnsi="Arabic Typesetting" w:cs="Arabic Typesetting"/>
            <w:i w:val="0"/>
            <w:iCs w:val="0"/>
            <w:noProof/>
            <w:webHidden/>
            <w:sz w:val="32"/>
            <w:szCs w:val="32"/>
          </w:rPr>
          <w:instrText xml:space="preserve"> PAGEREF _Toc394914267 \h </w:instrText>
        </w:r>
        <w:r w:rsidRPr="00977A67">
          <w:rPr>
            <w:rFonts w:ascii="Arabic Typesetting" w:hAnsi="Arabic Typesetting" w:cs="Arabic Typesetting"/>
            <w:i w:val="0"/>
            <w:iCs w:val="0"/>
            <w:noProof/>
            <w:webHidden/>
            <w:sz w:val="32"/>
            <w:szCs w:val="32"/>
          </w:rPr>
        </w:r>
        <w:r w:rsidRPr="00977A67">
          <w:rPr>
            <w:rFonts w:ascii="Arabic Typesetting" w:hAnsi="Arabic Typesetting" w:cs="Arabic Typesetting"/>
            <w:i w:val="0"/>
            <w:iCs w:val="0"/>
            <w:noProof/>
            <w:webHidden/>
            <w:sz w:val="32"/>
            <w:szCs w:val="32"/>
          </w:rPr>
          <w:fldChar w:fldCharType="separate"/>
        </w:r>
        <w:r w:rsidR="00197C9F">
          <w:rPr>
            <w:rFonts w:ascii="Arabic Typesetting" w:hAnsi="Arabic Typesetting" w:cs="Arabic Typesetting"/>
            <w:i w:val="0"/>
            <w:iCs w:val="0"/>
            <w:noProof/>
            <w:webHidden/>
            <w:sz w:val="32"/>
            <w:szCs w:val="32"/>
            <w:rtl/>
          </w:rPr>
          <w:t>19</w:t>
        </w:r>
        <w:r w:rsidRPr="00977A67">
          <w:rPr>
            <w:rFonts w:ascii="Arabic Typesetting" w:hAnsi="Arabic Typesetting" w:cs="Arabic Typesetting"/>
            <w:i w:val="0"/>
            <w:iCs w:val="0"/>
            <w:noProof/>
            <w:webHidden/>
            <w:sz w:val="32"/>
            <w:szCs w:val="32"/>
          </w:rPr>
          <w:fldChar w:fldCharType="end"/>
        </w:r>
      </w:hyperlink>
    </w:p>
    <w:p w:rsidR="006715D6" w:rsidRPr="00977A67" w:rsidRDefault="006715D6" w:rsidP="006715D6">
      <w:pPr>
        <w:pStyle w:val="TOC1"/>
        <w:spacing w:before="0" w:after="0"/>
        <w:rPr>
          <w:rFonts w:eastAsiaTheme="minorEastAsia"/>
        </w:rPr>
      </w:pPr>
      <w:hyperlink w:anchor="_Toc394914268" w:history="1">
        <w:r w:rsidRPr="00977A67">
          <w:rPr>
            <w:rStyle w:val="Hyperlink"/>
            <w:sz w:val="32"/>
            <w:szCs w:val="32"/>
            <w:rtl/>
          </w:rPr>
          <w:t>الإيرادات</w:t>
        </w:r>
        <w:r w:rsidRPr="00977A67">
          <w:rPr>
            <w:webHidden/>
          </w:rPr>
          <w:tab/>
        </w:r>
        <w:r w:rsidRPr="00977A67">
          <w:rPr>
            <w:webHidden/>
            <w:sz w:val="32"/>
            <w:szCs w:val="32"/>
          </w:rPr>
          <w:fldChar w:fldCharType="begin"/>
        </w:r>
        <w:r w:rsidRPr="00977A67">
          <w:rPr>
            <w:webHidden/>
            <w:sz w:val="32"/>
            <w:szCs w:val="32"/>
          </w:rPr>
          <w:instrText xml:space="preserve"> PAGEREF _Toc394914268 \h </w:instrText>
        </w:r>
        <w:r w:rsidRPr="00977A67">
          <w:rPr>
            <w:webHidden/>
            <w:sz w:val="32"/>
            <w:szCs w:val="32"/>
          </w:rPr>
        </w:r>
        <w:r w:rsidRPr="00977A67">
          <w:rPr>
            <w:webHidden/>
            <w:sz w:val="32"/>
            <w:szCs w:val="32"/>
          </w:rPr>
          <w:fldChar w:fldCharType="separate"/>
        </w:r>
        <w:r w:rsidR="00197C9F">
          <w:rPr>
            <w:webHidden/>
            <w:sz w:val="32"/>
            <w:szCs w:val="32"/>
            <w:rtl/>
          </w:rPr>
          <w:t>20</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69" w:history="1">
        <w:r w:rsidRPr="00977A67">
          <w:rPr>
            <w:rStyle w:val="Hyperlink"/>
            <w:rFonts w:ascii="Arabic Typesetting" w:hAnsi="Arabic Typesetting" w:cs="Arabic Typesetting"/>
            <w:noProof/>
            <w:sz w:val="32"/>
            <w:szCs w:val="32"/>
            <w:rtl/>
          </w:rPr>
          <w:t>الجدول 6</w:t>
        </w:r>
        <w:r w:rsidRPr="00977A67">
          <w:rPr>
            <w:rFonts w:eastAsiaTheme="minorEastAsia"/>
            <w:noProof/>
          </w:rPr>
          <w:tab/>
        </w:r>
        <w:r w:rsidRPr="00977A67">
          <w:rPr>
            <w:rStyle w:val="Hyperlink"/>
            <w:rFonts w:ascii="Arabic Typesetting" w:hAnsi="Arabic Typesetting" w:cs="Arabic Typesetting"/>
            <w:noProof/>
            <w:sz w:val="32"/>
            <w:szCs w:val="32"/>
            <w:rtl/>
          </w:rPr>
          <w:t>إيرادات الثنائية 2012/13</w:t>
        </w:r>
        <w:r w:rsidRPr="00977A67">
          <w:rPr>
            <w:noProof/>
            <w:webHidden/>
          </w:rPr>
          <w:tab/>
        </w:r>
        <w:r w:rsidRPr="00977A67">
          <w:rPr>
            <w:noProof/>
            <w:webHidden/>
          </w:rPr>
          <w:fldChar w:fldCharType="begin"/>
        </w:r>
        <w:r w:rsidRPr="00977A67">
          <w:rPr>
            <w:noProof/>
            <w:webHidden/>
          </w:rPr>
          <w:instrText xml:space="preserve"> PAGEREF _Toc394914269 \h </w:instrText>
        </w:r>
        <w:r w:rsidRPr="00977A67">
          <w:rPr>
            <w:noProof/>
            <w:webHidden/>
          </w:rPr>
        </w:r>
        <w:r w:rsidRPr="00977A67">
          <w:rPr>
            <w:noProof/>
            <w:webHidden/>
          </w:rPr>
          <w:fldChar w:fldCharType="separate"/>
        </w:r>
        <w:r w:rsidR="00197C9F">
          <w:rPr>
            <w:noProof/>
            <w:webHidden/>
            <w:rtl/>
          </w:rPr>
          <w:t>20</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70" w:history="1">
        <w:r w:rsidRPr="00977A67">
          <w:rPr>
            <w:rStyle w:val="Hyperlink"/>
            <w:sz w:val="32"/>
            <w:szCs w:val="32"/>
            <w:rtl/>
          </w:rPr>
          <w:t>الاستثمارات في الثنائية 2012/13</w:t>
        </w:r>
        <w:r w:rsidRPr="00977A67">
          <w:rPr>
            <w:webHidden/>
          </w:rPr>
          <w:tab/>
        </w:r>
        <w:r w:rsidRPr="00977A67">
          <w:rPr>
            <w:webHidden/>
            <w:sz w:val="32"/>
            <w:szCs w:val="32"/>
          </w:rPr>
          <w:fldChar w:fldCharType="begin"/>
        </w:r>
        <w:r w:rsidRPr="00977A67">
          <w:rPr>
            <w:webHidden/>
            <w:sz w:val="32"/>
            <w:szCs w:val="32"/>
          </w:rPr>
          <w:instrText xml:space="preserve"> PAGEREF _Toc394914270 \h </w:instrText>
        </w:r>
        <w:r w:rsidRPr="00977A67">
          <w:rPr>
            <w:webHidden/>
            <w:sz w:val="32"/>
            <w:szCs w:val="32"/>
          </w:rPr>
        </w:r>
        <w:r w:rsidRPr="00977A67">
          <w:rPr>
            <w:webHidden/>
            <w:sz w:val="32"/>
            <w:szCs w:val="32"/>
          </w:rPr>
          <w:fldChar w:fldCharType="separate"/>
        </w:r>
        <w:r w:rsidR="00197C9F">
          <w:rPr>
            <w:webHidden/>
            <w:sz w:val="32"/>
            <w:szCs w:val="32"/>
            <w:rtl/>
          </w:rPr>
          <w:t>22</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71" w:history="1">
        <w:r w:rsidRPr="00977A67">
          <w:rPr>
            <w:rStyle w:val="Hyperlink"/>
            <w:rFonts w:ascii="Arabic Typesetting" w:hAnsi="Arabic Typesetting" w:cs="Arabic Typesetting"/>
            <w:noProof/>
            <w:sz w:val="32"/>
            <w:szCs w:val="32"/>
            <w:rtl/>
          </w:rPr>
          <w:t>المخاطر المالية</w:t>
        </w:r>
        <w:r w:rsidRPr="00977A67">
          <w:rPr>
            <w:noProof/>
            <w:webHidden/>
          </w:rPr>
          <w:tab/>
        </w:r>
        <w:r w:rsidRPr="00977A67">
          <w:rPr>
            <w:rFonts w:hint="cs"/>
            <w:noProof/>
            <w:webHidden/>
            <w:rtl/>
          </w:rPr>
          <w:tab/>
        </w:r>
        <w:r w:rsidRPr="00977A67">
          <w:rPr>
            <w:noProof/>
            <w:webHidden/>
          </w:rPr>
          <w:fldChar w:fldCharType="begin"/>
        </w:r>
        <w:r w:rsidRPr="00977A67">
          <w:rPr>
            <w:noProof/>
            <w:webHidden/>
          </w:rPr>
          <w:instrText xml:space="preserve"> PAGEREF _Toc394914271 \h </w:instrText>
        </w:r>
        <w:r w:rsidRPr="00977A67">
          <w:rPr>
            <w:noProof/>
            <w:webHidden/>
          </w:rPr>
        </w:r>
        <w:r w:rsidRPr="00977A67">
          <w:rPr>
            <w:noProof/>
            <w:webHidden/>
          </w:rPr>
          <w:fldChar w:fldCharType="separate"/>
        </w:r>
        <w:r w:rsidR="00197C9F">
          <w:rPr>
            <w:noProof/>
            <w:webHidden/>
            <w:rtl/>
          </w:rPr>
          <w:t>22</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2" w:history="1">
        <w:r w:rsidRPr="00977A67">
          <w:rPr>
            <w:rStyle w:val="Hyperlink"/>
            <w:rFonts w:ascii="Arabic Typesetting" w:hAnsi="Arabic Typesetting" w:cs="Arabic Typesetting"/>
            <w:noProof/>
            <w:sz w:val="32"/>
            <w:szCs w:val="32"/>
            <w:rtl/>
          </w:rPr>
          <w:t>الجدول 7</w:t>
        </w:r>
        <w:r w:rsidRPr="00977A67">
          <w:rPr>
            <w:rFonts w:eastAsiaTheme="minorEastAsia"/>
            <w:noProof/>
          </w:rPr>
          <w:tab/>
        </w:r>
        <w:r w:rsidRPr="00977A67">
          <w:rPr>
            <w:rStyle w:val="Hyperlink"/>
            <w:rFonts w:ascii="Arabic Typesetting" w:hAnsi="Arabic Typesetting" w:cs="Arabic Typesetting"/>
            <w:noProof/>
            <w:sz w:val="32"/>
            <w:szCs w:val="32"/>
            <w:rtl/>
          </w:rPr>
          <w:t>الاستثمارات في عامي 2012 و2013</w:t>
        </w:r>
        <w:r w:rsidRPr="00977A67">
          <w:rPr>
            <w:noProof/>
            <w:webHidden/>
          </w:rPr>
          <w:tab/>
        </w:r>
        <w:r w:rsidRPr="00977A67">
          <w:rPr>
            <w:noProof/>
            <w:webHidden/>
          </w:rPr>
          <w:fldChar w:fldCharType="begin"/>
        </w:r>
        <w:r w:rsidRPr="00977A67">
          <w:rPr>
            <w:noProof/>
            <w:webHidden/>
          </w:rPr>
          <w:instrText xml:space="preserve"> PAGEREF _Toc394914272 \h </w:instrText>
        </w:r>
        <w:r w:rsidRPr="00977A67">
          <w:rPr>
            <w:noProof/>
            <w:webHidden/>
          </w:rPr>
        </w:r>
        <w:r w:rsidRPr="00977A67">
          <w:rPr>
            <w:noProof/>
            <w:webHidden/>
          </w:rPr>
          <w:fldChar w:fldCharType="separate"/>
        </w:r>
        <w:r w:rsidR="00197C9F">
          <w:rPr>
            <w:noProof/>
            <w:webHidden/>
            <w:rtl/>
          </w:rPr>
          <w:t>24</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73" w:history="1">
        <w:r w:rsidRPr="00977A67">
          <w:rPr>
            <w:rStyle w:val="Hyperlink"/>
            <w:sz w:val="32"/>
            <w:szCs w:val="32"/>
            <w:rtl/>
          </w:rPr>
          <w:t>البيانات المالية</w:t>
        </w:r>
        <w:r w:rsidRPr="00977A67">
          <w:rPr>
            <w:webHidden/>
          </w:rPr>
          <w:tab/>
        </w:r>
        <w:r w:rsidRPr="00977A67">
          <w:rPr>
            <w:webHidden/>
            <w:sz w:val="32"/>
            <w:szCs w:val="32"/>
          </w:rPr>
          <w:fldChar w:fldCharType="begin"/>
        </w:r>
        <w:r w:rsidRPr="00977A67">
          <w:rPr>
            <w:webHidden/>
            <w:sz w:val="32"/>
            <w:szCs w:val="32"/>
          </w:rPr>
          <w:instrText xml:space="preserve"> PAGEREF _Toc394914273 \h </w:instrText>
        </w:r>
        <w:r w:rsidRPr="00977A67">
          <w:rPr>
            <w:webHidden/>
            <w:sz w:val="32"/>
            <w:szCs w:val="32"/>
          </w:rPr>
        </w:r>
        <w:r w:rsidRPr="00977A67">
          <w:rPr>
            <w:webHidden/>
            <w:sz w:val="32"/>
            <w:szCs w:val="32"/>
          </w:rPr>
          <w:fldChar w:fldCharType="separate"/>
        </w:r>
        <w:r w:rsidR="00197C9F">
          <w:rPr>
            <w:webHidden/>
            <w:sz w:val="32"/>
            <w:szCs w:val="32"/>
            <w:rtl/>
          </w:rPr>
          <w:t>25</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74" w:history="1">
        <w:r w:rsidRPr="00977A67">
          <w:rPr>
            <w:rStyle w:val="Hyperlink"/>
            <w:rFonts w:ascii="Arabic Typesetting" w:hAnsi="Arabic Typesetting" w:cs="Arabic Typesetting"/>
            <w:noProof/>
            <w:sz w:val="32"/>
            <w:szCs w:val="32"/>
            <w:rtl/>
          </w:rPr>
          <w:t>بيان الوضع المالي</w:t>
        </w:r>
        <w:r w:rsidRPr="00977A67">
          <w:rPr>
            <w:noProof/>
            <w:webHidden/>
          </w:rPr>
          <w:tab/>
        </w:r>
        <w:r w:rsidRPr="00977A67">
          <w:rPr>
            <w:noProof/>
            <w:webHidden/>
          </w:rPr>
          <w:fldChar w:fldCharType="begin"/>
        </w:r>
        <w:r w:rsidRPr="00977A67">
          <w:rPr>
            <w:noProof/>
            <w:webHidden/>
          </w:rPr>
          <w:instrText xml:space="preserve"> PAGEREF _Toc394914274 \h </w:instrText>
        </w:r>
        <w:r w:rsidRPr="00977A67">
          <w:rPr>
            <w:noProof/>
            <w:webHidden/>
          </w:rPr>
        </w:r>
        <w:r w:rsidRPr="00977A67">
          <w:rPr>
            <w:noProof/>
            <w:webHidden/>
          </w:rPr>
          <w:fldChar w:fldCharType="separate"/>
        </w:r>
        <w:r w:rsidR="00197C9F">
          <w:rPr>
            <w:noProof/>
            <w:webHidden/>
            <w:rtl/>
          </w:rPr>
          <w:t>28</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5" w:history="1">
        <w:r w:rsidRPr="00977A67">
          <w:rPr>
            <w:rStyle w:val="Hyperlink"/>
            <w:rFonts w:ascii="Arabic Typesetting" w:hAnsi="Arabic Typesetting" w:cs="Arabic Typesetting"/>
            <w:noProof/>
            <w:sz w:val="32"/>
            <w:szCs w:val="32"/>
            <w:rtl/>
          </w:rPr>
          <w:t>بيان الأداء المالي</w:t>
        </w:r>
        <w:r w:rsidRPr="00977A67">
          <w:rPr>
            <w:noProof/>
            <w:webHidden/>
          </w:rPr>
          <w:tab/>
        </w:r>
        <w:r w:rsidRPr="00977A67">
          <w:rPr>
            <w:noProof/>
            <w:webHidden/>
          </w:rPr>
          <w:fldChar w:fldCharType="begin"/>
        </w:r>
        <w:r w:rsidRPr="00977A67">
          <w:rPr>
            <w:noProof/>
            <w:webHidden/>
          </w:rPr>
          <w:instrText xml:space="preserve"> PAGEREF _Toc394914275 \h </w:instrText>
        </w:r>
        <w:r w:rsidRPr="00977A67">
          <w:rPr>
            <w:noProof/>
            <w:webHidden/>
          </w:rPr>
        </w:r>
        <w:r w:rsidRPr="00977A67">
          <w:rPr>
            <w:noProof/>
            <w:webHidden/>
          </w:rPr>
          <w:fldChar w:fldCharType="separate"/>
        </w:r>
        <w:r w:rsidR="00197C9F">
          <w:rPr>
            <w:noProof/>
            <w:webHidden/>
            <w:rtl/>
          </w:rPr>
          <w:t>29</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6" w:history="1">
        <w:r w:rsidRPr="00977A67">
          <w:rPr>
            <w:rStyle w:val="Hyperlink"/>
            <w:rFonts w:ascii="Arabic Typesetting" w:hAnsi="Arabic Typesetting" w:cs="Arabic Typesetting"/>
            <w:noProof/>
            <w:sz w:val="32"/>
            <w:szCs w:val="32"/>
            <w:rtl/>
          </w:rPr>
          <w:t>بيان التغييرات في صافي الأصول</w:t>
        </w:r>
        <w:r w:rsidRPr="00977A67">
          <w:rPr>
            <w:noProof/>
            <w:webHidden/>
          </w:rPr>
          <w:tab/>
        </w:r>
        <w:r w:rsidRPr="00977A67">
          <w:rPr>
            <w:noProof/>
            <w:webHidden/>
          </w:rPr>
          <w:fldChar w:fldCharType="begin"/>
        </w:r>
        <w:r w:rsidRPr="00977A67">
          <w:rPr>
            <w:noProof/>
            <w:webHidden/>
          </w:rPr>
          <w:instrText xml:space="preserve"> PAGEREF _Toc394914276 \h </w:instrText>
        </w:r>
        <w:r w:rsidRPr="00977A67">
          <w:rPr>
            <w:noProof/>
            <w:webHidden/>
          </w:rPr>
        </w:r>
        <w:r w:rsidRPr="00977A67">
          <w:rPr>
            <w:noProof/>
            <w:webHidden/>
          </w:rPr>
          <w:fldChar w:fldCharType="separate"/>
        </w:r>
        <w:r w:rsidR="00197C9F">
          <w:rPr>
            <w:noProof/>
            <w:webHidden/>
            <w:rtl/>
          </w:rPr>
          <w:t>30</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7" w:history="1">
        <w:r w:rsidRPr="00977A67">
          <w:rPr>
            <w:rStyle w:val="Hyperlink"/>
            <w:rFonts w:ascii="Arabic Typesetting" w:hAnsi="Arabic Typesetting" w:cs="Arabic Typesetting"/>
            <w:noProof/>
            <w:sz w:val="32"/>
            <w:szCs w:val="32"/>
            <w:rtl/>
          </w:rPr>
          <w:t>بيان التدفق النقدي</w:t>
        </w:r>
        <w:r w:rsidRPr="00977A67">
          <w:rPr>
            <w:noProof/>
            <w:webHidden/>
          </w:rPr>
          <w:tab/>
        </w:r>
        <w:r w:rsidRPr="00977A67">
          <w:rPr>
            <w:noProof/>
            <w:webHidden/>
          </w:rPr>
          <w:fldChar w:fldCharType="begin"/>
        </w:r>
        <w:r w:rsidRPr="00977A67">
          <w:rPr>
            <w:noProof/>
            <w:webHidden/>
          </w:rPr>
          <w:instrText xml:space="preserve"> PAGEREF _Toc394914277 \h </w:instrText>
        </w:r>
        <w:r w:rsidRPr="00977A67">
          <w:rPr>
            <w:noProof/>
            <w:webHidden/>
          </w:rPr>
        </w:r>
        <w:r w:rsidRPr="00977A67">
          <w:rPr>
            <w:noProof/>
            <w:webHidden/>
          </w:rPr>
          <w:fldChar w:fldCharType="separate"/>
        </w:r>
        <w:r w:rsidR="00197C9F">
          <w:rPr>
            <w:noProof/>
            <w:webHidden/>
            <w:rtl/>
          </w:rPr>
          <w:t>31</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8" w:history="1">
        <w:r w:rsidRPr="00977A67">
          <w:rPr>
            <w:rStyle w:val="Hyperlink"/>
            <w:rFonts w:ascii="Arabic Typesetting" w:hAnsi="Arabic Typesetting" w:cs="Arabic Typesetting"/>
            <w:noProof/>
            <w:sz w:val="32"/>
            <w:szCs w:val="32"/>
            <w:rtl/>
          </w:rPr>
          <w:t>بيان مقارنة المبالغ المدرجة في الميزانية والمبالغ الفعلية - الإيرادات</w:t>
        </w:r>
        <w:r w:rsidRPr="00977A67">
          <w:rPr>
            <w:noProof/>
            <w:webHidden/>
          </w:rPr>
          <w:tab/>
        </w:r>
        <w:r w:rsidRPr="00977A67">
          <w:rPr>
            <w:noProof/>
            <w:webHidden/>
          </w:rPr>
          <w:fldChar w:fldCharType="begin"/>
        </w:r>
        <w:r w:rsidRPr="00977A67">
          <w:rPr>
            <w:noProof/>
            <w:webHidden/>
          </w:rPr>
          <w:instrText xml:space="preserve"> PAGEREF _Toc394914278 \h </w:instrText>
        </w:r>
        <w:r w:rsidRPr="00977A67">
          <w:rPr>
            <w:noProof/>
            <w:webHidden/>
          </w:rPr>
        </w:r>
        <w:r w:rsidRPr="00977A67">
          <w:rPr>
            <w:noProof/>
            <w:webHidden/>
          </w:rPr>
          <w:fldChar w:fldCharType="separate"/>
        </w:r>
        <w:r w:rsidR="00197C9F">
          <w:rPr>
            <w:noProof/>
            <w:webHidden/>
            <w:rtl/>
          </w:rPr>
          <w:t>32</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79" w:history="1">
        <w:r w:rsidRPr="00977A67">
          <w:rPr>
            <w:rStyle w:val="Hyperlink"/>
            <w:rFonts w:ascii="Arabic Typesetting" w:hAnsi="Arabic Typesetting" w:cs="Arabic Typesetting"/>
            <w:noProof/>
            <w:sz w:val="32"/>
            <w:szCs w:val="32"/>
            <w:rtl/>
          </w:rPr>
          <w:t>بيان مقارنة المبالغ المدرجة في الميزانية والمبالغ الفعلية - المصروفات</w:t>
        </w:r>
        <w:r w:rsidRPr="00977A67">
          <w:rPr>
            <w:noProof/>
            <w:webHidden/>
          </w:rPr>
          <w:tab/>
        </w:r>
        <w:r w:rsidRPr="00977A67">
          <w:rPr>
            <w:noProof/>
            <w:webHidden/>
          </w:rPr>
          <w:fldChar w:fldCharType="begin"/>
        </w:r>
        <w:r w:rsidRPr="00977A67">
          <w:rPr>
            <w:noProof/>
            <w:webHidden/>
          </w:rPr>
          <w:instrText xml:space="preserve"> PAGEREF _Toc394914279 \h </w:instrText>
        </w:r>
        <w:r w:rsidRPr="00977A67">
          <w:rPr>
            <w:noProof/>
            <w:webHidden/>
          </w:rPr>
        </w:r>
        <w:r w:rsidRPr="00977A67">
          <w:rPr>
            <w:noProof/>
            <w:webHidden/>
          </w:rPr>
          <w:fldChar w:fldCharType="separate"/>
        </w:r>
        <w:r w:rsidR="00197C9F">
          <w:rPr>
            <w:noProof/>
            <w:webHidden/>
            <w:rtl/>
          </w:rPr>
          <w:t>33</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0" w:history="1">
        <w:r w:rsidRPr="00977A67">
          <w:rPr>
            <w:rStyle w:val="Hyperlink"/>
            <w:rFonts w:ascii="Arabic Typesetting" w:hAnsi="Arabic Typesetting" w:cs="Arabic Typesetting"/>
            <w:noProof/>
            <w:sz w:val="32"/>
            <w:szCs w:val="32"/>
            <w:rtl/>
          </w:rPr>
          <w:t>تحليل بيان الوضع المالي</w:t>
        </w:r>
        <w:r w:rsidRPr="00977A67">
          <w:rPr>
            <w:noProof/>
            <w:webHidden/>
          </w:rPr>
          <w:tab/>
        </w:r>
        <w:r w:rsidRPr="00977A67">
          <w:rPr>
            <w:noProof/>
            <w:webHidden/>
          </w:rPr>
          <w:fldChar w:fldCharType="begin"/>
        </w:r>
        <w:r w:rsidRPr="00977A67">
          <w:rPr>
            <w:noProof/>
            <w:webHidden/>
          </w:rPr>
          <w:instrText xml:space="preserve"> PAGEREF _Toc394914280 \h </w:instrText>
        </w:r>
        <w:r w:rsidRPr="00977A67">
          <w:rPr>
            <w:noProof/>
            <w:webHidden/>
          </w:rPr>
        </w:r>
        <w:r w:rsidRPr="00977A67">
          <w:rPr>
            <w:noProof/>
            <w:webHidden/>
          </w:rPr>
          <w:fldChar w:fldCharType="separate"/>
        </w:r>
        <w:r w:rsidR="00197C9F">
          <w:rPr>
            <w:noProof/>
            <w:webHidden/>
            <w:rtl/>
          </w:rPr>
          <w:t>35</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1" w:history="1">
        <w:r w:rsidRPr="00977A67">
          <w:rPr>
            <w:rStyle w:val="Hyperlink"/>
            <w:rFonts w:ascii="Arabic Typesetting" w:hAnsi="Arabic Typesetting" w:cs="Arabic Typesetting"/>
            <w:noProof/>
            <w:sz w:val="32"/>
            <w:szCs w:val="32"/>
            <w:rtl/>
          </w:rPr>
          <w:t>تحليل بيان الأداء المالي</w:t>
        </w:r>
        <w:r w:rsidRPr="00977A67">
          <w:rPr>
            <w:noProof/>
            <w:webHidden/>
          </w:rPr>
          <w:tab/>
        </w:r>
        <w:r w:rsidRPr="00977A67">
          <w:rPr>
            <w:noProof/>
            <w:webHidden/>
          </w:rPr>
          <w:fldChar w:fldCharType="begin"/>
        </w:r>
        <w:r w:rsidRPr="00977A67">
          <w:rPr>
            <w:noProof/>
            <w:webHidden/>
          </w:rPr>
          <w:instrText xml:space="preserve"> PAGEREF _Toc394914281 \h </w:instrText>
        </w:r>
        <w:r w:rsidRPr="00977A67">
          <w:rPr>
            <w:noProof/>
            <w:webHidden/>
          </w:rPr>
        </w:r>
        <w:r w:rsidRPr="00977A67">
          <w:rPr>
            <w:noProof/>
            <w:webHidden/>
          </w:rPr>
          <w:fldChar w:fldCharType="separate"/>
        </w:r>
        <w:r w:rsidR="00197C9F">
          <w:rPr>
            <w:noProof/>
            <w:webHidden/>
            <w:rtl/>
          </w:rPr>
          <w:t>42</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2" w:history="1">
        <w:r w:rsidRPr="00977A67">
          <w:rPr>
            <w:rStyle w:val="Hyperlink"/>
            <w:rFonts w:ascii="Arabic Typesetting" w:hAnsi="Arabic Typesetting" w:cs="Arabic Typesetting"/>
            <w:noProof/>
            <w:sz w:val="32"/>
            <w:szCs w:val="32"/>
            <w:rtl/>
          </w:rPr>
          <w:t>بيان الوضع المالي بحسب مصدر التمويل</w:t>
        </w:r>
        <w:r w:rsidRPr="00977A67">
          <w:rPr>
            <w:noProof/>
            <w:webHidden/>
          </w:rPr>
          <w:tab/>
        </w:r>
        <w:r w:rsidRPr="00977A67">
          <w:rPr>
            <w:noProof/>
            <w:webHidden/>
          </w:rPr>
          <w:fldChar w:fldCharType="begin"/>
        </w:r>
        <w:r w:rsidRPr="00977A67">
          <w:rPr>
            <w:noProof/>
            <w:webHidden/>
          </w:rPr>
          <w:instrText xml:space="preserve"> PAGEREF _Toc394914282 \h </w:instrText>
        </w:r>
        <w:r w:rsidRPr="00977A67">
          <w:rPr>
            <w:noProof/>
            <w:webHidden/>
          </w:rPr>
        </w:r>
        <w:r w:rsidRPr="00977A67">
          <w:rPr>
            <w:noProof/>
            <w:webHidden/>
          </w:rPr>
          <w:fldChar w:fldCharType="separate"/>
        </w:r>
        <w:r w:rsidR="00197C9F">
          <w:rPr>
            <w:noProof/>
            <w:webHidden/>
            <w:rtl/>
          </w:rPr>
          <w:t>48</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3" w:history="1">
        <w:r w:rsidRPr="00977A67">
          <w:rPr>
            <w:rStyle w:val="Hyperlink"/>
            <w:rFonts w:ascii="Arabic Typesetting" w:hAnsi="Arabic Typesetting" w:cs="Arabic Typesetting"/>
            <w:noProof/>
            <w:sz w:val="32"/>
            <w:szCs w:val="32"/>
            <w:rtl/>
          </w:rPr>
          <w:t>بيان الأداء المالي بحسب مصدر التمويل</w:t>
        </w:r>
        <w:r w:rsidRPr="00977A67">
          <w:rPr>
            <w:noProof/>
            <w:webHidden/>
          </w:rPr>
          <w:tab/>
        </w:r>
        <w:r w:rsidRPr="00977A67">
          <w:rPr>
            <w:noProof/>
            <w:webHidden/>
          </w:rPr>
          <w:fldChar w:fldCharType="begin"/>
        </w:r>
        <w:r w:rsidRPr="00977A67">
          <w:rPr>
            <w:noProof/>
            <w:webHidden/>
          </w:rPr>
          <w:instrText xml:space="preserve"> PAGEREF _Toc394914283 \h </w:instrText>
        </w:r>
        <w:r w:rsidRPr="00977A67">
          <w:rPr>
            <w:noProof/>
            <w:webHidden/>
          </w:rPr>
        </w:r>
        <w:r w:rsidRPr="00977A67">
          <w:rPr>
            <w:noProof/>
            <w:webHidden/>
          </w:rPr>
          <w:fldChar w:fldCharType="separate"/>
        </w:r>
        <w:r w:rsidR="00197C9F">
          <w:rPr>
            <w:noProof/>
            <w:webHidden/>
            <w:rtl/>
          </w:rPr>
          <w:t>49</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84" w:history="1">
        <w:r w:rsidRPr="00977A67">
          <w:rPr>
            <w:rStyle w:val="Hyperlink"/>
            <w:sz w:val="32"/>
            <w:szCs w:val="32"/>
            <w:rtl/>
          </w:rPr>
          <w:t>الاشتراكات وصناديق رؤوس الأموال العاملة</w:t>
        </w:r>
        <w:r w:rsidRPr="00977A67">
          <w:rPr>
            <w:webHidden/>
          </w:rPr>
          <w:tab/>
        </w:r>
        <w:r w:rsidRPr="00977A67">
          <w:rPr>
            <w:webHidden/>
            <w:sz w:val="32"/>
            <w:szCs w:val="32"/>
          </w:rPr>
          <w:fldChar w:fldCharType="begin"/>
        </w:r>
        <w:r w:rsidRPr="00977A67">
          <w:rPr>
            <w:webHidden/>
            <w:sz w:val="32"/>
            <w:szCs w:val="32"/>
          </w:rPr>
          <w:instrText xml:space="preserve"> PAGEREF _Toc394914284 \h </w:instrText>
        </w:r>
        <w:r w:rsidRPr="00977A67">
          <w:rPr>
            <w:webHidden/>
            <w:sz w:val="32"/>
            <w:szCs w:val="32"/>
          </w:rPr>
        </w:r>
        <w:r w:rsidRPr="00977A67">
          <w:rPr>
            <w:webHidden/>
            <w:sz w:val="32"/>
            <w:szCs w:val="32"/>
          </w:rPr>
          <w:fldChar w:fldCharType="separate"/>
        </w:r>
        <w:r w:rsidR="00197C9F">
          <w:rPr>
            <w:webHidden/>
            <w:sz w:val="32"/>
            <w:szCs w:val="32"/>
            <w:rtl/>
          </w:rPr>
          <w:t>50</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85" w:history="1">
        <w:r w:rsidRPr="00977A67">
          <w:rPr>
            <w:rStyle w:val="Hyperlink"/>
            <w:rFonts w:ascii="Arabic Typesetting" w:hAnsi="Arabic Typesetting" w:cs="Arabic Typesetting"/>
            <w:noProof/>
            <w:sz w:val="32"/>
            <w:szCs w:val="32"/>
            <w:rtl/>
          </w:rPr>
          <w:t xml:space="preserve">الجدول 8 </w:t>
        </w:r>
        <w:r w:rsidRPr="00977A67">
          <w:rPr>
            <w:rStyle w:val="Hyperlink"/>
            <w:rFonts w:ascii="Arabic Typesetting" w:hAnsi="Arabic Typesetting" w:cs="Arabic Typesetting" w:hint="cs"/>
            <w:noProof/>
            <w:sz w:val="32"/>
            <w:szCs w:val="32"/>
            <w:rtl/>
          </w:rPr>
          <w:tab/>
        </w:r>
        <w:r w:rsidRPr="00977A67">
          <w:rPr>
            <w:rStyle w:val="Hyperlink"/>
            <w:rFonts w:ascii="Arabic Typesetting" w:hAnsi="Arabic Typesetting" w:cs="Arabic Typesetting"/>
            <w:noProof/>
            <w:sz w:val="32"/>
            <w:szCs w:val="32"/>
            <w:rtl/>
          </w:rPr>
          <w:t>والجدول 8(ثانيا)</w:t>
        </w:r>
        <w:r w:rsidRPr="00977A67">
          <w:rPr>
            <w:rStyle w:val="Hyperlink"/>
            <w:rFonts w:ascii="Arabic Typesetting" w:hAnsi="Arabic Typesetting" w:cs="Arabic Typesetting" w:hint="cs"/>
            <w:noProof/>
            <w:sz w:val="32"/>
            <w:szCs w:val="32"/>
            <w:rtl/>
          </w:rPr>
          <w:t xml:space="preserve"> </w:t>
        </w:r>
        <w:r w:rsidRPr="00977A67">
          <w:rPr>
            <w:rStyle w:val="Hyperlink"/>
            <w:rFonts w:ascii="Arabic Typesetting" w:hAnsi="Arabic Typesetting" w:cs="Arabic Typesetting"/>
            <w:noProof/>
            <w:sz w:val="32"/>
            <w:szCs w:val="32"/>
            <w:rtl/>
          </w:rPr>
          <w:t>الاشتراكات وفقا للنظام أحادي الاشتراكات</w:t>
        </w:r>
        <w:r w:rsidRPr="00977A67">
          <w:rPr>
            <w:noProof/>
            <w:webHidden/>
          </w:rPr>
          <w:tab/>
        </w:r>
        <w:r w:rsidRPr="00977A67">
          <w:rPr>
            <w:noProof/>
            <w:webHidden/>
          </w:rPr>
          <w:fldChar w:fldCharType="begin"/>
        </w:r>
        <w:r w:rsidRPr="00977A67">
          <w:rPr>
            <w:noProof/>
            <w:webHidden/>
          </w:rPr>
          <w:instrText xml:space="preserve"> PAGEREF _Toc394914285 \h </w:instrText>
        </w:r>
        <w:r w:rsidRPr="00977A67">
          <w:rPr>
            <w:noProof/>
            <w:webHidden/>
          </w:rPr>
        </w:r>
        <w:r w:rsidRPr="00977A67">
          <w:rPr>
            <w:noProof/>
            <w:webHidden/>
          </w:rPr>
          <w:fldChar w:fldCharType="separate"/>
        </w:r>
        <w:r w:rsidR="00197C9F">
          <w:rPr>
            <w:noProof/>
            <w:webHidden/>
            <w:rtl/>
          </w:rPr>
          <w:t>50</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6" w:history="1">
        <w:r w:rsidRPr="00977A67">
          <w:rPr>
            <w:rStyle w:val="Hyperlink"/>
            <w:rFonts w:ascii="Arabic Typesetting" w:hAnsi="Arabic Typesetting" w:cs="Arabic Typesetting"/>
            <w:noProof/>
            <w:sz w:val="32"/>
            <w:szCs w:val="32"/>
            <w:rtl/>
          </w:rPr>
          <w:t>الجدول 9.</w:t>
        </w:r>
        <w:r w:rsidRPr="00977A67">
          <w:rPr>
            <w:rFonts w:eastAsiaTheme="minorEastAsia"/>
            <w:noProof/>
          </w:rPr>
          <w:tab/>
        </w:r>
        <w:r w:rsidRPr="00977A67">
          <w:rPr>
            <w:rStyle w:val="Hyperlink"/>
            <w:rFonts w:ascii="Arabic Typesetting" w:hAnsi="Arabic Typesetting" w:cs="Arabic Typesetting"/>
            <w:noProof/>
            <w:sz w:val="32"/>
            <w:szCs w:val="32"/>
            <w:rtl/>
          </w:rPr>
          <w:t>الاشتراكات غير المسددة في 31 ديسمبر 2013 والاشتراكات المتأخرة للبلدان الأقل نموا التي لديها حساب خاص (مجمّد)</w:t>
        </w:r>
        <w:r w:rsidRPr="00977A67">
          <w:rPr>
            <w:noProof/>
            <w:webHidden/>
          </w:rPr>
          <w:tab/>
        </w:r>
        <w:r w:rsidRPr="00977A67">
          <w:rPr>
            <w:noProof/>
            <w:webHidden/>
          </w:rPr>
          <w:fldChar w:fldCharType="begin"/>
        </w:r>
        <w:r w:rsidRPr="00977A67">
          <w:rPr>
            <w:noProof/>
            <w:webHidden/>
          </w:rPr>
          <w:instrText xml:space="preserve"> PAGEREF _Toc394914286 \h </w:instrText>
        </w:r>
        <w:r w:rsidRPr="00977A67">
          <w:rPr>
            <w:noProof/>
            <w:webHidden/>
          </w:rPr>
        </w:r>
        <w:r w:rsidRPr="00977A67">
          <w:rPr>
            <w:noProof/>
            <w:webHidden/>
          </w:rPr>
          <w:fldChar w:fldCharType="separate"/>
        </w:r>
        <w:r w:rsidR="00197C9F">
          <w:rPr>
            <w:noProof/>
            <w:webHidden/>
            <w:rtl/>
          </w:rPr>
          <w:t>53</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7" w:history="1">
        <w:r w:rsidRPr="00977A67">
          <w:rPr>
            <w:rStyle w:val="Hyperlink"/>
            <w:rFonts w:ascii="Arabic Typesetting" w:hAnsi="Arabic Typesetting" w:cs="Arabic Typesetting"/>
            <w:noProof/>
            <w:sz w:val="32"/>
            <w:szCs w:val="32"/>
            <w:rtl/>
          </w:rPr>
          <w:t>الجدول 10</w:t>
        </w:r>
        <w:r w:rsidRPr="00977A67">
          <w:rPr>
            <w:rFonts w:eastAsiaTheme="minorEastAsia"/>
            <w:noProof/>
          </w:rPr>
          <w:tab/>
        </w:r>
        <w:r w:rsidRPr="00977A67">
          <w:rPr>
            <w:rStyle w:val="Hyperlink"/>
            <w:rFonts w:ascii="Arabic Typesetting" w:hAnsi="Arabic Typesetting" w:cs="Arabic Typesetting"/>
            <w:noProof/>
            <w:sz w:val="32"/>
            <w:szCs w:val="32"/>
            <w:rtl/>
          </w:rPr>
          <w:t>الاشتراكات المستلمة قبل استحقاقها</w:t>
        </w:r>
        <w:r w:rsidRPr="00977A67">
          <w:rPr>
            <w:noProof/>
            <w:webHidden/>
          </w:rPr>
          <w:tab/>
        </w:r>
        <w:r w:rsidRPr="00977A67">
          <w:rPr>
            <w:noProof/>
            <w:webHidden/>
          </w:rPr>
          <w:fldChar w:fldCharType="begin"/>
        </w:r>
        <w:r w:rsidRPr="00977A67">
          <w:rPr>
            <w:noProof/>
            <w:webHidden/>
          </w:rPr>
          <w:instrText xml:space="preserve"> PAGEREF _Toc394914287 \h </w:instrText>
        </w:r>
        <w:r w:rsidRPr="00977A67">
          <w:rPr>
            <w:noProof/>
            <w:webHidden/>
          </w:rPr>
        </w:r>
        <w:r w:rsidRPr="00977A67">
          <w:rPr>
            <w:noProof/>
            <w:webHidden/>
          </w:rPr>
          <w:fldChar w:fldCharType="separate"/>
        </w:r>
        <w:r w:rsidR="00197C9F">
          <w:rPr>
            <w:noProof/>
            <w:webHidden/>
            <w:rtl/>
          </w:rPr>
          <w:t>59</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88" w:history="1">
        <w:r w:rsidRPr="00977A67">
          <w:rPr>
            <w:rStyle w:val="Hyperlink"/>
            <w:rFonts w:ascii="Arabic Typesetting" w:hAnsi="Arabic Typesetting" w:cs="Arabic Typesetting"/>
            <w:noProof/>
            <w:sz w:val="32"/>
            <w:szCs w:val="32"/>
            <w:rtl/>
          </w:rPr>
          <w:t>الجدول 11</w:t>
        </w:r>
        <w:r w:rsidRPr="00977A67">
          <w:rPr>
            <w:rFonts w:eastAsiaTheme="minorEastAsia"/>
            <w:noProof/>
          </w:rPr>
          <w:tab/>
        </w:r>
        <w:r w:rsidRPr="00977A67">
          <w:rPr>
            <w:rStyle w:val="Hyperlink"/>
            <w:rFonts w:ascii="Arabic Typesetting" w:hAnsi="Arabic Typesetting" w:cs="Arabic Typesetting"/>
            <w:noProof/>
            <w:sz w:val="32"/>
            <w:szCs w:val="32"/>
            <w:rtl/>
          </w:rPr>
          <w:t>صناديق رؤوس الأموال العاملة في 31 ديسمبر 2013</w:t>
        </w:r>
        <w:r w:rsidRPr="00977A67">
          <w:rPr>
            <w:noProof/>
            <w:webHidden/>
          </w:rPr>
          <w:tab/>
        </w:r>
        <w:r w:rsidRPr="00977A67">
          <w:rPr>
            <w:noProof/>
            <w:webHidden/>
          </w:rPr>
          <w:fldChar w:fldCharType="begin"/>
        </w:r>
        <w:r w:rsidRPr="00977A67">
          <w:rPr>
            <w:noProof/>
            <w:webHidden/>
          </w:rPr>
          <w:instrText xml:space="preserve"> PAGEREF _Toc394914288 \h </w:instrText>
        </w:r>
        <w:r w:rsidRPr="00977A67">
          <w:rPr>
            <w:noProof/>
            <w:webHidden/>
          </w:rPr>
        </w:r>
        <w:r w:rsidRPr="00977A67">
          <w:rPr>
            <w:noProof/>
            <w:webHidden/>
          </w:rPr>
          <w:fldChar w:fldCharType="separate"/>
        </w:r>
        <w:r w:rsidR="00197C9F">
          <w:rPr>
            <w:noProof/>
            <w:webHidden/>
            <w:rtl/>
          </w:rPr>
          <w:t>60</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289" w:history="1">
        <w:r w:rsidRPr="00977A67">
          <w:rPr>
            <w:rStyle w:val="Hyperlink"/>
            <w:sz w:val="32"/>
            <w:szCs w:val="32"/>
            <w:rtl/>
          </w:rPr>
          <w:t>‏توزيع رسوم مدريد ولاهاي</w:t>
        </w:r>
        <w:r w:rsidRPr="00977A67">
          <w:rPr>
            <w:webHidden/>
          </w:rPr>
          <w:tab/>
        </w:r>
        <w:r w:rsidRPr="00977A67">
          <w:rPr>
            <w:webHidden/>
            <w:sz w:val="32"/>
            <w:szCs w:val="32"/>
          </w:rPr>
          <w:fldChar w:fldCharType="begin"/>
        </w:r>
        <w:r w:rsidRPr="00977A67">
          <w:rPr>
            <w:webHidden/>
            <w:sz w:val="32"/>
            <w:szCs w:val="32"/>
          </w:rPr>
          <w:instrText xml:space="preserve"> PAGEREF _Toc394914289 \h </w:instrText>
        </w:r>
        <w:r w:rsidRPr="00977A67">
          <w:rPr>
            <w:webHidden/>
            <w:sz w:val="32"/>
            <w:szCs w:val="32"/>
          </w:rPr>
        </w:r>
        <w:r w:rsidRPr="00977A67">
          <w:rPr>
            <w:webHidden/>
            <w:sz w:val="32"/>
            <w:szCs w:val="32"/>
          </w:rPr>
          <w:fldChar w:fldCharType="separate"/>
        </w:r>
        <w:r w:rsidR="00197C9F">
          <w:rPr>
            <w:webHidden/>
            <w:sz w:val="32"/>
            <w:szCs w:val="32"/>
            <w:rtl/>
          </w:rPr>
          <w:t>67</w:t>
        </w:r>
        <w:r w:rsidRPr="00977A67">
          <w:rPr>
            <w:webHidden/>
            <w:sz w:val="32"/>
            <w:szCs w:val="32"/>
          </w:rPr>
          <w:fldChar w:fldCharType="end"/>
        </w:r>
      </w:hyperlink>
    </w:p>
    <w:p w:rsidR="006715D6" w:rsidRPr="00977A67" w:rsidRDefault="006715D6" w:rsidP="006715D6">
      <w:pPr>
        <w:pStyle w:val="TOC2"/>
        <w:rPr>
          <w:rFonts w:eastAsiaTheme="minorEastAsia"/>
          <w:noProof/>
        </w:rPr>
      </w:pPr>
      <w:hyperlink w:anchor="_Toc394914290" w:history="1">
        <w:r w:rsidRPr="00977A67">
          <w:rPr>
            <w:rStyle w:val="Hyperlink"/>
            <w:rFonts w:ascii="Arabic Typesetting" w:hAnsi="Arabic Typesetting" w:cs="Arabic Typesetting"/>
            <w:noProof/>
            <w:sz w:val="32"/>
            <w:szCs w:val="32"/>
            <w:rtl/>
          </w:rPr>
          <w:t>اتحاد مدريد - الرسوم الإضافية - سنة 2012</w:t>
        </w:r>
        <w:r w:rsidRPr="00977A67">
          <w:rPr>
            <w:noProof/>
            <w:webHidden/>
          </w:rPr>
          <w:tab/>
        </w:r>
        <w:r w:rsidRPr="00977A67">
          <w:rPr>
            <w:noProof/>
            <w:webHidden/>
          </w:rPr>
          <w:fldChar w:fldCharType="begin"/>
        </w:r>
        <w:r w:rsidRPr="00977A67">
          <w:rPr>
            <w:noProof/>
            <w:webHidden/>
          </w:rPr>
          <w:instrText xml:space="preserve"> PAGEREF _Toc394914290 \h </w:instrText>
        </w:r>
        <w:r w:rsidRPr="00977A67">
          <w:rPr>
            <w:noProof/>
            <w:webHidden/>
          </w:rPr>
        </w:r>
        <w:r w:rsidRPr="00977A67">
          <w:rPr>
            <w:noProof/>
            <w:webHidden/>
          </w:rPr>
          <w:fldChar w:fldCharType="separate"/>
        </w:r>
        <w:r w:rsidR="00197C9F">
          <w:rPr>
            <w:noProof/>
            <w:webHidden/>
            <w:rtl/>
          </w:rPr>
          <w:t>67</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1" w:history="1">
        <w:r w:rsidRPr="00977A67">
          <w:rPr>
            <w:rStyle w:val="Hyperlink"/>
            <w:rFonts w:ascii="Arabic Typesetting" w:hAnsi="Arabic Typesetting" w:cs="Arabic Typesetting"/>
            <w:noProof/>
            <w:sz w:val="32"/>
            <w:szCs w:val="32"/>
            <w:rtl/>
          </w:rPr>
          <w:t>اتحاد مدريد - الرسوم التكميلية - سنة 2012</w:t>
        </w:r>
        <w:r w:rsidRPr="00977A67">
          <w:rPr>
            <w:noProof/>
            <w:webHidden/>
          </w:rPr>
          <w:tab/>
        </w:r>
        <w:r w:rsidRPr="00977A67">
          <w:rPr>
            <w:noProof/>
            <w:webHidden/>
          </w:rPr>
          <w:fldChar w:fldCharType="begin"/>
        </w:r>
        <w:r w:rsidRPr="00977A67">
          <w:rPr>
            <w:noProof/>
            <w:webHidden/>
          </w:rPr>
          <w:instrText xml:space="preserve"> PAGEREF _Toc394914291 \h </w:instrText>
        </w:r>
        <w:r w:rsidRPr="00977A67">
          <w:rPr>
            <w:noProof/>
            <w:webHidden/>
          </w:rPr>
        </w:r>
        <w:r w:rsidRPr="00977A67">
          <w:rPr>
            <w:noProof/>
            <w:webHidden/>
          </w:rPr>
          <w:fldChar w:fldCharType="separate"/>
        </w:r>
        <w:r w:rsidR="00197C9F">
          <w:rPr>
            <w:noProof/>
            <w:webHidden/>
            <w:rtl/>
          </w:rPr>
          <w:t>69</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3" w:history="1">
        <w:r w:rsidRPr="00977A67">
          <w:rPr>
            <w:rStyle w:val="Hyperlink"/>
            <w:rFonts w:ascii="Arabic Typesetting" w:hAnsi="Arabic Typesetting" w:cs="Arabic Typesetting"/>
            <w:noProof/>
            <w:sz w:val="32"/>
            <w:szCs w:val="32"/>
            <w:rtl/>
          </w:rPr>
          <w:t>اتحاد مدريد - الرسوم الإضافية - سنة 2013</w:t>
        </w:r>
        <w:r w:rsidRPr="00977A67">
          <w:rPr>
            <w:noProof/>
            <w:webHidden/>
          </w:rPr>
          <w:tab/>
        </w:r>
        <w:r w:rsidRPr="00977A67">
          <w:rPr>
            <w:noProof/>
            <w:webHidden/>
          </w:rPr>
          <w:fldChar w:fldCharType="begin"/>
        </w:r>
        <w:r w:rsidRPr="00977A67">
          <w:rPr>
            <w:noProof/>
            <w:webHidden/>
          </w:rPr>
          <w:instrText xml:space="preserve"> PAGEREF _Toc394914293 \h </w:instrText>
        </w:r>
        <w:r w:rsidRPr="00977A67">
          <w:rPr>
            <w:noProof/>
            <w:webHidden/>
          </w:rPr>
        </w:r>
        <w:r w:rsidRPr="00977A67">
          <w:rPr>
            <w:noProof/>
            <w:webHidden/>
          </w:rPr>
          <w:fldChar w:fldCharType="separate"/>
        </w:r>
        <w:r w:rsidR="00197C9F">
          <w:rPr>
            <w:noProof/>
            <w:webHidden/>
            <w:rtl/>
          </w:rPr>
          <w:t>70</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4" w:history="1">
        <w:r w:rsidRPr="00977A67">
          <w:rPr>
            <w:rStyle w:val="Hyperlink"/>
            <w:rFonts w:ascii="Arabic Typesetting" w:hAnsi="Arabic Typesetting" w:cs="Arabic Typesetting"/>
            <w:noProof/>
            <w:sz w:val="32"/>
            <w:szCs w:val="32"/>
            <w:rtl/>
          </w:rPr>
          <w:t>اتحاد مدريد - الرسوم التكميلية - سنة 2013</w:t>
        </w:r>
        <w:r w:rsidRPr="00977A67">
          <w:rPr>
            <w:noProof/>
            <w:webHidden/>
          </w:rPr>
          <w:tab/>
        </w:r>
        <w:r w:rsidRPr="00977A67">
          <w:rPr>
            <w:noProof/>
            <w:webHidden/>
          </w:rPr>
          <w:fldChar w:fldCharType="begin"/>
        </w:r>
        <w:r w:rsidRPr="00977A67">
          <w:rPr>
            <w:noProof/>
            <w:webHidden/>
          </w:rPr>
          <w:instrText xml:space="preserve"> PAGEREF _Toc394914294 \h </w:instrText>
        </w:r>
        <w:r w:rsidRPr="00977A67">
          <w:rPr>
            <w:noProof/>
            <w:webHidden/>
          </w:rPr>
        </w:r>
        <w:r w:rsidRPr="00977A67">
          <w:rPr>
            <w:noProof/>
            <w:webHidden/>
          </w:rPr>
          <w:fldChar w:fldCharType="separate"/>
        </w:r>
        <w:r w:rsidR="00197C9F">
          <w:rPr>
            <w:noProof/>
            <w:webHidden/>
            <w:rtl/>
          </w:rPr>
          <w:t>74</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5" w:history="1">
        <w:r w:rsidRPr="00977A67">
          <w:rPr>
            <w:rStyle w:val="Hyperlink"/>
            <w:rFonts w:ascii="Arabic Typesetting" w:hAnsi="Arabic Typesetting" w:cs="Arabic Typesetting"/>
            <w:noProof/>
            <w:sz w:val="32"/>
            <w:szCs w:val="32"/>
            <w:rtl/>
          </w:rPr>
          <w:t>اتحاد مدريد – إجمالي الرسوم لسنة 2013</w:t>
        </w:r>
        <w:r w:rsidRPr="00977A67">
          <w:rPr>
            <w:noProof/>
            <w:webHidden/>
          </w:rPr>
          <w:tab/>
        </w:r>
        <w:r w:rsidRPr="00977A67">
          <w:rPr>
            <w:noProof/>
            <w:webHidden/>
          </w:rPr>
          <w:fldChar w:fldCharType="begin"/>
        </w:r>
        <w:r w:rsidRPr="00977A67">
          <w:rPr>
            <w:noProof/>
            <w:webHidden/>
          </w:rPr>
          <w:instrText xml:space="preserve"> PAGEREF _Toc394914295 \h </w:instrText>
        </w:r>
        <w:r w:rsidRPr="00977A67">
          <w:rPr>
            <w:noProof/>
            <w:webHidden/>
          </w:rPr>
        </w:r>
        <w:r w:rsidRPr="00977A67">
          <w:rPr>
            <w:noProof/>
            <w:webHidden/>
          </w:rPr>
          <w:fldChar w:fldCharType="separate"/>
        </w:r>
        <w:r w:rsidR="00197C9F">
          <w:rPr>
            <w:noProof/>
            <w:webHidden/>
            <w:rtl/>
          </w:rPr>
          <w:t>76</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6" w:history="1">
        <w:r w:rsidRPr="00977A67">
          <w:rPr>
            <w:rStyle w:val="Hyperlink"/>
            <w:rFonts w:ascii="Arabic Typesetting" w:hAnsi="Arabic Typesetting" w:cs="Arabic Typesetting"/>
            <w:noProof/>
            <w:sz w:val="32"/>
            <w:szCs w:val="32"/>
            <w:rtl/>
          </w:rPr>
          <w:t>بروتوكول اتفاق مدريد - الرسوم الفردية – سنة 2012</w:t>
        </w:r>
        <w:r w:rsidRPr="00977A67">
          <w:rPr>
            <w:noProof/>
            <w:webHidden/>
          </w:rPr>
          <w:tab/>
        </w:r>
        <w:r w:rsidRPr="00977A67">
          <w:rPr>
            <w:noProof/>
            <w:webHidden/>
          </w:rPr>
          <w:fldChar w:fldCharType="begin"/>
        </w:r>
        <w:r w:rsidRPr="00977A67">
          <w:rPr>
            <w:noProof/>
            <w:webHidden/>
          </w:rPr>
          <w:instrText xml:space="preserve"> PAGEREF _Toc394914296 \h </w:instrText>
        </w:r>
        <w:r w:rsidRPr="00977A67">
          <w:rPr>
            <w:noProof/>
            <w:webHidden/>
          </w:rPr>
        </w:r>
        <w:r w:rsidRPr="00977A67">
          <w:rPr>
            <w:noProof/>
            <w:webHidden/>
          </w:rPr>
          <w:fldChar w:fldCharType="separate"/>
        </w:r>
        <w:r w:rsidR="00197C9F">
          <w:rPr>
            <w:noProof/>
            <w:webHidden/>
            <w:rtl/>
          </w:rPr>
          <w:t>77</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7" w:history="1">
        <w:r w:rsidRPr="00977A67">
          <w:rPr>
            <w:rStyle w:val="Hyperlink"/>
            <w:rFonts w:ascii="Arabic Typesetting" w:hAnsi="Arabic Typesetting" w:cs="Arabic Typesetting"/>
            <w:noProof/>
            <w:sz w:val="32"/>
            <w:szCs w:val="32"/>
            <w:rtl/>
          </w:rPr>
          <w:t>بروتوكول اتفاق مدريد - الرسوم الفردية – سنة 2013</w:t>
        </w:r>
        <w:r w:rsidRPr="00977A67">
          <w:rPr>
            <w:noProof/>
            <w:webHidden/>
          </w:rPr>
          <w:tab/>
        </w:r>
        <w:r w:rsidRPr="00977A67">
          <w:rPr>
            <w:noProof/>
            <w:webHidden/>
          </w:rPr>
          <w:fldChar w:fldCharType="begin"/>
        </w:r>
        <w:r w:rsidRPr="00977A67">
          <w:rPr>
            <w:noProof/>
            <w:webHidden/>
          </w:rPr>
          <w:instrText xml:space="preserve"> PAGEREF _Toc394914297 \h </w:instrText>
        </w:r>
        <w:r w:rsidRPr="00977A67">
          <w:rPr>
            <w:noProof/>
            <w:webHidden/>
          </w:rPr>
        </w:r>
        <w:r w:rsidRPr="00977A67">
          <w:rPr>
            <w:noProof/>
            <w:webHidden/>
          </w:rPr>
          <w:fldChar w:fldCharType="separate"/>
        </w:r>
        <w:r w:rsidR="00197C9F">
          <w:rPr>
            <w:noProof/>
            <w:webHidden/>
            <w:rtl/>
          </w:rPr>
          <w:t>79</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8" w:history="1">
        <w:r w:rsidRPr="00977A67">
          <w:rPr>
            <w:rStyle w:val="Hyperlink"/>
            <w:rFonts w:ascii="Arabic Typesetting" w:hAnsi="Arabic Typesetting" w:cs="Arabic Typesetting"/>
            <w:noProof/>
            <w:sz w:val="32"/>
            <w:szCs w:val="32"/>
            <w:rtl/>
          </w:rPr>
          <w:t>اتحاد مدريد - رسوم المعالجة الوطنية – سنة 2013</w:t>
        </w:r>
        <w:r w:rsidRPr="00977A67">
          <w:rPr>
            <w:noProof/>
            <w:webHidden/>
          </w:rPr>
          <w:tab/>
        </w:r>
        <w:r w:rsidRPr="00977A67">
          <w:rPr>
            <w:noProof/>
            <w:webHidden/>
          </w:rPr>
          <w:fldChar w:fldCharType="begin"/>
        </w:r>
        <w:r w:rsidRPr="00977A67">
          <w:rPr>
            <w:noProof/>
            <w:webHidden/>
          </w:rPr>
          <w:instrText xml:space="preserve"> PAGEREF _Toc394914298 \h </w:instrText>
        </w:r>
        <w:r w:rsidRPr="00977A67">
          <w:rPr>
            <w:noProof/>
            <w:webHidden/>
          </w:rPr>
        </w:r>
        <w:r w:rsidRPr="00977A67">
          <w:rPr>
            <w:noProof/>
            <w:webHidden/>
          </w:rPr>
          <w:fldChar w:fldCharType="separate"/>
        </w:r>
        <w:r w:rsidR="00197C9F">
          <w:rPr>
            <w:noProof/>
            <w:webHidden/>
            <w:rtl/>
          </w:rPr>
          <w:t>81</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299" w:history="1">
        <w:r w:rsidRPr="00977A67">
          <w:rPr>
            <w:rStyle w:val="Hyperlink"/>
            <w:rFonts w:ascii="Arabic Typesetting" w:hAnsi="Arabic Typesetting" w:cs="Arabic Typesetting"/>
            <w:noProof/>
            <w:sz w:val="32"/>
            <w:szCs w:val="32"/>
            <w:rtl/>
          </w:rPr>
          <w:t>اتحاد مدريد – المبالغ المسددة وفقا للقاعدة 39 من اللائحة التنفيذية المشتركة بين اتفاق مدريد وبروتوكوله</w:t>
        </w:r>
        <w:r w:rsidRPr="00977A67">
          <w:rPr>
            <w:noProof/>
            <w:webHidden/>
          </w:rPr>
          <w:tab/>
        </w:r>
        <w:r w:rsidRPr="00977A67">
          <w:rPr>
            <w:noProof/>
            <w:webHidden/>
          </w:rPr>
          <w:fldChar w:fldCharType="begin"/>
        </w:r>
        <w:r w:rsidRPr="00977A67">
          <w:rPr>
            <w:noProof/>
            <w:webHidden/>
          </w:rPr>
          <w:instrText xml:space="preserve"> PAGEREF _Toc394914299 \h </w:instrText>
        </w:r>
        <w:r w:rsidRPr="00977A67">
          <w:rPr>
            <w:noProof/>
            <w:webHidden/>
          </w:rPr>
        </w:r>
        <w:r w:rsidRPr="00977A67">
          <w:rPr>
            <w:noProof/>
            <w:webHidden/>
          </w:rPr>
          <w:fldChar w:fldCharType="separate"/>
        </w:r>
        <w:r w:rsidR="00197C9F">
          <w:rPr>
            <w:noProof/>
            <w:webHidden/>
            <w:rtl/>
          </w:rPr>
          <w:t>82</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300" w:history="1">
        <w:r w:rsidRPr="00977A67">
          <w:rPr>
            <w:rStyle w:val="Hyperlink"/>
            <w:rFonts w:ascii="Arabic Typesetting" w:hAnsi="Arabic Typesetting" w:cs="Arabic Typesetting"/>
            <w:noProof/>
            <w:sz w:val="32"/>
            <w:szCs w:val="32"/>
            <w:rtl/>
          </w:rPr>
          <w:t>اتحاد لاهاي - رسوم الدولة ورسوم التعيين - سنة 2012</w:t>
        </w:r>
        <w:r w:rsidRPr="00977A67">
          <w:rPr>
            <w:noProof/>
            <w:webHidden/>
          </w:rPr>
          <w:tab/>
        </w:r>
        <w:r w:rsidRPr="00977A67">
          <w:rPr>
            <w:noProof/>
            <w:webHidden/>
          </w:rPr>
          <w:fldChar w:fldCharType="begin"/>
        </w:r>
        <w:r w:rsidRPr="00977A67">
          <w:rPr>
            <w:noProof/>
            <w:webHidden/>
          </w:rPr>
          <w:instrText xml:space="preserve"> PAGEREF _Toc394914300 \h </w:instrText>
        </w:r>
        <w:r w:rsidRPr="00977A67">
          <w:rPr>
            <w:noProof/>
            <w:webHidden/>
          </w:rPr>
        </w:r>
        <w:r w:rsidRPr="00977A67">
          <w:rPr>
            <w:noProof/>
            <w:webHidden/>
          </w:rPr>
          <w:fldChar w:fldCharType="separate"/>
        </w:r>
        <w:r w:rsidR="00197C9F">
          <w:rPr>
            <w:noProof/>
            <w:webHidden/>
            <w:rtl/>
          </w:rPr>
          <w:t>83</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301" w:history="1">
        <w:r w:rsidRPr="00977A67">
          <w:rPr>
            <w:rStyle w:val="Hyperlink"/>
            <w:rFonts w:ascii="Arabic Typesetting" w:hAnsi="Arabic Typesetting" w:cs="Arabic Typesetting"/>
            <w:noProof/>
            <w:sz w:val="32"/>
            <w:szCs w:val="32"/>
            <w:rtl/>
          </w:rPr>
          <w:t xml:space="preserve">اتحاد لاهاي - رسوم الدولة ورسوم التعيين - سنة </w:t>
        </w:r>
        <w:r w:rsidRPr="00977A67">
          <w:rPr>
            <w:rStyle w:val="Hyperlink"/>
            <w:rFonts w:ascii="Arabic Typesetting" w:hAnsi="Arabic Typesetting" w:cs="Arabic Typesetting"/>
            <w:noProof/>
            <w:sz w:val="32"/>
            <w:szCs w:val="32"/>
          </w:rPr>
          <w:t>2013</w:t>
        </w:r>
        <w:r w:rsidRPr="00977A67">
          <w:rPr>
            <w:noProof/>
            <w:webHidden/>
          </w:rPr>
          <w:tab/>
        </w:r>
        <w:r w:rsidRPr="00977A67">
          <w:rPr>
            <w:noProof/>
            <w:webHidden/>
          </w:rPr>
          <w:fldChar w:fldCharType="begin"/>
        </w:r>
        <w:r w:rsidRPr="00977A67">
          <w:rPr>
            <w:noProof/>
            <w:webHidden/>
          </w:rPr>
          <w:instrText xml:space="preserve"> PAGEREF _Toc394914301 \h </w:instrText>
        </w:r>
        <w:r w:rsidRPr="00977A67">
          <w:rPr>
            <w:noProof/>
            <w:webHidden/>
          </w:rPr>
        </w:r>
        <w:r w:rsidRPr="00977A67">
          <w:rPr>
            <w:noProof/>
            <w:webHidden/>
          </w:rPr>
          <w:fldChar w:fldCharType="separate"/>
        </w:r>
        <w:r w:rsidR="00197C9F">
          <w:rPr>
            <w:noProof/>
            <w:webHidden/>
            <w:rtl/>
          </w:rPr>
          <w:t>84</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302" w:history="1">
        <w:r w:rsidRPr="00977A67">
          <w:rPr>
            <w:rStyle w:val="Hyperlink"/>
            <w:rFonts w:ascii="Arabic Typesetting" w:hAnsi="Arabic Typesetting" w:cs="Arabic Typesetting"/>
            <w:noProof/>
            <w:sz w:val="32"/>
            <w:szCs w:val="32"/>
            <w:rtl/>
          </w:rPr>
          <w:t>اتحاد مدريد واتحاد لاهاي – توزيع رسوم سنة 2012</w:t>
        </w:r>
        <w:r w:rsidRPr="00977A67">
          <w:rPr>
            <w:noProof/>
            <w:webHidden/>
          </w:rPr>
          <w:tab/>
        </w:r>
        <w:r w:rsidRPr="00977A67">
          <w:rPr>
            <w:noProof/>
            <w:webHidden/>
          </w:rPr>
          <w:fldChar w:fldCharType="begin"/>
        </w:r>
        <w:r w:rsidRPr="00977A67">
          <w:rPr>
            <w:noProof/>
            <w:webHidden/>
          </w:rPr>
          <w:instrText xml:space="preserve"> PAGEREF _Toc394914302 \h </w:instrText>
        </w:r>
        <w:r w:rsidRPr="00977A67">
          <w:rPr>
            <w:noProof/>
            <w:webHidden/>
          </w:rPr>
        </w:r>
        <w:r w:rsidRPr="00977A67">
          <w:rPr>
            <w:noProof/>
            <w:webHidden/>
          </w:rPr>
          <w:fldChar w:fldCharType="separate"/>
        </w:r>
        <w:r w:rsidR="00197C9F">
          <w:rPr>
            <w:noProof/>
            <w:webHidden/>
            <w:rtl/>
          </w:rPr>
          <w:t>85</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303" w:history="1">
        <w:r w:rsidRPr="00977A67">
          <w:rPr>
            <w:rStyle w:val="Hyperlink"/>
            <w:rFonts w:ascii="Arabic Typesetting" w:hAnsi="Arabic Typesetting" w:cs="Arabic Typesetting"/>
            <w:noProof/>
            <w:sz w:val="32"/>
            <w:szCs w:val="32"/>
            <w:rtl/>
          </w:rPr>
          <w:t>اتحاد مدريد واتحاد لاهاي – توزيع رسوم سنة 2013</w:t>
        </w:r>
        <w:r w:rsidRPr="00977A67">
          <w:rPr>
            <w:noProof/>
            <w:webHidden/>
          </w:rPr>
          <w:tab/>
        </w:r>
        <w:r w:rsidRPr="00977A67">
          <w:rPr>
            <w:noProof/>
            <w:webHidden/>
          </w:rPr>
          <w:fldChar w:fldCharType="begin"/>
        </w:r>
        <w:r w:rsidRPr="00977A67">
          <w:rPr>
            <w:noProof/>
            <w:webHidden/>
          </w:rPr>
          <w:instrText xml:space="preserve"> PAGEREF _Toc394914303 \h </w:instrText>
        </w:r>
        <w:r w:rsidRPr="00977A67">
          <w:rPr>
            <w:noProof/>
            <w:webHidden/>
          </w:rPr>
        </w:r>
        <w:r w:rsidRPr="00977A67">
          <w:rPr>
            <w:noProof/>
            <w:webHidden/>
          </w:rPr>
          <w:fldChar w:fldCharType="separate"/>
        </w:r>
        <w:r w:rsidR="00197C9F">
          <w:rPr>
            <w:noProof/>
            <w:webHidden/>
            <w:rtl/>
          </w:rPr>
          <w:t>86</w:t>
        </w:r>
        <w:r w:rsidRPr="00977A67">
          <w:rPr>
            <w:noProof/>
            <w:webHidden/>
          </w:rPr>
          <w:fldChar w:fldCharType="end"/>
        </w:r>
      </w:hyperlink>
    </w:p>
    <w:p w:rsidR="006715D6" w:rsidRPr="00977A67" w:rsidRDefault="006715D6" w:rsidP="006715D6">
      <w:pPr>
        <w:pStyle w:val="TOC2"/>
        <w:rPr>
          <w:rFonts w:eastAsiaTheme="minorEastAsia"/>
          <w:noProof/>
        </w:rPr>
      </w:pPr>
      <w:hyperlink w:anchor="_Toc394914304" w:history="1">
        <w:r w:rsidRPr="00977A67">
          <w:rPr>
            <w:rStyle w:val="Hyperlink"/>
            <w:rFonts w:ascii="Arabic Typesetting" w:hAnsi="Arabic Typesetting" w:cs="Arabic Typesetting"/>
            <w:noProof/>
            <w:sz w:val="32"/>
            <w:szCs w:val="32"/>
            <w:rtl/>
          </w:rPr>
          <w:t>اتحاد مدريد واتحاد لاهاي – حساب إجمالي للثنائية 2012/13</w:t>
        </w:r>
        <w:r w:rsidRPr="00977A67">
          <w:rPr>
            <w:noProof/>
            <w:webHidden/>
          </w:rPr>
          <w:tab/>
        </w:r>
        <w:r w:rsidRPr="00977A67">
          <w:rPr>
            <w:noProof/>
            <w:webHidden/>
          </w:rPr>
          <w:fldChar w:fldCharType="begin"/>
        </w:r>
        <w:r w:rsidRPr="00977A67">
          <w:rPr>
            <w:noProof/>
            <w:webHidden/>
          </w:rPr>
          <w:instrText xml:space="preserve"> PAGEREF _Toc394914304 \h </w:instrText>
        </w:r>
        <w:r w:rsidRPr="00977A67">
          <w:rPr>
            <w:noProof/>
            <w:webHidden/>
          </w:rPr>
        </w:r>
        <w:r w:rsidRPr="00977A67">
          <w:rPr>
            <w:noProof/>
            <w:webHidden/>
          </w:rPr>
          <w:fldChar w:fldCharType="separate"/>
        </w:r>
        <w:r w:rsidR="00197C9F">
          <w:rPr>
            <w:noProof/>
            <w:webHidden/>
            <w:rtl/>
          </w:rPr>
          <w:t>87</w:t>
        </w:r>
        <w:r w:rsidRPr="00977A67">
          <w:rPr>
            <w:noProof/>
            <w:webHidden/>
          </w:rPr>
          <w:fldChar w:fldCharType="end"/>
        </w:r>
      </w:hyperlink>
    </w:p>
    <w:p w:rsidR="006715D6" w:rsidRPr="00977A67" w:rsidRDefault="006715D6" w:rsidP="006715D6">
      <w:pPr>
        <w:pStyle w:val="TOC1"/>
        <w:spacing w:before="0" w:after="0"/>
        <w:rPr>
          <w:rFonts w:eastAsiaTheme="minorEastAsia"/>
        </w:rPr>
      </w:pPr>
      <w:hyperlink w:anchor="_Toc394914305" w:history="1">
        <w:r w:rsidRPr="00977A67">
          <w:rPr>
            <w:rStyle w:val="Hyperlink"/>
            <w:sz w:val="32"/>
            <w:szCs w:val="32"/>
            <w:rtl/>
          </w:rPr>
          <w:t>الصناديق الاستئمانية</w:t>
        </w:r>
        <w:r w:rsidRPr="00977A67">
          <w:rPr>
            <w:webHidden/>
          </w:rPr>
          <w:tab/>
        </w:r>
        <w:r w:rsidRPr="00977A67">
          <w:rPr>
            <w:webHidden/>
            <w:sz w:val="32"/>
            <w:szCs w:val="32"/>
          </w:rPr>
          <w:fldChar w:fldCharType="begin"/>
        </w:r>
        <w:r w:rsidRPr="00977A67">
          <w:rPr>
            <w:webHidden/>
            <w:sz w:val="32"/>
            <w:szCs w:val="32"/>
          </w:rPr>
          <w:instrText xml:space="preserve"> PAGEREF _Toc394914305 \h </w:instrText>
        </w:r>
        <w:r w:rsidRPr="00977A67">
          <w:rPr>
            <w:webHidden/>
            <w:sz w:val="32"/>
            <w:szCs w:val="32"/>
          </w:rPr>
        </w:r>
        <w:r w:rsidRPr="00977A67">
          <w:rPr>
            <w:webHidden/>
            <w:sz w:val="32"/>
            <w:szCs w:val="32"/>
          </w:rPr>
          <w:fldChar w:fldCharType="separate"/>
        </w:r>
        <w:r w:rsidR="00197C9F">
          <w:rPr>
            <w:webHidden/>
            <w:sz w:val="32"/>
            <w:szCs w:val="32"/>
            <w:rtl/>
          </w:rPr>
          <w:t>88</w:t>
        </w:r>
        <w:r w:rsidRPr="00977A67">
          <w:rPr>
            <w:webHidden/>
            <w:sz w:val="32"/>
            <w:szCs w:val="32"/>
          </w:rPr>
          <w:fldChar w:fldCharType="end"/>
        </w:r>
      </w:hyperlink>
    </w:p>
    <w:p w:rsidR="006715D6" w:rsidRPr="00977A67" w:rsidRDefault="006715D6" w:rsidP="006715D6">
      <w:pPr>
        <w:pStyle w:val="NormalParaAR"/>
        <w:spacing w:after="0"/>
        <w:jc w:val="center"/>
        <w:rPr>
          <w:rtl/>
        </w:rPr>
      </w:pPr>
      <w:r w:rsidRPr="00977A67">
        <w:rPr>
          <w:sz w:val="28"/>
          <w:szCs w:val="28"/>
          <w:rtl/>
        </w:rPr>
        <w:fldChar w:fldCharType="end"/>
      </w:r>
    </w:p>
    <w:p w:rsidR="006715D6" w:rsidRPr="00977A67" w:rsidRDefault="006715D6" w:rsidP="006715D6">
      <w:pPr>
        <w:pStyle w:val="NormalParaAR"/>
        <w:jc w:val="center"/>
        <w:rPr>
          <w:rtl/>
        </w:rPr>
      </w:pPr>
    </w:p>
    <w:p w:rsidR="006715D6" w:rsidRPr="00977A67" w:rsidRDefault="006715D6" w:rsidP="006715D6">
      <w:pPr>
        <w:pStyle w:val="NormalParaAR"/>
        <w:rPr>
          <w:rtl/>
        </w:rPr>
        <w:sectPr w:rsidR="006715D6" w:rsidRPr="00977A67" w:rsidSect="00651720">
          <w:footerReference w:type="first" r:id="rId23"/>
          <w:pgSz w:w="11907" w:h="16840" w:code="9"/>
          <w:pgMar w:top="567" w:right="1418" w:bottom="1418" w:left="1134" w:header="510" w:footer="1021" w:gutter="0"/>
          <w:pgNumType w:fmt="lowerRoman"/>
          <w:cols w:space="720"/>
          <w:titlePg/>
          <w:docGrid w:linePitch="299"/>
        </w:sectPr>
      </w:pPr>
    </w:p>
    <w:p w:rsidR="006715D6" w:rsidRPr="00D07354" w:rsidRDefault="006715D6" w:rsidP="006715D6">
      <w:pPr>
        <w:pStyle w:val="NormalParaAR"/>
        <w:keepNext/>
        <w:rPr>
          <w:b/>
          <w:bCs/>
          <w:color w:val="595959" w:themeColor="text1" w:themeTint="A6"/>
          <w:sz w:val="40"/>
          <w:szCs w:val="40"/>
          <w:rtl/>
        </w:rPr>
      </w:pPr>
      <w:bookmarkStart w:id="2" w:name="_Toc394905484"/>
      <w:bookmarkStart w:id="3" w:name="_Toc394911915"/>
      <w:bookmarkStart w:id="4" w:name="_Toc394914246"/>
      <w:r w:rsidRPr="00D07354">
        <w:rPr>
          <w:b/>
          <w:bCs/>
          <w:color w:val="595959" w:themeColor="text1" w:themeTint="A6"/>
          <w:sz w:val="40"/>
          <w:szCs w:val="40"/>
          <w:rtl/>
        </w:rPr>
        <w:t>مقاييس مالية رئيسية ومقاييس أخرى</w:t>
      </w:r>
      <w:bookmarkEnd w:id="2"/>
      <w:bookmarkEnd w:id="3"/>
      <w:bookmarkEnd w:id="4"/>
    </w:p>
    <w:p w:rsidR="006715D6" w:rsidRPr="00977A67" w:rsidRDefault="006715D6" w:rsidP="006715D6">
      <w:pPr>
        <w:pStyle w:val="NormalParaAR"/>
        <w:rPr>
          <w:rtl/>
        </w:rPr>
      </w:pPr>
      <w:r w:rsidRPr="00977A67">
        <w:rPr>
          <w:rFonts w:hint="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258E5393" wp14:editId="6028F762">
            <wp:extent cx="5940425" cy="5919484"/>
            <wp:effectExtent l="0" t="0" r="317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5919484"/>
                    </a:xfrm>
                    <a:prstGeom prst="rect">
                      <a:avLst/>
                    </a:prstGeom>
                    <a:noFill/>
                    <a:ln>
                      <a:noFill/>
                    </a:ln>
                  </pic:spPr>
                </pic:pic>
              </a:graphicData>
            </a:graphic>
          </wp:inline>
        </w:drawing>
      </w:r>
    </w:p>
    <w:p w:rsidR="006715D6" w:rsidRPr="00977A67" w:rsidRDefault="006715D6" w:rsidP="006715D6">
      <w:pPr>
        <w:pStyle w:val="NormalParaAR"/>
        <w:rPr>
          <w:rtl/>
        </w:rPr>
      </w:pPr>
    </w:p>
    <w:p w:rsidR="006715D6" w:rsidRPr="00977A67" w:rsidRDefault="006715D6" w:rsidP="006715D6">
      <w:pPr>
        <w:pStyle w:val="NormalParaAR"/>
        <w:rPr>
          <w:rtl/>
        </w:rPr>
        <w:sectPr w:rsidR="006715D6" w:rsidRPr="00977A67" w:rsidSect="009549E2">
          <w:headerReference w:type="first" r:id="rId25"/>
          <w:pgSz w:w="11907" w:h="16840" w:code="9"/>
          <w:pgMar w:top="567" w:right="1418" w:bottom="1418" w:left="1134" w:header="510" w:footer="1021" w:gutter="0"/>
          <w:cols w:space="720"/>
          <w:titlePg/>
          <w:docGrid w:linePitch="299"/>
        </w:sectPr>
      </w:pPr>
    </w:p>
    <w:p w:rsidR="006715D6" w:rsidRPr="00D07354" w:rsidRDefault="006715D6" w:rsidP="006715D6">
      <w:pPr>
        <w:pStyle w:val="NormalParaAR"/>
        <w:keepNext/>
        <w:rPr>
          <w:b/>
          <w:bCs/>
          <w:color w:val="595959" w:themeColor="text1" w:themeTint="A6"/>
          <w:sz w:val="40"/>
          <w:szCs w:val="40"/>
          <w:rtl/>
        </w:rPr>
      </w:pPr>
      <w:bookmarkStart w:id="5" w:name="_Toc394905485"/>
      <w:bookmarkStart w:id="6" w:name="_Toc394911916"/>
      <w:bookmarkStart w:id="7" w:name="_Toc394914247"/>
      <w:r w:rsidRPr="00D07354">
        <w:rPr>
          <w:b/>
          <w:bCs/>
          <w:color w:val="595959" w:themeColor="text1" w:themeTint="A6"/>
          <w:sz w:val="40"/>
          <w:szCs w:val="40"/>
          <w:rtl/>
        </w:rPr>
        <w:t>ملخص النتائج بحسب كل اتحاد</w:t>
      </w:r>
      <w:bookmarkEnd w:id="5"/>
      <w:bookmarkEnd w:id="6"/>
      <w:bookmarkEnd w:id="7"/>
    </w:p>
    <w:p w:rsidR="006715D6" w:rsidRPr="00977A67" w:rsidRDefault="006715D6" w:rsidP="006715D6">
      <w:pPr>
        <w:pStyle w:val="NormalParaAR"/>
        <w:rPr>
          <w:rtl/>
        </w:rPr>
      </w:pPr>
      <w:r w:rsidRPr="00977A67">
        <w:rPr>
          <w:rFonts w:hint="cs"/>
          <w:rtl/>
        </w:rPr>
        <w:t>ي</w:t>
      </w:r>
      <w:r w:rsidRPr="00977A67">
        <w:rPr>
          <w:rtl/>
        </w:rPr>
        <w:t xml:space="preserve">عرض الجدول </w:t>
      </w:r>
      <w:r w:rsidRPr="00977A67">
        <w:rPr>
          <w:rFonts w:hint="cs"/>
          <w:rtl/>
        </w:rPr>
        <w:t>1</w:t>
      </w:r>
      <w:r w:rsidRPr="00977A67">
        <w:rPr>
          <w:rtl/>
        </w:rPr>
        <w:t xml:space="preserve"> أدناه ملخصا شاملا للأداء المالي في الثنائية </w:t>
      </w:r>
      <w:r w:rsidRPr="00977A67">
        <w:rPr>
          <w:rFonts w:hint="cs"/>
          <w:rtl/>
        </w:rPr>
        <w:t>2012/13</w:t>
      </w:r>
      <w:r w:rsidRPr="00977A67">
        <w:rPr>
          <w:rtl/>
        </w:rPr>
        <w:t xml:space="preserve"> بحسب كل اتحاد وحالة الأموال الاحتياطية وصناديق رؤوس الأموال العاملة (الاحتياطي) في نهاية</w:t>
      </w:r>
      <w:r w:rsidRPr="00977A67">
        <w:rPr>
          <w:rFonts w:hint="cs"/>
          <w:rtl/>
        </w:rPr>
        <w:t xml:space="preserve"> 2013، التي بلغت قيمتها 208,8 مليون فرنك سويسري.</w:t>
      </w:r>
    </w:p>
    <w:p w:rsidR="006715D6" w:rsidRPr="00977A67" w:rsidRDefault="006715D6" w:rsidP="006715D6">
      <w:pPr>
        <w:pStyle w:val="Heading2AR"/>
        <w:tabs>
          <w:tab w:val="right" w:pos="1133"/>
        </w:tabs>
        <w:jc w:val="center"/>
        <w:outlineLvl w:val="1"/>
        <w:rPr>
          <w:b/>
          <w:bCs/>
          <w:sz w:val="36"/>
          <w:szCs w:val="36"/>
          <w:rtl/>
        </w:rPr>
      </w:pPr>
      <w:bookmarkStart w:id="8" w:name="_Toc394905486"/>
      <w:bookmarkStart w:id="9" w:name="_Toc394911917"/>
      <w:bookmarkStart w:id="10" w:name="_Toc394914248"/>
      <w:r w:rsidRPr="00977A67">
        <w:rPr>
          <w:rFonts w:hint="cs"/>
          <w:b/>
          <w:bCs/>
          <w:sz w:val="36"/>
          <w:szCs w:val="36"/>
          <w:rtl/>
        </w:rPr>
        <w:t>الجدول 1</w:t>
      </w:r>
      <w:r w:rsidRPr="00977A67">
        <w:rPr>
          <w:b/>
          <w:bCs/>
          <w:sz w:val="36"/>
          <w:szCs w:val="36"/>
          <w:rtl/>
        </w:rPr>
        <w:tab/>
      </w:r>
      <w:r w:rsidRPr="00977A67">
        <w:rPr>
          <w:rFonts w:hint="cs"/>
          <w:b/>
          <w:bCs/>
          <w:sz w:val="36"/>
          <w:szCs w:val="36"/>
          <w:rtl/>
        </w:rPr>
        <w:tab/>
        <w:t>الأموال الاحتياطية وصناديق رؤوس الأموال العاملة في نهاية</w:t>
      </w:r>
      <w:r w:rsidRPr="00977A67">
        <w:rPr>
          <w:rFonts w:hint="eastAsia"/>
          <w:b/>
          <w:bCs/>
          <w:sz w:val="36"/>
          <w:szCs w:val="36"/>
          <w:rtl/>
        </w:rPr>
        <w:t> </w:t>
      </w:r>
      <w:r w:rsidRPr="00977A67">
        <w:rPr>
          <w:rFonts w:hint="cs"/>
          <w:b/>
          <w:bCs/>
          <w:sz w:val="36"/>
          <w:szCs w:val="36"/>
          <w:rtl/>
        </w:rPr>
        <w:t>2013</w:t>
      </w:r>
      <w:bookmarkEnd w:id="8"/>
      <w:bookmarkEnd w:id="9"/>
      <w:bookmarkEnd w:id="10"/>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noProof/>
          <w:rtl/>
        </w:rPr>
        <w:drawing>
          <wp:inline distT="0" distB="0" distL="0" distR="0" wp14:anchorId="1EA7414C" wp14:editId="1180BA28">
            <wp:extent cx="5940425" cy="333704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3337041"/>
                    </a:xfrm>
                    <a:prstGeom prst="rect">
                      <a:avLst/>
                    </a:prstGeom>
                    <a:noFill/>
                    <a:ln>
                      <a:noFill/>
                    </a:ln>
                  </pic:spPr>
                </pic:pic>
              </a:graphicData>
            </a:graphic>
          </wp:inline>
        </w:drawing>
      </w:r>
    </w:p>
    <w:p w:rsidR="006715D6" w:rsidRPr="00977A67" w:rsidRDefault="006715D6" w:rsidP="006715D6">
      <w:pPr>
        <w:pStyle w:val="NormalParaAR"/>
        <w:rPr>
          <w:rtl/>
        </w:rPr>
      </w:pPr>
      <w:r w:rsidRPr="00977A67">
        <w:rPr>
          <w:rFonts w:hint="cs"/>
          <w:rtl/>
        </w:rPr>
        <w:t>ويق</w:t>
      </w:r>
      <w:r w:rsidRPr="00977A67">
        <w:rPr>
          <w:rtl/>
        </w:rPr>
        <w:t xml:space="preserve">ارن الجدول </w:t>
      </w:r>
      <w:r w:rsidRPr="00977A67">
        <w:rPr>
          <w:rFonts w:hint="cs"/>
          <w:rtl/>
        </w:rPr>
        <w:t>2</w:t>
      </w:r>
      <w:r w:rsidRPr="00977A67">
        <w:rPr>
          <w:rtl/>
        </w:rPr>
        <w:t>.1 أدناه الإيرادات والنفقات الفعلية وتلك المتوقعة في الميزانية بحسب كل اتحاد وبحسب فئة النفقات (مباشرة/غير مباشرة) على أساس الميزانية.</w:t>
      </w:r>
      <w:r w:rsidRPr="00977A67">
        <w:rPr>
          <w:rFonts w:hint="cs"/>
          <w:rtl/>
        </w:rPr>
        <w:t xml:space="preserve"> و</w:t>
      </w:r>
      <w:r w:rsidRPr="00977A67">
        <w:rPr>
          <w:rtl/>
        </w:rPr>
        <w:t>قد ص</w:t>
      </w:r>
      <w:r w:rsidRPr="00977A67">
        <w:rPr>
          <w:rFonts w:hint="cs"/>
          <w:rtl/>
        </w:rPr>
        <w:t>ُ</w:t>
      </w:r>
      <w:r w:rsidRPr="00977A67">
        <w:rPr>
          <w:rtl/>
        </w:rPr>
        <w:t xml:space="preserve">نفت مصروفات الاتحادات إلى نفقات مباشرة وغير مباشرة وفقا للمنهجية التي اعتمدتها جمعيات الويبو في سياق الموافقة على وثيقة البرنامج والميزانية للثنائية </w:t>
      </w:r>
      <w:r w:rsidRPr="00977A67">
        <w:rPr>
          <w:rFonts w:hint="cs"/>
          <w:rtl/>
        </w:rPr>
        <w:t>2012/13</w:t>
      </w:r>
      <w:r w:rsidRPr="00977A67">
        <w:rPr>
          <w:rtl/>
        </w:rPr>
        <w:t xml:space="preserve"> (</w:t>
      </w:r>
      <w:r w:rsidRPr="00977A67">
        <w:rPr>
          <w:rFonts w:hint="cs"/>
          <w:rtl/>
        </w:rPr>
        <w:t>المرفق الثالث من وثيقة البرنامج والميزانية 2012/13</w:t>
      </w:r>
      <w:r w:rsidRPr="00977A67">
        <w:rPr>
          <w:rtl/>
        </w:rPr>
        <w:t>).</w:t>
      </w:r>
    </w:p>
    <w:p w:rsidR="006715D6" w:rsidRPr="00977A67" w:rsidRDefault="006715D6" w:rsidP="006715D6">
      <w:pPr>
        <w:pStyle w:val="Heading2AR"/>
        <w:tabs>
          <w:tab w:val="right" w:pos="1133"/>
        </w:tabs>
        <w:jc w:val="center"/>
        <w:outlineLvl w:val="1"/>
        <w:rPr>
          <w:b/>
          <w:bCs/>
          <w:sz w:val="36"/>
          <w:szCs w:val="36"/>
          <w:rtl/>
        </w:rPr>
      </w:pPr>
      <w:bookmarkStart w:id="11" w:name="_Toc394905487"/>
      <w:bookmarkStart w:id="12" w:name="_Toc394911918"/>
      <w:bookmarkStart w:id="13" w:name="_Toc394914249"/>
      <w:r w:rsidRPr="00977A67">
        <w:rPr>
          <w:b/>
          <w:bCs/>
          <w:sz w:val="36"/>
          <w:szCs w:val="36"/>
          <w:rtl/>
        </w:rPr>
        <w:t xml:space="preserve">الجدول </w:t>
      </w:r>
      <w:r w:rsidRPr="00977A67">
        <w:rPr>
          <w:rFonts w:hint="cs"/>
          <w:b/>
          <w:bCs/>
          <w:sz w:val="36"/>
          <w:szCs w:val="36"/>
          <w:rtl/>
        </w:rPr>
        <w:t>2</w:t>
      </w:r>
      <w:r w:rsidRPr="00977A67">
        <w:rPr>
          <w:b/>
          <w:bCs/>
          <w:sz w:val="36"/>
          <w:szCs w:val="36"/>
          <w:rtl/>
        </w:rPr>
        <w:t>.</w:t>
      </w:r>
      <w:r w:rsidRPr="00977A67">
        <w:rPr>
          <w:rFonts w:hint="cs"/>
          <w:b/>
          <w:bCs/>
          <w:sz w:val="36"/>
          <w:szCs w:val="36"/>
          <w:rtl/>
        </w:rPr>
        <w:t>1</w:t>
      </w:r>
      <w:r w:rsidRPr="00977A67">
        <w:rPr>
          <w:b/>
          <w:bCs/>
          <w:sz w:val="36"/>
          <w:szCs w:val="36"/>
          <w:rtl/>
        </w:rPr>
        <w:tab/>
      </w:r>
      <w:r w:rsidRPr="00977A67">
        <w:rPr>
          <w:rFonts w:hint="cs"/>
          <w:b/>
          <w:bCs/>
          <w:sz w:val="36"/>
          <w:szCs w:val="36"/>
          <w:rtl/>
        </w:rPr>
        <w:tab/>
        <w:t>الإيرادات والنفقات بحسب كل اتحاد - الثنائية 2012/13 (على أساس الميزانية)</w:t>
      </w:r>
      <w:bookmarkEnd w:id="11"/>
      <w:bookmarkEnd w:id="12"/>
      <w:bookmarkEnd w:id="13"/>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rPr>
          <w:rFonts w:ascii="Arabic Typesetting" w:hAnsi="Arabic Typesetting" w:cs="Arabic Typesetting"/>
          <w:sz w:val="36"/>
          <w:szCs w:val="36"/>
          <w:rtl/>
        </w:rPr>
      </w:pPr>
      <w:r w:rsidRPr="00977A67">
        <w:rPr>
          <w:rFonts w:hint="cs"/>
          <w:noProof/>
          <w:szCs w:val="22"/>
          <w:rtl/>
        </w:rPr>
        <w:drawing>
          <wp:inline distT="0" distB="0" distL="0" distR="0" wp14:anchorId="12725731" wp14:editId="4787B14A">
            <wp:extent cx="5909480" cy="203351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044166"/>
                    </a:xfrm>
                    <a:prstGeom prst="rect">
                      <a:avLst/>
                    </a:prstGeom>
                    <a:noFill/>
                    <a:ln>
                      <a:noFill/>
                    </a:ln>
                  </pic:spPr>
                </pic:pic>
              </a:graphicData>
            </a:graphic>
          </wp:inline>
        </w:drawing>
      </w:r>
      <w:r w:rsidRPr="00977A67">
        <w:rPr>
          <w:rtl/>
        </w:rPr>
        <w:br w:type="page"/>
      </w:r>
    </w:p>
    <w:p w:rsidR="006715D6" w:rsidRPr="00977A67" w:rsidRDefault="006715D6" w:rsidP="006715D6">
      <w:pPr>
        <w:pStyle w:val="NormalParaAR"/>
        <w:rPr>
          <w:rtl/>
        </w:rPr>
      </w:pPr>
      <w:r w:rsidRPr="00977A67">
        <w:rPr>
          <w:rFonts w:hint="cs"/>
          <w:rtl/>
        </w:rPr>
        <w:t>ويعرض الجدول 3.1 أدناه ملخص المشروعات الخاصة المموّلة من الأموال الاحتياطية والتي كانت قيد التنفيذ في نهاية</w:t>
      </w:r>
      <w:r w:rsidRPr="00977A67">
        <w:rPr>
          <w:rFonts w:hint="eastAsia"/>
          <w:rtl/>
        </w:rPr>
        <w:t> </w:t>
      </w:r>
      <w:r w:rsidRPr="00977A67">
        <w:rPr>
          <w:rFonts w:hint="cs"/>
          <w:rtl/>
        </w:rPr>
        <w:t>2013. وبلغ إجمالي الأرصدة المتبقية للمشروعات، في نهاية 2013، 25,0 مليون فرنك سويسري. وينبغي الالتفات إلى أن استحداث وعرض احتياطي منفرد للمشروعات الخاصة المموّلة من الأموال الاحتياطية، في البيانات المالية السنوية، هو استجابة لتوصية مراجع الحسابات الخارجي.</w:t>
      </w:r>
    </w:p>
    <w:p w:rsidR="006715D6" w:rsidRPr="00977A67" w:rsidRDefault="006715D6" w:rsidP="006715D6">
      <w:pPr>
        <w:pStyle w:val="Heading2AR"/>
        <w:tabs>
          <w:tab w:val="right" w:pos="1133"/>
        </w:tabs>
        <w:jc w:val="center"/>
        <w:outlineLvl w:val="1"/>
        <w:rPr>
          <w:b/>
          <w:bCs/>
          <w:sz w:val="36"/>
          <w:szCs w:val="36"/>
          <w:rtl/>
        </w:rPr>
      </w:pPr>
      <w:bookmarkStart w:id="14" w:name="_Toc394905488"/>
      <w:bookmarkStart w:id="15" w:name="_Toc394911919"/>
      <w:bookmarkStart w:id="16" w:name="_Toc394914250"/>
      <w:r w:rsidRPr="00977A67">
        <w:rPr>
          <w:rFonts w:hint="cs"/>
          <w:b/>
          <w:bCs/>
          <w:sz w:val="36"/>
          <w:szCs w:val="36"/>
          <w:rtl/>
        </w:rPr>
        <w:t>الجدول 3.1</w:t>
      </w:r>
      <w:r w:rsidRPr="00977A67">
        <w:rPr>
          <w:b/>
          <w:bCs/>
          <w:sz w:val="36"/>
          <w:szCs w:val="36"/>
          <w:rtl/>
        </w:rPr>
        <w:tab/>
      </w:r>
      <w:r w:rsidRPr="00977A67">
        <w:rPr>
          <w:rFonts w:hint="cs"/>
          <w:b/>
          <w:bCs/>
          <w:sz w:val="36"/>
          <w:szCs w:val="36"/>
          <w:rtl/>
        </w:rPr>
        <w:tab/>
        <w:t>المشروعات الخاصة المموّلة من الأموال الاحتياطية في نهاية 2013</w:t>
      </w:r>
      <w:bookmarkEnd w:id="14"/>
      <w:bookmarkEnd w:id="15"/>
      <w:bookmarkEnd w:id="16"/>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3BA95074" wp14:editId="6980538C">
            <wp:extent cx="5940425" cy="2066993"/>
            <wp:effectExtent l="0" t="0" r="317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066993"/>
                    </a:xfrm>
                    <a:prstGeom prst="rect">
                      <a:avLst/>
                    </a:prstGeom>
                    <a:noFill/>
                    <a:ln>
                      <a:noFill/>
                    </a:ln>
                  </pic:spPr>
                </pic:pic>
              </a:graphicData>
            </a:graphic>
          </wp:inline>
        </w:drawing>
      </w:r>
    </w:p>
    <w:p w:rsidR="006715D6" w:rsidRPr="00977A67" w:rsidRDefault="006715D6" w:rsidP="006715D6">
      <w:pPr>
        <w:pStyle w:val="NormalParaAR"/>
        <w:rPr>
          <w:rtl/>
        </w:rPr>
      </w:pPr>
      <w:r w:rsidRPr="00977A67">
        <w:rPr>
          <w:rFonts w:hint="cs"/>
          <w:rtl/>
        </w:rPr>
        <w:t>ويعرض الجدول 4.1 أدناه ملخص مشروعي بناء كانا قيد التنفيذ في نهاية 2013.</w:t>
      </w:r>
    </w:p>
    <w:p w:rsidR="006715D6" w:rsidRPr="00977A67" w:rsidRDefault="006715D6" w:rsidP="006715D6">
      <w:pPr>
        <w:pStyle w:val="NormalParaAR"/>
        <w:rPr>
          <w:rtl/>
        </w:rPr>
      </w:pPr>
    </w:p>
    <w:p w:rsidR="006715D6" w:rsidRPr="00977A67" w:rsidRDefault="006715D6" w:rsidP="006715D6">
      <w:pPr>
        <w:pStyle w:val="Heading2AR"/>
        <w:tabs>
          <w:tab w:val="right" w:pos="1133"/>
        </w:tabs>
        <w:jc w:val="center"/>
        <w:outlineLvl w:val="1"/>
        <w:rPr>
          <w:b/>
          <w:bCs/>
          <w:sz w:val="36"/>
          <w:szCs w:val="36"/>
          <w:rtl/>
        </w:rPr>
      </w:pPr>
      <w:bookmarkStart w:id="17" w:name="_Toc394905489"/>
      <w:bookmarkStart w:id="18" w:name="_Toc394911920"/>
      <w:bookmarkStart w:id="19" w:name="_Toc394914251"/>
      <w:r w:rsidRPr="00977A67">
        <w:rPr>
          <w:rFonts w:hint="cs"/>
          <w:b/>
          <w:bCs/>
          <w:sz w:val="36"/>
          <w:szCs w:val="36"/>
          <w:rtl/>
        </w:rPr>
        <w:t>الجدول 4.1</w:t>
      </w:r>
      <w:r w:rsidRPr="00977A67">
        <w:rPr>
          <w:b/>
          <w:bCs/>
          <w:sz w:val="36"/>
          <w:szCs w:val="36"/>
          <w:rtl/>
        </w:rPr>
        <w:tab/>
      </w:r>
      <w:r w:rsidRPr="00977A67">
        <w:rPr>
          <w:rFonts w:hint="cs"/>
          <w:b/>
          <w:bCs/>
          <w:sz w:val="36"/>
          <w:szCs w:val="36"/>
          <w:rtl/>
        </w:rPr>
        <w:tab/>
        <w:t>مشروعا البناء الرئيسيان في نهاية 2013</w:t>
      </w:r>
      <w:bookmarkEnd w:id="17"/>
      <w:bookmarkEnd w:id="18"/>
      <w:bookmarkEnd w:id="19"/>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7B1200CA" wp14:editId="7CB54AE7">
            <wp:extent cx="5940425" cy="180644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1806440"/>
                    </a:xfrm>
                    <a:prstGeom prst="rect">
                      <a:avLst/>
                    </a:prstGeom>
                    <a:noFill/>
                    <a:ln>
                      <a:noFill/>
                    </a:ln>
                  </pic:spPr>
                </pic:pic>
              </a:graphicData>
            </a:graphic>
          </wp:inline>
        </w:drawing>
      </w:r>
    </w:p>
    <w:p w:rsidR="006715D6" w:rsidRPr="00977A67" w:rsidRDefault="006715D6" w:rsidP="006715D6">
      <w:pPr>
        <w:pStyle w:val="NormalParaAR"/>
        <w:keepNext/>
        <w:rPr>
          <w:b/>
          <w:bCs/>
          <w:color w:val="595959" w:themeColor="text1" w:themeTint="A6"/>
          <w:sz w:val="40"/>
          <w:szCs w:val="40"/>
          <w:rtl/>
        </w:rPr>
      </w:pPr>
      <w:r w:rsidRPr="00977A67">
        <w:rPr>
          <w:rFonts w:hint="cs"/>
          <w:b/>
          <w:bCs/>
          <w:color w:val="595959" w:themeColor="text1" w:themeTint="A6"/>
          <w:sz w:val="40"/>
          <w:szCs w:val="40"/>
          <w:rtl/>
        </w:rPr>
        <w:t>الميزانية</w:t>
      </w:r>
    </w:p>
    <w:p w:rsidR="006715D6" w:rsidRPr="00D07354" w:rsidRDefault="006715D6" w:rsidP="006715D6">
      <w:pPr>
        <w:pStyle w:val="Heading1AR"/>
        <w:outlineLvl w:val="0"/>
        <w:rPr>
          <w:sz w:val="36"/>
          <w:szCs w:val="36"/>
          <w:rtl/>
        </w:rPr>
      </w:pPr>
      <w:bookmarkStart w:id="20" w:name="_Toc394905490"/>
      <w:bookmarkStart w:id="21" w:name="_Toc394911921"/>
      <w:bookmarkStart w:id="22" w:name="_Toc394914252"/>
      <w:r w:rsidRPr="00D07354">
        <w:rPr>
          <w:rFonts w:hint="cs"/>
          <w:sz w:val="36"/>
          <w:szCs w:val="36"/>
          <w:rtl/>
        </w:rPr>
        <w:t>الميزانية</w:t>
      </w:r>
      <w:bookmarkEnd w:id="20"/>
      <w:bookmarkEnd w:id="21"/>
      <w:bookmarkEnd w:id="22"/>
    </w:p>
    <w:p w:rsidR="006715D6" w:rsidRPr="00977A67" w:rsidRDefault="006715D6" w:rsidP="006715D6">
      <w:pPr>
        <w:pStyle w:val="NormalParaAR"/>
        <w:rPr>
          <w:rtl/>
        </w:rPr>
      </w:pPr>
      <w:r w:rsidRPr="00977A67">
        <w:rPr>
          <w:rFonts w:hint="cs"/>
          <w:rtl/>
        </w:rPr>
        <w:t>وافقت جمعيات الدول الأعضاء في الويبو، في دورتها التاسعة والأربعين المعقودة في أكتوبر 2011 (الوثيقة</w:t>
      </w:r>
      <w:r w:rsidRPr="00977A67">
        <w:rPr>
          <w:rFonts w:hint="eastAsia"/>
          <w:rtl/>
        </w:rPr>
        <w:t> </w:t>
      </w:r>
      <w:r w:rsidRPr="00977A67">
        <w:t>A/49/18</w:t>
      </w:r>
      <w:r w:rsidRPr="00977A67">
        <w:rPr>
          <w:rFonts w:hint="cs"/>
          <w:rtl/>
        </w:rPr>
        <w:t>)، على وثيقة البرنامج والميزانية للثنائية 2012/13 (الوثيقة</w:t>
      </w:r>
      <w:r w:rsidRPr="00977A67">
        <w:rPr>
          <w:rFonts w:hint="eastAsia"/>
          <w:rtl/>
        </w:rPr>
        <w:t> </w:t>
      </w:r>
      <w:r w:rsidRPr="00977A67">
        <w:t>A/49/18</w:t>
      </w:r>
      <w:r w:rsidRPr="00977A67">
        <w:rPr>
          <w:rFonts w:hint="cs"/>
          <w:rtl/>
        </w:rPr>
        <w:t xml:space="preserve">). واعتُمدت الميزانية بقيمة قدرها 647,4 مليون فرنك سويسري، مع مراعاة </w:t>
      </w:r>
      <w:r w:rsidRPr="00977A67">
        <w:rPr>
          <w:rtl/>
        </w:rPr>
        <w:t>"جهود الأمانة من أجل خفض النفقات بمبلغ 10,2 مليون فرنك سويسري (من647,4 مليون فرنك سويسري إلى 637,2 مليون فرنك سويسري) باتخاذ تدابير لرفع الفعالية من حيث التكلفة فيما يتعلق مثلا بسياسة أسفار الموظفين والغير وإدارة المباني وسياسة مدفوعات أصحاب اتفاقات الخدمات الخاصة وأتعاب الخبراء والمحاضرين وبرامج المتدربين وحفلات الاستقبال واستئجار المباني والأجهزة والمعدات أثناء المؤتمرات وتخفيض تكاليف الموظفين من خلال تصميم مؤسسي أحسن.</w:t>
      </w:r>
      <w:r w:rsidRPr="00977A67">
        <w:rPr>
          <w:rFonts w:hint="cs"/>
          <w:rtl/>
        </w:rPr>
        <w:t xml:space="preserve"> </w:t>
      </w:r>
      <w:r w:rsidRPr="00977A67">
        <w:rPr>
          <w:rtl/>
        </w:rPr>
        <w:t>ولن تؤدي تدابير فعالية التكلفة هذه إلى التأثير في تنفيذ البرامج والنتائج والأهداف المحدّدة في اقتراح البرنامج والميزانية.</w:t>
      </w:r>
      <w:r w:rsidRPr="00977A67">
        <w:rPr>
          <w:rFonts w:hint="cs"/>
          <w:rtl/>
        </w:rPr>
        <w:t xml:space="preserve"> </w:t>
      </w:r>
      <w:r w:rsidRPr="00977A67">
        <w:rPr>
          <w:rtl/>
        </w:rPr>
        <w:t>وسترجع الأمانة إلى الدول الأعضاء بتقرير عن تنفيذ تدابير الفعالية في التقارير السنوية عن أداء البرنامج</w:t>
      </w:r>
      <w:r w:rsidRPr="00977A67">
        <w:rPr>
          <w:rFonts w:hint="cs"/>
          <w:rtl/>
        </w:rPr>
        <w:t>". وبلغت الميزانية النهائية بعد التحويلات 648,4 مليون فرنك سويسري، ممّا يعكس إنشاء خمس وظائف ضمن البرنامج 5 (نظام معاهدة التعاون بشأن البراءات) بتطبيق معادلة المرونة نظرا لبلوغ أنشطة التسجيل بناء على معاهدة التعاون بشأن البراءات مستويات تفوق المستويات المتوقّعة في الميزانية، ممّا أسفر عن تخصيص قدر إضافي من الموارد البشرية بقيمة 981</w:t>
      </w:r>
      <w:r w:rsidRPr="00977A67">
        <w:rPr>
          <w:rFonts w:hint="eastAsia"/>
          <w:rtl/>
        </w:rPr>
        <w:t> </w:t>
      </w:r>
      <w:r w:rsidRPr="00977A67">
        <w:rPr>
          <w:rFonts w:hint="cs"/>
          <w:rtl/>
        </w:rPr>
        <w:t>ألف فرنك سويسري للثنائية.</w:t>
      </w:r>
    </w:p>
    <w:p w:rsidR="006715D6" w:rsidRPr="00977A67" w:rsidRDefault="006715D6" w:rsidP="006715D6">
      <w:pPr>
        <w:pStyle w:val="NormalParaAR"/>
        <w:rPr>
          <w:b/>
          <w:bCs/>
          <w:rtl/>
        </w:rPr>
      </w:pPr>
      <w:r w:rsidRPr="00977A67">
        <w:rPr>
          <w:rFonts w:hint="cs"/>
          <w:b/>
          <w:bCs/>
          <w:rtl/>
        </w:rPr>
        <w:t>التحويلات</w:t>
      </w:r>
    </w:p>
    <w:p w:rsidR="006715D6" w:rsidRPr="00977A67" w:rsidRDefault="006715D6" w:rsidP="006715D6">
      <w:pPr>
        <w:pStyle w:val="NormalParaAR"/>
        <w:rPr>
          <w:rtl/>
        </w:rPr>
      </w:pPr>
      <w:r w:rsidRPr="00977A67">
        <w:rPr>
          <w:rFonts w:hint="cs"/>
          <w:rtl/>
        </w:rPr>
        <w:t>يبيّن الجدول 2 الوارد في الصفحة التالية تحويلات الموارد المالية بين البرامج خلال الثنائية 2012/13.</w:t>
      </w:r>
    </w:p>
    <w:p w:rsidR="006715D6" w:rsidRPr="00977A67" w:rsidRDefault="006715D6" w:rsidP="006715D6">
      <w:pPr>
        <w:pStyle w:val="NormalParaAR"/>
        <w:rPr>
          <w:rtl/>
        </w:rPr>
      </w:pPr>
      <w:r w:rsidRPr="00977A67">
        <w:rPr>
          <w:rFonts w:hint="cs"/>
          <w:rtl/>
        </w:rPr>
        <w:t>وأجريت التحويلات بين البرامج وفقا للمادة 5.5 من نظام الويبو المالي ولائحته والتي تنص على ما يلي: "</w:t>
      </w:r>
      <w:r w:rsidRPr="00977A67">
        <w:rPr>
          <w:rtl/>
        </w:rPr>
        <w:t xml:space="preserve"> يجوز للمدير العام أن يحول مبالغ من برنامج إلى برنامج آخر من البرنامج والميزانية لأي فترة مالية معينة بحدود خمسة في المائة من المبلغ المطابق لاعتمادات فترة السنتين للبرنامج المستفيد من ذلك، أو بحدود واحد في المائة من إجمالي الميزانية، أيهما أكبر، متى كان ذلك التحويل ضرورياً لضمان حسن سير الأعمال.</w:t>
      </w:r>
      <w:r w:rsidRPr="00977A67">
        <w:rPr>
          <w:rFonts w:hint="cs"/>
          <w:rtl/>
        </w:rPr>
        <w:t>"</w:t>
      </w:r>
      <w:r w:rsidRPr="00977A67">
        <w:rPr>
          <w:rtl/>
        </w:rPr>
        <w:t xml:space="preserve"> </w:t>
      </w:r>
    </w:p>
    <w:p w:rsidR="006715D6" w:rsidRPr="00977A67" w:rsidRDefault="006715D6" w:rsidP="006715D6">
      <w:pPr>
        <w:pStyle w:val="NormalParaAR"/>
        <w:rPr>
          <w:rtl/>
        </w:rPr>
      </w:pPr>
      <w:r w:rsidRPr="00977A67">
        <w:rPr>
          <w:rFonts w:hint="cs"/>
          <w:rtl/>
        </w:rPr>
        <w:t>وفيما يلي التحويلات الرئيسية التي تمت بين البرامج في الثنائية 2012/13:</w:t>
      </w:r>
    </w:p>
    <w:p w:rsidR="006715D6" w:rsidRPr="00977A67" w:rsidRDefault="006715D6" w:rsidP="006715D6">
      <w:pPr>
        <w:pStyle w:val="NormalParaAR"/>
        <w:numPr>
          <w:ilvl w:val="0"/>
          <w:numId w:val="21"/>
        </w:numPr>
      </w:pPr>
      <w:r w:rsidRPr="00977A67">
        <w:rPr>
          <w:rFonts w:hint="cs"/>
          <w:rtl/>
        </w:rPr>
        <w:t>تحويل الموارد إلى البرنامج 3 (حق المؤلف والحقوق المجاورة) لأغراض عقد المؤتمر الدبلوماسي المعني بمعاهدة بيجين بشأن الأداء السمعي البصري (معاهدة بيجين) و</w:t>
      </w:r>
      <w:r w:rsidRPr="00977A67">
        <w:rPr>
          <w:rtl/>
        </w:rPr>
        <w:t xml:space="preserve"> معاهدة مراكش لتيسير النفاذ إلى المصنفات المنشورة لفائدة الأشخاص المكفوفين أو معاقي البصر أو ذوي إعاقات أخرى في قراءة المطبوعات</w:t>
      </w:r>
      <w:r w:rsidRPr="00977A67">
        <w:rPr>
          <w:rFonts w:hint="cs"/>
          <w:rtl/>
        </w:rPr>
        <w:t xml:space="preserve"> (معاهدة مراكش لمعاقي البصر). وعُقد المؤتمر الدبلوماسي لإبرام معاهدة بيجين في مدينة بيجين بالصين في الفترة من 20 إلى 26</w:t>
      </w:r>
      <w:r w:rsidRPr="00977A67">
        <w:rPr>
          <w:rFonts w:hint="eastAsia"/>
          <w:rtl/>
        </w:rPr>
        <w:t> </w:t>
      </w:r>
      <w:r w:rsidRPr="00977A67">
        <w:rPr>
          <w:rFonts w:hint="cs"/>
          <w:rtl/>
        </w:rPr>
        <w:t>يونيو 2012، وعُقد المؤتمر الدبلوماسي لإبرام معاهدة مراكش لمعاقي البصر في مدينة مراكش بالمغرب في الفترة من 17 إلى 28</w:t>
      </w:r>
      <w:r w:rsidRPr="00977A67">
        <w:rPr>
          <w:rFonts w:hint="eastAsia"/>
          <w:rtl/>
        </w:rPr>
        <w:t> </w:t>
      </w:r>
      <w:r w:rsidRPr="00977A67">
        <w:rPr>
          <w:rFonts w:hint="cs"/>
          <w:rtl/>
        </w:rPr>
        <w:t>يونيو 2013. واستُمدت التحويلات التي تمت إلى البرنامج 3 من البرنامج 2 ( (العلامات التجارية والتصاميم الصناعية والبيانات الجغرافية) والبرنامج 4 (المعارف التقليدية وأشكال التعبير الثقافي التقليدي والموارد الوراثية) نظرا إلى إرجاء عقد مؤتمر دبلوماسي محتمل لاعتماد معاهدة دولية بشأن قانون التصاميم الصناعية (البرنامج 2) ومؤتمر محتمل آخر بشأن الموارد الوراثية والمعارف التقليدية وأشكال التعبير الثقافي التقليدي (البرنامج 4).</w:t>
      </w:r>
    </w:p>
    <w:p w:rsidR="006715D6" w:rsidRPr="00977A67" w:rsidRDefault="006715D6" w:rsidP="006715D6">
      <w:pPr>
        <w:pStyle w:val="NormalParaAR"/>
        <w:numPr>
          <w:ilvl w:val="0"/>
          <w:numId w:val="21"/>
        </w:numPr>
      </w:pPr>
      <w:r w:rsidRPr="00977A67">
        <w:rPr>
          <w:rFonts w:hint="cs"/>
          <w:rtl/>
        </w:rPr>
        <w:t>توفير الموارد لمشروع جدول أعمال التنمية الخاص بت</w:t>
      </w:r>
      <w:r w:rsidRPr="00977A67">
        <w:rPr>
          <w:rtl/>
        </w:rPr>
        <w:t>عزيز القطاع السمعي البصري وتطويره في بوركينا فاصو وبعض البلدان الأفريقية</w:t>
      </w:r>
      <w:r w:rsidRPr="00977A67">
        <w:rPr>
          <w:rFonts w:hint="cs"/>
          <w:rtl/>
        </w:rPr>
        <w:t xml:space="preserve"> (البرنامج 3)، الذي وافقت عليه اللجنة المعنية بالتنمية والملكية الفكرية في دورتها التاسعة، فضلا عن توفير موارد إضافية لمشروعين قائمين هما: </w:t>
      </w:r>
      <w:r w:rsidRPr="00977A67">
        <w:rPr>
          <w:rtl/>
        </w:rPr>
        <w:t>مشروع جدول أعمال التنمية بشأن الملكية الفكرية ونقل التكنولوجيا</w:t>
      </w:r>
      <w:r w:rsidRPr="00977A67">
        <w:rPr>
          <w:rFonts w:hint="cs"/>
          <w:rtl/>
        </w:rPr>
        <w:t xml:space="preserve">: </w:t>
      </w:r>
      <w:r w:rsidRPr="00977A67">
        <w:rPr>
          <w:rtl/>
        </w:rPr>
        <w:t>التحديات المشتركة وبناء الحلول</w:t>
      </w:r>
      <w:r w:rsidRPr="00977A67">
        <w:rPr>
          <w:rFonts w:hint="cs"/>
          <w:rtl/>
        </w:rPr>
        <w:t xml:space="preserve"> (البرنامج 30)؛ ومشروع جدول أعمال التنمية الخاص بالملكية الفكرية وهجرة الأدمغة (البرنامج 16).</w:t>
      </w:r>
    </w:p>
    <w:p w:rsidR="006715D6" w:rsidRPr="00977A67" w:rsidRDefault="006715D6" w:rsidP="006715D6">
      <w:pPr>
        <w:pStyle w:val="NormalParaAR"/>
        <w:numPr>
          <w:ilvl w:val="0"/>
          <w:numId w:val="21"/>
        </w:numPr>
      </w:pPr>
      <w:r w:rsidRPr="00977A67">
        <w:rPr>
          <w:rFonts w:hint="cs"/>
          <w:rtl/>
        </w:rPr>
        <w:t>تجسّد مخصصات ميزانية 2012/13 لخلاف الموظفين بعد التحويلات تسويات بالتخفيض لأغراض رفع الفعالية من حيث التكلفة على صعيد معظم البرامج، وذلك طبقا لالتزام المنظمة ب</w:t>
      </w:r>
      <w:r w:rsidRPr="00977A67">
        <w:rPr>
          <w:rtl/>
        </w:rPr>
        <w:t>خفض النفقات بمبلغ</w:t>
      </w:r>
      <w:r w:rsidRPr="00977A67">
        <w:rPr>
          <w:rFonts w:hint="cs"/>
          <w:rtl/>
        </w:rPr>
        <w:t xml:space="preserve"> يساوي</w:t>
      </w:r>
      <w:r w:rsidRPr="00977A67">
        <w:rPr>
          <w:rtl/>
        </w:rPr>
        <w:t xml:space="preserve"> 10,2 مليون فرنك سويسري</w:t>
      </w:r>
      <w:r w:rsidRPr="00977A67">
        <w:rPr>
          <w:rFonts w:hint="cs"/>
          <w:rtl/>
        </w:rPr>
        <w:t xml:space="preserve"> في الثنائية 2012/13. وتم رفع فعالية التكلفة وما يرتبط بذلك من وفورات في مجالات مثل بعثات الموظفين وأسفار الغير، وتنظيم الاجتماعات والتظاهرات، وشراء السلع والخدمات، والاتصالات السلكية واللاسلكية، وخدمات تكنولوجيا المعلومات والاتصالات، وخدمة إرسال البريد، وخدمات الترجمة، وإدارة المباني.</w:t>
      </w:r>
    </w:p>
    <w:p w:rsidR="006715D6" w:rsidRPr="00977A67" w:rsidRDefault="006715D6" w:rsidP="006715D6">
      <w:pPr>
        <w:pStyle w:val="NormalParaAR"/>
        <w:numPr>
          <w:ilvl w:val="0"/>
          <w:numId w:val="21"/>
        </w:numPr>
      </w:pPr>
      <w:r w:rsidRPr="00977A67">
        <w:rPr>
          <w:rFonts w:hint="cs"/>
          <w:rtl/>
        </w:rPr>
        <w:t>تحويل موارد إضافية لإعادة الاعتمادات الخاصة بمستحقات الموظفين بعد نهاية الخدمة إلى حالتها، علما بأنّ تلك المستحقات كانت مرصودة في الميزانية بمستوى أدنى مقارنة بالثنائية السابقة. وأثّرت تلك التحويلات، التي تعلّقت بموارد الموظفين، في جميع البرامج ما عدا البرنامج 29 الذي يم يكن لديه أية وظائف مموّلة من الميزانية.</w:t>
      </w:r>
    </w:p>
    <w:p w:rsidR="006715D6" w:rsidRPr="00977A67" w:rsidRDefault="006715D6" w:rsidP="006715D6">
      <w:pPr>
        <w:pStyle w:val="NormalParaAR"/>
        <w:numPr>
          <w:ilvl w:val="0"/>
          <w:numId w:val="21"/>
        </w:numPr>
      </w:pPr>
      <w:r w:rsidRPr="00977A67">
        <w:rPr>
          <w:rFonts w:hint="cs"/>
          <w:rtl/>
        </w:rPr>
        <w:t>تحويل موارد إضافية لأغراض خدمات الترجمة في قطاع البراءات وخدمات المؤتمرات واللغات بسبب ارتفاع عبء العمل، كما هو مبيّن ضمن البرنامج 5 (نظام معاهدة التعاون بشأن البراءات) والبرنامج 27 (خدمات المؤتمرات واللغات)، وذلك نتيجة ارتفاع عدد الطلبات وتنفيذ سياسة الويبو الخاصة باللغات، على التوالي.</w:t>
      </w:r>
    </w:p>
    <w:p w:rsidR="006715D6" w:rsidRPr="00977A67" w:rsidRDefault="006715D6" w:rsidP="006715D6">
      <w:pPr>
        <w:pStyle w:val="NormalParaAR"/>
        <w:rPr>
          <w:rtl/>
        </w:rPr>
      </w:pPr>
      <w:r w:rsidRPr="00977A67">
        <w:rPr>
          <w:rFonts w:hint="cs"/>
          <w:rtl/>
        </w:rPr>
        <w:t>ويرد المزيد من التفاصيل بشأن تحويلات الموارد بحسب كل برنامج في تقرير أداء البرنامج للثنائية 2012/13.</w:t>
      </w:r>
    </w:p>
    <w:p w:rsidR="006715D6" w:rsidRPr="00977A67" w:rsidRDefault="006715D6" w:rsidP="006715D6">
      <w:pPr>
        <w:pStyle w:val="NormalParaAR"/>
        <w:rPr>
          <w:rtl/>
        </w:rPr>
        <w:sectPr w:rsidR="006715D6" w:rsidRPr="00977A67" w:rsidSect="00EB7752">
          <w:headerReference w:type="even" r:id="rId30"/>
          <w:headerReference w:type="default" r:id="rId31"/>
          <w:headerReference w:type="first" r:id="rId32"/>
          <w:pgSz w:w="11907" w:h="16840" w:code="9"/>
          <w:pgMar w:top="567" w:right="1418" w:bottom="1418" w:left="1134" w:header="510" w:footer="1021" w:gutter="0"/>
          <w:cols w:space="720"/>
          <w:titlePg/>
          <w:docGrid w:linePitch="299"/>
        </w:sectPr>
      </w:pPr>
    </w:p>
    <w:p w:rsidR="006715D6" w:rsidRPr="00977A67" w:rsidRDefault="006715D6" w:rsidP="006715D6">
      <w:pPr>
        <w:pStyle w:val="Heading2AR"/>
        <w:tabs>
          <w:tab w:val="right" w:pos="1133"/>
        </w:tabs>
        <w:jc w:val="center"/>
        <w:outlineLvl w:val="1"/>
        <w:rPr>
          <w:b/>
          <w:bCs/>
          <w:sz w:val="36"/>
          <w:szCs w:val="36"/>
          <w:rtl/>
        </w:rPr>
      </w:pPr>
      <w:bookmarkStart w:id="23" w:name="_Toc394905491"/>
      <w:bookmarkStart w:id="24" w:name="_Toc394911922"/>
      <w:bookmarkStart w:id="25" w:name="_Toc394914253"/>
      <w:r w:rsidRPr="00977A67">
        <w:rPr>
          <w:b/>
          <w:bCs/>
          <w:sz w:val="36"/>
          <w:szCs w:val="36"/>
          <w:rtl/>
        </w:rPr>
        <w:t xml:space="preserve">الجدول </w:t>
      </w:r>
      <w:r w:rsidRPr="00977A67">
        <w:rPr>
          <w:rFonts w:hint="cs"/>
          <w:b/>
          <w:bCs/>
          <w:sz w:val="36"/>
          <w:szCs w:val="36"/>
          <w:rtl/>
        </w:rPr>
        <w:t>2</w:t>
      </w:r>
      <w:r w:rsidRPr="00977A67">
        <w:rPr>
          <w:b/>
          <w:bCs/>
          <w:sz w:val="36"/>
          <w:szCs w:val="36"/>
          <w:rtl/>
        </w:rPr>
        <w:tab/>
      </w:r>
      <w:r w:rsidRPr="00977A67">
        <w:rPr>
          <w:rFonts w:hint="cs"/>
          <w:b/>
          <w:bCs/>
          <w:sz w:val="36"/>
          <w:szCs w:val="36"/>
          <w:rtl/>
        </w:rPr>
        <w:tab/>
      </w:r>
      <w:r w:rsidRPr="00977A67">
        <w:rPr>
          <w:b/>
          <w:bCs/>
          <w:sz w:val="36"/>
          <w:szCs w:val="36"/>
          <w:rtl/>
        </w:rPr>
        <w:t xml:space="preserve">الميزانية المعتمدة والتحويلات بحسب كل برنامج – الثنائية </w:t>
      </w:r>
      <w:r w:rsidRPr="00977A67">
        <w:rPr>
          <w:rFonts w:hint="cs"/>
          <w:b/>
          <w:bCs/>
          <w:sz w:val="36"/>
          <w:szCs w:val="36"/>
          <w:rtl/>
        </w:rPr>
        <w:t>2012/13</w:t>
      </w:r>
      <w:bookmarkEnd w:id="23"/>
      <w:bookmarkEnd w:id="24"/>
      <w:bookmarkEnd w:id="25"/>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7376BD57" wp14:editId="2D4AA339">
            <wp:extent cx="8963246" cy="51567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74986" cy="5163545"/>
                    </a:xfrm>
                    <a:prstGeom prst="rect">
                      <a:avLst/>
                    </a:prstGeom>
                    <a:noFill/>
                    <a:ln>
                      <a:noFill/>
                    </a:ln>
                  </pic:spPr>
                </pic:pic>
              </a:graphicData>
            </a:graphic>
          </wp:inline>
        </w:drawing>
      </w:r>
    </w:p>
    <w:p w:rsidR="006715D6" w:rsidRPr="00977A67" w:rsidRDefault="006715D6" w:rsidP="006715D6">
      <w:pPr>
        <w:pStyle w:val="Heading2AR"/>
        <w:tabs>
          <w:tab w:val="right" w:pos="1133"/>
        </w:tabs>
        <w:jc w:val="center"/>
        <w:outlineLvl w:val="1"/>
        <w:rPr>
          <w:b/>
          <w:bCs/>
          <w:sz w:val="36"/>
          <w:szCs w:val="36"/>
          <w:rtl/>
        </w:rPr>
      </w:pPr>
      <w:bookmarkStart w:id="26" w:name="_Toc394905492"/>
      <w:bookmarkStart w:id="27" w:name="_Toc394911923"/>
      <w:bookmarkStart w:id="28" w:name="_Toc394914254"/>
      <w:r w:rsidRPr="00977A67">
        <w:rPr>
          <w:b/>
          <w:bCs/>
          <w:sz w:val="36"/>
          <w:szCs w:val="36"/>
          <w:rtl/>
        </w:rPr>
        <w:t xml:space="preserve">الجدول </w:t>
      </w:r>
      <w:r w:rsidRPr="00977A67">
        <w:rPr>
          <w:rFonts w:hint="cs"/>
          <w:b/>
          <w:bCs/>
          <w:sz w:val="36"/>
          <w:szCs w:val="36"/>
          <w:rtl/>
        </w:rPr>
        <w:t>3</w:t>
      </w:r>
      <w:r w:rsidRPr="00977A67">
        <w:rPr>
          <w:b/>
          <w:bCs/>
          <w:sz w:val="36"/>
          <w:szCs w:val="36"/>
          <w:rtl/>
        </w:rPr>
        <w:tab/>
      </w:r>
      <w:r w:rsidRPr="00977A67">
        <w:rPr>
          <w:rFonts w:hint="cs"/>
          <w:b/>
          <w:bCs/>
          <w:sz w:val="36"/>
          <w:szCs w:val="36"/>
          <w:rtl/>
        </w:rPr>
        <w:tab/>
        <w:t>تقرير عن الوظائف</w:t>
      </w:r>
      <w:r w:rsidRPr="00977A67">
        <w:rPr>
          <w:b/>
          <w:bCs/>
          <w:sz w:val="36"/>
          <w:szCs w:val="36"/>
          <w:rtl/>
        </w:rPr>
        <w:t xml:space="preserve"> بحسب كل برنامج – الثنائية </w:t>
      </w:r>
      <w:r w:rsidRPr="00977A67">
        <w:rPr>
          <w:rFonts w:hint="cs"/>
          <w:b/>
          <w:bCs/>
          <w:sz w:val="36"/>
          <w:szCs w:val="36"/>
          <w:rtl/>
        </w:rPr>
        <w:t>2012/13</w:t>
      </w:r>
      <w:bookmarkEnd w:id="26"/>
      <w:bookmarkEnd w:id="27"/>
      <w:bookmarkEnd w:id="28"/>
    </w:p>
    <w:p w:rsidR="006715D6" w:rsidRDefault="006715D6" w:rsidP="006715D6">
      <w:pPr>
        <w:pStyle w:val="NormalParaAR"/>
        <w:spacing w:line="240" w:lineRule="auto"/>
        <w:jc w:val="center"/>
        <w:rPr>
          <w:rtl/>
        </w:rPr>
        <w:sectPr w:rsidR="006715D6" w:rsidSect="005356F1">
          <w:headerReference w:type="first" r:id="rId34"/>
          <w:pgSz w:w="16840" w:h="11907" w:orient="landscape" w:code="9"/>
          <w:pgMar w:top="1134" w:right="567" w:bottom="1418" w:left="1418" w:header="510" w:footer="1021" w:gutter="0"/>
          <w:cols w:space="720"/>
          <w:titlePg/>
          <w:docGrid w:linePitch="299"/>
        </w:sectPr>
      </w:pPr>
      <w:r w:rsidRPr="00977A67">
        <w:rPr>
          <w:rFonts w:hint="cs"/>
          <w:noProof/>
          <w:rtl/>
        </w:rPr>
        <w:drawing>
          <wp:inline distT="0" distB="0" distL="0" distR="0" wp14:anchorId="23649BD9" wp14:editId="65BB9B03">
            <wp:extent cx="9432925" cy="5249465"/>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32925" cy="5249465"/>
                    </a:xfrm>
                    <a:prstGeom prst="rect">
                      <a:avLst/>
                    </a:prstGeom>
                    <a:noFill/>
                    <a:ln>
                      <a:noFill/>
                    </a:ln>
                  </pic:spPr>
                </pic:pic>
              </a:graphicData>
            </a:graphic>
          </wp:inline>
        </w:drawing>
      </w:r>
    </w:p>
    <w:p w:rsidR="006715D6" w:rsidRPr="00977A67" w:rsidRDefault="006715D6" w:rsidP="006715D6">
      <w:pPr>
        <w:pStyle w:val="Heading1AR"/>
        <w:outlineLvl w:val="0"/>
        <w:rPr>
          <w:rtl/>
        </w:rPr>
      </w:pPr>
      <w:bookmarkStart w:id="29" w:name="_Toc394905493"/>
      <w:bookmarkStart w:id="30" w:name="_Toc394911924"/>
      <w:bookmarkStart w:id="31" w:name="_Toc394914255"/>
      <w:r w:rsidRPr="00977A67">
        <w:rPr>
          <w:rFonts w:hint="cs"/>
          <w:rtl/>
        </w:rPr>
        <w:t>النفقات</w:t>
      </w:r>
      <w:bookmarkEnd w:id="29"/>
      <w:bookmarkEnd w:id="30"/>
      <w:bookmarkEnd w:id="31"/>
    </w:p>
    <w:p w:rsidR="006715D6" w:rsidRPr="00977A67" w:rsidRDefault="006715D6" w:rsidP="006715D6">
      <w:pPr>
        <w:pStyle w:val="NormalParaAR"/>
        <w:rPr>
          <w:rtl/>
        </w:rPr>
      </w:pPr>
      <w:r w:rsidRPr="00977A67">
        <w:rPr>
          <w:rFonts w:hint="cs"/>
          <w:rtl/>
        </w:rPr>
        <w:t>بلغت النفقات الإجمالية من الميزانية للثنائية 2012/13 ما قدره 611,8</w:t>
      </w:r>
      <w:r w:rsidRPr="00977A67">
        <w:rPr>
          <w:rFonts w:hint="eastAsia"/>
          <w:rtl/>
        </w:rPr>
        <w:t> </w:t>
      </w:r>
      <w:r w:rsidRPr="00977A67">
        <w:rPr>
          <w:rFonts w:hint="cs"/>
          <w:rtl/>
        </w:rPr>
        <w:t>مليون فرنك سويسري. ويمثّل ذلك المبلغ نسبة استخدام تساوي 94,5 بالمائة من الميزانية المعتمدة التي بلغت قيمتها 647,4 مليون فرنك سويسري.</w:t>
      </w:r>
    </w:p>
    <w:p w:rsidR="006715D6" w:rsidRPr="00977A67" w:rsidRDefault="006715D6" w:rsidP="006715D6">
      <w:pPr>
        <w:pStyle w:val="NormalParaAR"/>
        <w:rPr>
          <w:rtl/>
        </w:rPr>
      </w:pPr>
      <w:r w:rsidRPr="00977A67">
        <w:rPr>
          <w:rFonts w:hint="cs"/>
          <w:rtl/>
        </w:rPr>
        <w:t>ومضت المنظمة في التعجيل بتنفيذ مختلف تدابير رفع الفعالية من حيث التكلفة استجابة للتوجيهات الصادرة عن الدول الأعضاء لدى الموافقة على برنامج وميزانية الثنائية. وقُدمت إلى الدول الأعضاء التقارير المرحلية المفصّلة التالية عن حالة تنفيذ تدابير رفع الفعالية من حيث التكلفة: استعراض مالي لعام 2012؛ تقرير مرحلي عن تنفيذ تدابير رفع الفعالية من حيث التكلفة، سبتمبر 2012 (الوثيقة</w:t>
      </w:r>
      <w:r w:rsidRPr="00977A67">
        <w:rPr>
          <w:rFonts w:hint="eastAsia"/>
          <w:rtl/>
        </w:rPr>
        <w:t> </w:t>
      </w:r>
      <w:r w:rsidRPr="00977A67">
        <w:t>WO/PBC/19/9</w:t>
      </w:r>
      <w:r w:rsidRPr="00977A67">
        <w:rPr>
          <w:rFonts w:hint="cs"/>
          <w:rtl/>
        </w:rPr>
        <w:t>) وتقرير عن تنفيذ تدابير فعالية التكاليف، سبتمبر 2013 (الوثيقة</w:t>
      </w:r>
      <w:r w:rsidRPr="00977A67">
        <w:rPr>
          <w:rFonts w:hint="eastAsia"/>
          <w:rtl/>
        </w:rPr>
        <w:t> </w:t>
      </w:r>
      <w:r w:rsidRPr="00977A67">
        <w:t>WO/PBC/21/19</w:t>
      </w:r>
      <w:r w:rsidRPr="00977A67">
        <w:rPr>
          <w:rFonts w:hint="cs"/>
          <w:rtl/>
        </w:rPr>
        <w:t>). ويرد التقرير النهائي عن ما نُفذ خلال الثنائية 2012/13 من تدابير رفع فعالية التكلفة في تقرير أداء البرنامج للثنائية 2012/13.</w:t>
      </w:r>
    </w:p>
    <w:p w:rsidR="006715D6" w:rsidRPr="00977A67" w:rsidRDefault="006715D6" w:rsidP="006715D6">
      <w:pPr>
        <w:pStyle w:val="NormalParaAR"/>
        <w:rPr>
          <w:rtl/>
        </w:rPr>
      </w:pPr>
      <w:r w:rsidRPr="00977A67">
        <w:rPr>
          <w:rFonts w:hint="cs"/>
          <w:rtl/>
        </w:rPr>
        <w:t>ويقدم الجدول 4 لمحة عامة عن الميزانية المعتمدة 2012/13 والميزانية بعد التحويلات والنفقات ونسبة استخدام الميزانية بحسب كل برنامج. وترد الشروح المفصّلة عن استخدام الموارد بحسب كل برنامج وتحقيق النتائج المرتقبة في تقرير أداء البرنامج للثنائية 2012/13.</w:t>
      </w:r>
    </w:p>
    <w:p w:rsidR="006715D6" w:rsidRPr="00977A67" w:rsidRDefault="006715D6" w:rsidP="006715D6">
      <w:pPr>
        <w:pStyle w:val="NormalParaAR"/>
        <w:rPr>
          <w:rtl/>
        </w:rPr>
      </w:pPr>
      <w:r w:rsidRPr="00977A67">
        <w:rPr>
          <w:rFonts w:hint="cs"/>
          <w:rtl/>
        </w:rPr>
        <w:t>ويقارن الجدول 5 بين الميزانية المعتمدة 2012/13 والميزانية بعد التحويلات والنفقات الفعلية بحسب فئات التكاليف.</w:t>
      </w:r>
    </w:p>
    <w:p w:rsidR="006715D6" w:rsidRPr="00977A67" w:rsidRDefault="006715D6" w:rsidP="006715D6">
      <w:pPr>
        <w:pStyle w:val="Heading2AR"/>
        <w:tabs>
          <w:tab w:val="right" w:pos="1133"/>
        </w:tabs>
        <w:jc w:val="center"/>
        <w:outlineLvl w:val="1"/>
        <w:rPr>
          <w:b/>
          <w:bCs/>
          <w:sz w:val="36"/>
          <w:szCs w:val="36"/>
          <w:rtl/>
        </w:rPr>
      </w:pPr>
      <w:bookmarkStart w:id="32" w:name="_Toc394905494"/>
      <w:bookmarkStart w:id="33" w:name="_Toc394911925"/>
      <w:bookmarkStart w:id="34" w:name="_Toc394914256"/>
      <w:r w:rsidRPr="00977A67">
        <w:rPr>
          <w:b/>
          <w:bCs/>
          <w:sz w:val="36"/>
          <w:szCs w:val="36"/>
          <w:rtl/>
        </w:rPr>
        <w:t xml:space="preserve">الجدول </w:t>
      </w:r>
      <w:r w:rsidRPr="00977A67">
        <w:rPr>
          <w:rFonts w:hint="cs"/>
          <w:b/>
          <w:bCs/>
          <w:sz w:val="36"/>
          <w:szCs w:val="36"/>
          <w:rtl/>
        </w:rPr>
        <w:t>4</w:t>
      </w:r>
      <w:r w:rsidRPr="00977A67">
        <w:rPr>
          <w:b/>
          <w:bCs/>
          <w:sz w:val="36"/>
          <w:szCs w:val="36"/>
          <w:rtl/>
        </w:rPr>
        <w:tab/>
      </w:r>
      <w:r w:rsidRPr="00977A67">
        <w:rPr>
          <w:rFonts w:hint="cs"/>
          <w:b/>
          <w:bCs/>
          <w:sz w:val="36"/>
          <w:szCs w:val="36"/>
          <w:rtl/>
        </w:rPr>
        <w:tab/>
      </w:r>
      <w:r w:rsidRPr="00977A67">
        <w:rPr>
          <w:b/>
          <w:bCs/>
          <w:sz w:val="36"/>
          <w:szCs w:val="36"/>
          <w:rtl/>
        </w:rPr>
        <w:t xml:space="preserve">تقرير عن الميزانية والنفقات بحسب كل برنامج – الثنائية </w:t>
      </w:r>
      <w:r w:rsidRPr="00977A67">
        <w:rPr>
          <w:rFonts w:hint="cs"/>
          <w:b/>
          <w:bCs/>
          <w:sz w:val="36"/>
          <w:szCs w:val="36"/>
          <w:rtl/>
        </w:rPr>
        <w:t>2012/13</w:t>
      </w:r>
      <w:bookmarkEnd w:id="32"/>
      <w:bookmarkEnd w:id="33"/>
      <w:bookmarkEnd w:id="34"/>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6936B15B" wp14:editId="723EE625">
            <wp:extent cx="5943600" cy="457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4569558"/>
                    </a:xfrm>
                    <a:prstGeom prst="rect">
                      <a:avLst/>
                    </a:prstGeom>
                    <a:noFill/>
                    <a:ln>
                      <a:noFill/>
                    </a:ln>
                  </pic:spPr>
                </pic:pic>
              </a:graphicData>
            </a:graphic>
          </wp:inline>
        </w:drawing>
      </w:r>
    </w:p>
    <w:p w:rsidR="006715D6" w:rsidRPr="00977A67" w:rsidRDefault="006715D6" w:rsidP="006715D6">
      <w:pPr>
        <w:pStyle w:val="Heading2AR"/>
        <w:tabs>
          <w:tab w:val="right" w:pos="1133"/>
        </w:tabs>
        <w:jc w:val="center"/>
        <w:outlineLvl w:val="1"/>
        <w:rPr>
          <w:b/>
          <w:bCs/>
          <w:sz w:val="36"/>
          <w:szCs w:val="36"/>
          <w:rtl/>
        </w:rPr>
      </w:pPr>
      <w:bookmarkStart w:id="35" w:name="_Toc394905495"/>
      <w:bookmarkStart w:id="36" w:name="_Toc394911926"/>
      <w:bookmarkStart w:id="37" w:name="_Toc394914257"/>
      <w:r w:rsidRPr="00977A67">
        <w:rPr>
          <w:b/>
          <w:bCs/>
          <w:sz w:val="36"/>
          <w:szCs w:val="36"/>
          <w:rtl/>
        </w:rPr>
        <w:t xml:space="preserve">الجدول </w:t>
      </w:r>
      <w:r w:rsidRPr="00977A67">
        <w:rPr>
          <w:rFonts w:hint="cs"/>
          <w:b/>
          <w:bCs/>
          <w:sz w:val="36"/>
          <w:szCs w:val="36"/>
          <w:rtl/>
        </w:rPr>
        <w:t>5</w:t>
      </w:r>
      <w:r w:rsidRPr="00977A67">
        <w:rPr>
          <w:b/>
          <w:bCs/>
          <w:sz w:val="36"/>
          <w:szCs w:val="36"/>
          <w:rtl/>
        </w:rPr>
        <w:tab/>
      </w:r>
      <w:r>
        <w:rPr>
          <w:rFonts w:hint="cs"/>
          <w:b/>
          <w:bCs/>
          <w:sz w:val="36"/>
          <w:szCs w:val="36"/>
          <w:rtl/>
        </w:rPr>
        <w:tab/>
      </w:r>
      <w:r w:rsidRPr="00977A67">
        <w:rPr>
          <w:b/>
          <w:bCs/>
          <w:sz w:val="36"/>
          <w:szCs w:val="36"/>
          <w:rtl/>
        </w:rPr>
        <w:t xml:space="preserve">النفقات بحسب غرض الإنفاق – الثنائية </w:t>
      </w:r>
      <w:r w:rsidRPr="00977A67">
        <w:rPr>
          <w:rFonts w:hint="cs"/>
          <w:b/>
          <w:bCs/>
          <w:sz w:val="36"/>
          <w:szCs w:val="36"/>
          <w:rtl/>
        </w:rPr>
        <w:t>2012/13</w:t>
      </w:r>
      <w:bookmarkEnd w:id="35"/>
      <w:bookmarkEnd w:id="36"/>
      <w:bookmarkEnd w:id="37"/>
    </w:p>
    <w:p w:rsidR="006715D6" w:rsidRPr="00977A67" w:rsidRDefault="006715D6" w:rsidP="006715D6">
      <w:pPr>
        <w:pStyle w:val="NormalParaAR"/>
        <w:jc w:val="center"/>
        <w:rPr>
          <w:i/>
          <w:iCs/>
          <w:rtl/>
        </w:rPr>
      </w:pPr>
      <w:r w:rsidRPr="00977A67">
        <w:rPr>
          <w:rFonts w:hint="cs"/>
          <w:i/>
          <w:i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720FFD78" wp14:editId="6A7BD150">
            <wp:extent cx="5939594" cy="458263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4583273"/>
                    </a:xfrm>
                    <a:prstGeom prst="rect">
                      <a:avLst/>
                    </a:prstGeom>
                    <a:noFill/>
                    <a:ln>
                      <a:noFill/>
                    </a:ln>
                  </pic:spPr>
                </pic:pic>
              </a:graphicData>
            </a:graphic>
          </wp:inline>
        </w:drawing>
      </w:r>
    </w:p>
    <w:p w:rsidR="006715D6" w:rsidRPr="00977A67" w:rsidRDefault="006715D6" w:rsidP="006715D6">
      <w:pPr>
        <w:pStyle w:val="Heading2AR"/>
        <w:outlineLvl w:val="1"/>
        <w:rPr>
          <w:b/>
          <w:bCs/>
          <w:sz w:val="36"/>
          <w:szCs w:val="36"/>
          <w:rtl/>
        </w:rPr>
      </w:pPr>
      <w:bookmarkStart w:id="38" w:name="_Toc394905496"/>
      <w:bookmarkStart w:id="39" w:name="_Toc394911927"/>
      <w:bookmarkStart w:id="40" w:name="_Toc394914258"/>
      <w:r w:rsidRPr="00977A67">
        <w:rPr>
          <w:rFonts w:hint="cs"/>
          <w:b/>
          <w:bCs/>
          <w:sz w:val="36"/>
          <w:szCs w:val="36"/>
          <w:rtl/>
        </w:rPr>
        <w:t>الموارد البشرية</w:t>
      </w:r>
      <w:bookmarkEnd w:id="38"/>
      <w:bookmarkEnd w:id="39"/>
      <w:bookmarkEnd w:id="40"/>
    </w:p>
    <w:p w:rsidR="006715D6" w:rsidRPr="00977A67" w:rsidRDefault="006715D6" w:rsidP="006715D6">
      <w:pPr>
        <w:pStyle w:val="NormalParaAR"/>
        <w:rPr>
          <w:rtl/>
        </w:rPr>
      </w:pPr>
      <w:r w:rsidRPr="00977A67">
        <w:rPr>
          <w:rFonts w:hint="cs"/>
          <w:rtl/>
        </w:rPr>
        <w:t>وصلت تكاليف الموظفين في الثنائية 2012/13 إلى 413,4 مليون فرنك سويسري وفقا لكل من الميزانية المعتمدة للثنائية</w:t>
      </w:r>
      <w:r w:rsidRPr="00977A67">
        <w:rPr>
          <w:rFonts w:hint="eastAsia"/>
          <w:rtl/>
        </w:rPr>
        <w:t> </w:t>
      </w:r>
      <w:r w:rsidRPr="00977A67">
        <w:rPr>
          <w:rFonts w:hint="cs"/>
          <w:rtl/>
        </w:rPr>
        <w:t>2012/13 والميزانية بعد التحويلات. وتجاوزت نفقات الموظفين في الثنائية 2012/13 نفقات الموظفين في الثنائية</w:t>
      </w:r>
      <w:r w:rsidRPr="00977A67">
        <w:rPr>
          <w:rFonts w:hint="eastAsia"/>
          <w:rtl/>
        </w:rPr>
        <w:t> </w:t>
      </w:r>
      <w:r w:rsidRPr="00977A67">
        <w:rPr>
          <w:rFonts w:hint="cs"/>
          <w:rtl/>
        </w:rPr>
        <w:t>2010/11 (396,4 مليون فرنك سويسري) بمبلغ قدره 17 مليون فرنك سويسري. وتعود تلك الزيادة أساسا إلى أثر الزيادات القانونية وزيادة الدرجات وإصلاح نظام العقود وتسوية أوضاع الموظفين العاملين لمدة طويلة بعقود مؤقتة وحالات إعادة تصنيف الوظائف.</w:t>
      </w:r>
    </w:p>
    <w:p w:rsidR="006715D6" w:rsidRPr="00977A67" w:rsidRDefault="006715D6" w:rsidP="006715D6">
      <w:pPr>
        <w:pStyle w:val="NormalParaAR"/>
        <w:rPr>
          <w:rtl/>
        </w:rPr>
      </w:pPr>
      <w:r w:rsidRPr="00977A67">
        <w:rPr>
          <w:rFonts w:hint="cs"/>
          <w:rtl/>
        </w:rPr>
        <w:t>ووافقت لجنة التنسيق، في دورتها الثانية والأربعين المعقودة في سبتمبر-أكتوبر 2011، على التعديلات المقترح إدخالها على نظام الموظفين ودخولها حيّز النفاذ اعتبارا من يناير 2012. ومن جملة التعديلات المقترحة إدراج نوعين جديدين من أنواع التعيين، وهما التعيين المؤقت والتعيين المستمر، طبقا للإطار التعاقدي الذي أوصت به لجنة الخدمة المدنية الدولية. وورد في الوثيقة</w:t>
      </w:r>
      <w:r w:rsidRPr="00977A67">
        <w:rPr>
          <w:rFonts w:hint="eastAsia"/>
          <w:rtl/>
        </w:rPr>
        <w:t> </w:t>
      </w:r>
      <w:r w:rsidRPr="00977A67">
        <w:t>WO/CC/65/1</w:t>
      </w:r>
      <w:r w:rsidRPr="00977A67">
        <w:rPr>
          <w:rFonts w:hint="cs"/>
          <w:rtl/>
        </w:rPr>
        <w:t xml:space="preserve"> أنّ "الغرض من التعديلات المقترحة هو تمكين الويبو، أوّلا، من تحسين إطارها التعاقدي وإجراءاتها الخاصة بالتوظيف. وستكون الفوائد المرتقبة: شفافية في أنواع العقود؛ وتحسين مستحقات الموظفين المؤقتين؛ وزيادة الكفاءة في التوظيف؛ وتسوية أوضاع الموظفين العاملين لمدة طويلة بعقود مؤقتة." وفي أواخر الثنائية، كان شطر كبير من عملية إصلاح نظام العقود قد أنجز بالفعل.</w:t>
      </w:r>
    </w:p>
    <w:p w:rsidR="006715D6" w:rsidRPr="00977A67" w:rsidRDefault="006715D6" w:rsidP="006715D6">
      <w:pPr>
        <w:pStyle w:val="NormalParaAR"/>
        <w:rPr>
          <w:rtl/>
        </w:rPr>
      </w:pPr>
      <w:r w:rsidRPr="00977A67">
        <w:rPr>
          <w:rFonts w:hint="cs"/>
          <w:rtl/>
        </w:rPr>
        <w:t>وتضمنت الميزانية المعتمدة 2012/13 اعتمادات  لتسوية أوضاع نحو 60 موظفا مؤقتا يعملون لمدة طويلة في وظائف مستمرة. وفي نهاية الثنائية، كانت جميع تلك الوظائف قد مُلئت أو قاربت المنافسات الخاصة بها مرحلة النهاية.</w:t>
      </w:r>
    </w:p>
    <w:p w:rsidR="006715D6" w:rsidRPr="00977A67" w:rsidRDefault="006715D6" w:rsidP="006715D6">
      <w:pPr>
        <w:pStyle w:val="NormalParaAR"/>
        <w:rPr>
          <w:rtl/>
        </w:rPr>
      </w:pPr>
      <w:r w:rsidRPr="00977A67">
        <w:rPr>
          <w:rFonts w:hint="cs"/>
          <w:rtl/>
        </w:rPr>
        <w:t>كما تضمنت الميزانية المعتمدة 2012/13 اعتمادات لمستحقات الموظفين بعد نهاية الخدمة، بما في ذلك التأمين الصحي بعد نهاية الخدمة بمقدار اثنين بالمائة من تكاليف الوظائف، مقابل ستة بالمائة في الثنائية السابقة. واضطُلع بذلك "</w:t>
      </w:r>
      <w:r w:rsidRPr="00977A67">
        <w:rPr>
          <w:rtl/>
        </w:rPr>
        <w:t>لكي يمكن الاحتفاظ بتكاليف الوظائف الإجمالية عند مستوى تستوعبه الإيرادات المتوقعة للمنظمة</w:t>
      </w:r>
      <w:r w:rsidRPr="00977A67">
        <w:rPr>
          <w:rFonts w:hint="cs"/>
          <w:rtl/>
        </w:rPr>
        <w:t>". وجاء في وثيقة البرنامج والميزانية للثنائية</w:t>
      </w:r>
      <w:r w:rsidRPr="00977A67">
        <w:rPr>
          <w:rFonts w:hint="eastAsia"/>
          <w:rtl/>
        </w:rPr>
        <w:t> </w:t>
      </w:r>
      <w:r w:rsidRPr="00977A67">
        <w:rPr>
          <w:rFonts w:hint="cs"/>
          <w:rtl/>
        </w:rPr>
        <w:t>2012/13 أيضا أنّ "</w:t>
      </w:r>
      <w:r w:rsidRPr="00977A67">
        <w:rPr>
          <w:rtl/>
        </w:rPr>
        <w:t>المدير العام يرغب في الإشارة إلى أنه يمكن أولاً وقبل كل شيء اقتراح رفع مستويات الإيرادات المتوقعة للاستفادة منها في إعادة هذا المخصص إلى حالته في الوقت الملائم.</w:t>
      </w:r>
      <w:r w:rsidRPr="00977A67">
        <w:rPr>
          <w:rFonts w:hint="cs"/>
          <w:rtl/>
        </w:rPr>
        <w:t>" وبناء عليه، تشتمل نفقات الموظفين الفعلية</w:t>
      </w:r>
      <w:r w:rsidRPr="00977A67">
        <w:rPr>
          <w:rFonts w:hint="eastAsia"/>
          <w:rtl/>
        </w:rPr>
        <w:t> </w:t>
      </w:r>
      <w:r w:rsidRPr="00977A67">
        <w:rPr>
          <w:rFonts w:hint="cs"/>
          <w:rtl/>
        </w:rPr>
        <w:t>2012/13 على اعتماد قدره 18,9 مليون فرنك سويسري لأغراض مستحقات الموظفين بعد نهاية الخدمة.</w:t>
      </w:r>
    </w:p>
    <w:p w:rsidR="006715D6" w:rsidRPr="00977A67" w:rsidRDefault="006715D6" w:rsidP="006715D6">
      <w:pPr>
        <w:pStyle w:val="NormalParaAR"/>
        <w:rPr>
          <w:rtl/>
        </w:rPr>
      </w:pPr>
      <w:r w:rsidRPr="00977A67">
        <w:rPr>
          <w:rFonts w:hint="cs"/>
          <w:rtl/>
        </w:rPr>
        <w:t>ويبيّن الجدول أدناه تطور الموارد البشرية بحسب السنوات. ويعود الارتفاع المُسجّل في عام 2013 إلى قيد غير متكرّر في ديسمبر 2013 لمبلغ قدره 12,5</w:t>
      </w:r>
      <w:r w:rsidRPr="00977A67">
        <w:rPr>
          <w:rFonts w:hint="eastAsia"/>
          <w:rtl/>
        </w:rPr>
        <w:t> </w:t>
      </w:r>
      <w:r w:rsidRPr="00977A67">
        <w:rPr>
          <w:rFonts w:hint="cs"/>
          <w:rtl/>
        </w:rPr>
        <w:t>مليون فرنك سويسري لإعادة الاعتماد الخاص بمستحقات الموظفين بعد نهاية الخدمة إلى حالته، كما هو مشروح أعلاه. ويدخل المبلغ المساوي12,5 مليون فرنك سويسري ضمن الاعتماد الإجمالي البالغة قيمته 18,9</w:t>
      </w:r>
      <w:r w:rsidRPr="00977A67">
        <w:rPr>
          <w:rFonts w:hint="eastAsia"/>
          <w:rtl/>
        </w:rPr>
        <w:t> </w:t>
      </w:r>
      <w:r w:rsidRPr="00977A67">
        <w:rPr>
          <w:rFonts w:hint="cs"/>
          <w:rtl/>
        </w:rPr>
        <w:t>مليون فرنك سويسري والمرصود لأغراض مستحقات الموظفين في الميزانية العادية المذكورة أعلاه.</w:t>
      </w:r>
    </w:p>
    <w:p w:rsidR="006715D6" w:rsidRPr="00977A67" w:rsidRDefault="006715D6" w:rsidP="006715D6">
      <w:pPr>
        <w:pStyle w:val="Heading3AR"/>
        <w:jc w:val="center"/>
        <w:outlineLvl w:val="2"/>
        <w:rPr>
          <w:b/>
          <w:bCs/>
          <w:u w:val="none"/>
          <w:rtl/>
        </w:rPr>
      </w:pPr>
      <w:bookmarkStart w:id="41" w:name="_Toc394905497"/>
      <w:bookmarkStart w:id="42" w:name="_Toc394911928"/>
      <w:bookmarkStart w:id="43" w:name="_Toc394914259"/>
      <w:r w:rsidRPr="00977A67">
        <w:rPr>
          <w:rFonts w:hint="cs"/>
          <w:b/>
          <w:bCs/>
          <w:u w:val="none"/>
          <w:rtl/>
        </w:rPr>
        <w:t>تطور نفقات الموظفين بحسب السنوات</w:t>
      </w:r>
      <w:bookmarkEnd w:id="41"/>
      <w:bookmarkEnd w:id="42"/>
      <w:bookmarkEnd w:id="43"/>
    </w:p>
    <w:p w:rsidR="006715D6" w:rsidRPr="00977A67" w:rsidRDefault="006715D6" w:rsidP="006715D6">
      <w:pPr>
        <w:pStyle w:val="NormalParaAR"/>
        <w:jc w:val="center"/>
        <w:rPr>
          <w:i/>
          <w:iCs/>
          <w:rtl/>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2B19D97C" wp14:editId="19B92159">
            <wp:extent cx="5940425" cy="850002"/>
            <wp:effectExtent l="0" t="0" r="317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850002"/>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Heading2AR"/>
        <w:outlineLvl w:val="1"/>
        <w:rPr>
          <w:b/>
          <w:bCs/>
          <w:sz w:val="36"/>
          <w:szCs w:val="36"/>
          <w:rtl/>
        </w:rPr>
      </w:pPr>
      <w:bookmarkStart w:id="44" w:name="_Toc394905498"/>
      <w:bookmarkStart w:id="45" w:name="_Toc394911929"/>
      <w:bookmarkStart w:id="46" w:name="_Toc394914260"/>
      <w:r w:rsidRPr="00977A67">
        <w:rPr>
          <w:rFonts w:hint="cs"/>
          <w:b/>
          <w:bCs/>
          <w:sz w:val="36"/>
          <w:szCs w:val="36"/>
          <w:rtl/>
        </w:rPr>
        <w:t>الأسفار والمنح</w:t>
      </w:r>
      <w:bookmarkEnd w:id="44"/>
      <w:bookmarkEnd w:id="45"/>
      <w:bookmarkEnd w:id="46"/>
    </w:p>
    <w:p w:rsidR="006715D6" w:rsidRPr="00977A67" w:rsidRDefault="006715D6" w:rsidP="006715D6">
      <w:pPr>
        <w:pStyle w:val="NormalParaAR"/>
        <w:rPr>
          <w:rtl/>
        </w:rPr>
      </w:pPr>
      <w:r w:rsidRPr="00977A67">
        <w:rPr>
          <w:rFonts w:hint="cs"/>
          <w:rtl/>
        </w:rPr>
        <w:t>وصلت النفقات الإجمالية المتعلقة بالأسفار والمنح إلى 30,9 مليون فرنك سويسري في الثنائية 2012/13، ممّا يُعد انخفاضا قدره 8,6</w:t>
      </w:r>
      <w:r w:rsidRPr="00977A67">
        <w:rPr>
          <w:rFonts w:hint="eastAsia"/>
          <w:rtl/>
        </w:rPr>
        <w:t> </w:t>
      </w:r>
      <w:r w:rsidRPr="00977A67">
        <w:rPr>
          <w:rFonts w:hint="cs"/>
          <w:rtl/>
        </w:rPr>
        <w:t>مليون فرنك سويسري، أو بنسبة 21,7 بالمائة، مقارنة بالميزانية النهائية بعد التحويلات.</w:t>
      </w:r>
    </w:p>
    <w:p w:rsidR="006715D6" w:rsidRPr="00977A67" w:rsidRDefault="006715D6" w:rsidP="006715D6">
      <w:pPr>
        <w:pStyle w:val="Heading3AR"/>
        <w:jc w:val="center"/>
        <w:outlineLvl w:val="2"/>
        <w:rPr>
          <w:b/>
          <w:bCs/>
          <w:u w:val="none"/>
          <w:rtl/>
        </w:rPr>
      </w:pPr>
      <w:bookmarkStart w:id="47" w:name="_Toc394905499"/>
      <w:bookmarkStart w:id="48" w:name="_Toc394911930"/>
      <w:bookmarkStart w:id="49" w:name="_Toc394914261"/>
      <w:r w:rsidRPr="00977A67">
        <w:rPr>
          <w:rFonts w:hint="cs"/>
          <w:b/>
          <w:bCs/>
          <w:u w:val="none"/>
          <w:rtl/>
        </w:rPr>
        <w:t>تطور نفقات المنح والأسفار بحسب السنوات</w:t>
      </w:r>
      <w:bookmarkEnd w:id="47"/>
      <w:bookmarkEnd w:id="48"/>
      <w:bookmarkEnd w:id="49"/>
    </w:p>
    <w:p w:rsidR="006715D6" w:rsidRPr="00977A67" w:rsidRDefault="006715D6" w:rsidP="006715D6">
      <w:pPr>
        <w:pStyle w:val="NormalParaAR"/>
        <w:jc w:val="center"/>
        <w:rPr>
          <w:i/>
          <w:iCs/>
          <w:rtl/>
          <w:lang w:val="fr-CH"/>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6E4108C1" wp14:editId="4FF9C182">
            <wp:extent cx="5940425" cy="192028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1920280"/>
                    </a:xfrm>
                    <a:prstGeom prst="rect">
                      <a:avLst/>
                    </a:prstGeom>
                    <a:noFill/>
                    <a:ln>
                      <a:noFill/>
                    </a:ln>
                  </pic:spPr>
                </pic:pic>
              </a:graphicData>
            </a:graphic>
          </wp:inline>
        </w:drawing>
      </w:r>
    </w:p>
    <w:p w:rsidR="006715D6" w:rsidRPr="00977A67" w:rsidRDefault="006715D6" w:rsidP="006715D6">
      <w:pPr>
        <w:pStyle w:val="NormalParaAR"/>
        <w:spacing w:line="240" w:lineRule="auto"/>
        <w:jc w:val="center"/>
        <w:rPr>
          <w:rtl/>
        </w:rPr>
      </w:pPr>
      <w:r w:rsidRPr="00977A67">
        <w:rPr>
          <w:noProof/>
        </w:rPr>
        <w:drawing>
          <wp:inline distT="0" distB="0" distL="0" distR="0" wp14:anchorId="3B81798F" wp14:editId="71213AEA">
            <wp:extent cx="5762625" cy="313372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715D6" w:rsidRPr="00977A67" w:rsidRDefault="006715D6" w:rsidP="006715D6">
      <w:pPr>
        <w:pStyle w:val="NormalParaAR"/>
        <w:rPr>
          <w:rtl/>
          <w:lang w:val="fr-CH"/>
        </w:rPr>
      </w:pPr>
      <w:r w:rsidRPr="00977A67">
        <w:rPr>
          <w:rFonts w:hint="cs"/>
          <w:rtl/>
          <w:lang w:val="fr-CH"/>
        </w:rPr>
        <w:t>تعود الزيادة المُسجّلة في نفقات أسفار الغير في عام 2013 مقارنة بعام 2012، بالدرجة الأولى، إلى عقد الدورة الاستثنائية لجمعيات الدول الأعضاء في ديسمبر 2013 وإلى زيادة الأنشطة إجمالا في السنة الثانية من الثنائية. وفيما يخص الثنائية عموما، يُلاحظ انخفاض مقارنة بالثنائية 2010/11 نتيجة عوامل عدة أهمّها تأثير تدابير رفع الفعالية من حيث التكلفة التي نُفذت خلال الثنائية.</w:t>
      </w:r>
    </w:p>
    <w:p w:rsidR="006715D6" w:rsidRPr="00977A67" w:rsidRDefault="006715D6" w:rsidP="006715D6">
      <w:pPr>
        <w:pStyle w:val="NormalParaAR"/>
        <w:rPr>
          <w:rtl/>
          <w:lang w:val="fr-CH"/>
        </w:rPr>
      </w:pPr>
      <w:r w:rsidRPr="00977A67">
        <w:rPr>
          <w:rFonts w:hint="cs"/>
          <w:rtl/>
          <w:lang w:val="fr-CH"/>
        </w:rPr>
        <w:t>وجاءت الزيادة المُسجّلة في ميزانية المنح 2012/13 بعد التحويلات نتيجة عملية إصلاح نظام العقود التي شُرع فيها في يناير</w:t>
      </w:r>
      <w:r w:rsidRPr="00977A67">
        <w:rPr>
          <w:rFonts w:hint="eastAsia"/>
          <w:rtl/>
          <w:lang w:val="fr-CH"/>
        </w:rPr>
        <w:t> </w:t>
      </w:r>
      <w:r w:rsidRPr="00977A67">
        <w:rPr>
          <w:rFonts w:hint="cs"/>
          <w:rtl/>
          <w:lang w:val="fr-CH"/>
        </w:rPr>
        <w:t>2013. ويُلاحظ ذلك، تحديدا، في مركز التحكيم والوساطة حيث كان المسؤولون عن إدارة القضايا يُوظّفون بعقود عمل مؤقتة. وللاعتراف بالترتيب الذي تزوّد الويبو من خلاله المهنيين الشباب بخبرة في مجال إدارة القضايا من أجل تعزيز معارفهم وكفاءاتهم المهنية في الميادين المندرجة ضمن مسؤولية مركز التحكيم والوساطة، أنشئ برنامج الويبو للمنح في عام 2013. ونتيجة لذلك نُقلت اعتمادات الميزانية المرصودة سابقا ضمن فئة الموظفين المؤقتين إلى فئة المنح. وبالإضافة إلى ذلك، تم تكبّد نفقات أكبر مما هو مرصود على منح الدورات ضمن البرنامج 11 (أكاديمية الويبو) في الثنائية 2012/13. والسبب في ذلك الزيادة المُسجّلة في برامج التدريب، بما فيها برامج الماجستير المشتركة، المتاحة للدول الأعضاء.</w:t>
      </w:r>
    </w:p>
    <w:p w:rsidR="006715D6" w:rsidRPr="00977A67" w:rsidRDefault="006715D6" w:rsidP="006715D6">
      <w:pPr>
        <w:pStyle w:val="Heading2AR"/>
        <w:outlineLvl w:val="1"/>
        <w:rPr>
          <w:b/>
          <w:bCs/>
          <w:sz w:val="36"/>
          <w:szCs w:val="36"/>
          <w:rtl/>
        </w:rPr>
      </w:pPr>
      <w:bookmarkStart w:id="50" w:name="_Toc394905500"/>
      <w:bookmarkStart w:id="51" w:name="_Toc394911931"/>
      <w:bookmarkStart w:id="52" w:name="_Toc394914262"/>
      <w:r w:rsidRPr="00977A67">
        <w:rPr>
          <w:rFonts w:hint="cs"/>
          <w:b/>
          <w:bCs/>
          <w:sz w:val="36"/>
          <w:szCs w:val="36"/>
          <w:rtl/>
        </w:rPr>
        <w:t>الخدمات التعاقدية</w:t>
      </w:r>
      <w:bookmarkEnd w:id="50"/>
      <w:bookmarkEnd w:id="51"/>
      <w:bookmarkEnd w:id="52"/>
    </w:p>
    <w:p w:rsidR="006715D6" w:rsidRPr="00977A67" w:rsidRDefault="006715D6" w:rsidP="006715D6">
      <w:pPr>
        <w:pStyle w:val="NormalParaAR"/>
        <w:rPr>
          <w:rtl/>
        </w:rPr>
      </w:pPr>
      <w:r w:rsidRPr="00977A67">
        <w:rPr>
          <w:rFonts w:hint="cs"/>
          <w:rtl/>
        </w:rPr>
        <w:t>وصلت النفقات الإجمالية المرتبطة بالخدمات التعاقدية إلى 111,1 مليون فرنك سويسري في الثنائية 2012/13، ممّا يُعد انخفاضا قدره 15,5 مليون فرنك سويسري، أو بنسبة 12,2 بالمائة، مقارنة بالميزانية النهائية 2012/13 بعد التحويلات.</w:t>
      </w:r>
    </w:p>
    <w:p w:rsidR="006715D6" w:rsidRPr="00977A67" w:rsidRDefault="006715D6" w:rsidP="006715D6">
      <w:pPr>
        <w:pStyle w:val="Heading3AR"/>
        <w:jc w:val="center"/>
        <w:outlineLvl w:val="2"/>
        <w:rPr>
          <w:b/>
          <w:bCs/>
          <w:u w:val="none"/>
          <w:rtl/>
        </w:rPr>
      </w:pPr>
      <w:bookmarkStart w:id="53" w:name="_Toc394905501"/>
      <w:bookmarkStart w:id="54" w:name="_Toc394911932"/>
      <w:bookmarkStart w:id="55" w:name="_Toc394914263"/>
      <w:r w:rsidRPr="00977A67">
        <w:rPr>
          <w:rFonts w:hint="cs"/>
          <w:b/>
          <w:bCs/>
          <w:u w:val="none"/>
          <w:rtl/>
        </w:rPr>
        <w:t>تطور نفقات الخدمات التعاقدية بحسب السنوات</w:t>
      </w:r>
      <w:bookmarkEnd w:id="53"/>
      <w:bookmarkEnd w:id="54"/>
      <w:bookmarkEnd w:id="55"/>
    </w:p>
    <w:p w:rsidR="006715D6" w:rsidRPr="00977A67" w:rsidRDefault="006715D6" w:rsidP="006715D6">
      <w:pPr>
        <w:pStyle w:val="NormalParaAR"/>
        <w:jc w:val="center"/>
        <w:rPr>
          <w:i/>
          <w:iCs/>
          <w:rtl/>
          <w:lang w:val="fr-CH"/>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22DE064A" wp14:editId="3AA41249">
            <wp:extent cx="5940425" cy="2287744"/>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2287744"/>
                    </a:xfrm>
                    <a:prstGeom prst="rect">
                      <a:avLst/>
                    </a:prstGeom>
                    <a:noFill/>
                    <a:ln>
                      <a:noFill/>
                    </a:ln>
                  </pic:spPr>
                </pic:pic>
              </a:graphicData>
            </a:graphic>
          </wp:inline>
        </w:drawing>
      </w:r>
    </w:p>
    <w:p w:rsidR="006715D6" w:rsidRPr="00977A67" w:rsidRDefault="006715D6" w:rsidP="006715D6">
      <w:pPr>
        <w:pStyle w:val="NormalParaAR"/>
        <w:spacing w:line="240" w:lineRule="auto"/>
        <w:jc w:val="center"/>
        <w:rPr>
          <w:rtl/>
        </w:rPr>
      </w:pPr>
      <w:r w:rsidRPr="00977A67">
        <w:rPr>
          <w:noProof/>
        </w:rPr>
        <w:drawing>
          <wp:inline distT="0" distB="0" distL="0" distR="0" wp14:anchorId="435E4659" wp14:editId="12BD9748">
            <wp:extent cx="5939204" cy="3829050"/>
            <wp:effectExtent l="0" t="0" r="444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715D6" w:rsidRPr="00977A67" w:rsidRDefault="006715D6" w:rsidP="006715D6">
      <w:pPr>
        <w:pStyle w:val="NormalParaAR"/>
        <w:rPr>
          <w:rtl/>
        </w:rPr>
      </w:pPr>
      <w:r w:rsidRPr="00977A67">
        <w:rPr>
          <w:rFonts w:hint="cs"/>
          <w:rtl/>
        </w:rPr>
        <w:t>تعود الزيادة المُسجّلة في ميزانية 2012/13 بعد التحويلات ضمن اتفاقات الخدمات الخاصة والخدمات التجارية، بالدرجة الأولى، إلى اعتمادات إضافية رُصدت لأغراض "1" الترجمة الخارجية في إطار البرنامج 5 (نظام معاهدة التعاون بشأن البراءات)، "2" واستكمال مبادرة برنامج التقويم الاستراتيجي في إطار البرنامج 21 (الإدارة التنفيذية)، "3" وزيادة حجم الترجمة الخارجية نتيجة تنفيذ سياسة الويبو الخاصة باللغات في إطار البرنامج 27 (خدمات المؤتمرات واللغات).</w:t>
      </w:r>
    </w:p>
    <w:p w:rsidR="006715D6" w:rsidRPr="00977A67" w:rsidRDefault="006715D6" w:rsidP="006715D6">
      <w:pPr>
        <w:pStyle w:val="NormalParaAR"/>
        <w:rPr>
          <w:rtl/>
        </w:rPr>
      </w:pPr>
      <w:r w:rsidRPr="00977A67">
        <w:rPr>
          <w:rFonts w:hint="cs"/>
          <w:rtl/>
        </w:rPr>
        <w:t xml:space="preserve">والزيادة المُسجّلة في النفقات ضمن اتفاقات الخدمات الخاصة والخدمات التجارية في عام 2013 مقارنة بعام 2012 مردّها أساسا ارتفاع حجم الترجمة في البرنامج 5 (نظام معاهدة التعاون بشأن البراءات) وزيادة إسناد خدمات إدارة البنية التحتية (الشبكة والخوادم) </w:t>
      </w:r>
      <w:r w:rsidRPr="00977A67">
        <w:rPr>
          <w:rtl/>
        </w:rPr>
        <w:t xml:space="preserve">إلى مركز الأمم المتحدة </w:t>
      </w:r>
      <w:r w:rsidRPr="00977A67">
        <w:rPr>
          <w:rFonts w:hint="cs"/>
          <w:rtl/>
        </w:rPr>
        <w:t>الدولي للحوسبة في إطار البرنامج 25 (تكنولوجيا المعلومات والاتصالات).</w:t>
      </w:r>
    </w:p>
    <w:p w:rsidR="006715D6" w:rsidRPr="00977A67" w:rsidRDefault="006715D6" w:rsidP="006715D6">
      <w:pPr>
        <w:pStyle w:val="Heading2AR"/>
        <w:outlineLvl w:val="1"/>
        <w:rPr>
          <w:b/>
          <w:bCs/>
          <w:sz w:val="36"/>
          <w:szCs w:val="36"/>
          <w:rtl/>
        </w:rPr>
      </w:pPr>
      <w:bookmarkStart w:id="56" w:name="_Toc394905502"/>
      <w:bookmarkStart w:id="57" w:name="_Toc394911933"/>
      <w:bookmarkStart w:id="58" w:name="_Toc394914264"/>
      <w:r w:rsidRPr="00977A67">
        <w:rPr>
          <w:rFonts w:hint="cs"/>
          <w:b/>
          <w:bCs/>
          <w:sz w:val="36"/>
          <w:szCs w:val="36"/>
          <w:rtl/>
        </w:rPr>
        <w:t>مصروفات التشغيل</w:t>
      </w:r>
      <w:bookmarkEnd w:id="56"/>
      <w:bookmarkEnd w:id="57"/>
      <w:bookmarkEnd w:id="58"/>
    </w:p>
    <w:p w:rsidR="006715D6" w:rsidRPr="00977A67" w:rsidRDefault="006715D6" w:rsidP="006715D6">
      <w:pPr>
        <w:pStyle w:val="NormalParaAR"/>
        <w:rPr>
          <w:rtl/>
        </w:rPr>
      </w:pPr>
      <w:r w:rsidRPr="00977A67">
        <w:rPr>
          <w:rFonts w:hint="cs"/>
          <w:rtl/>
        </w:rPr>
        <w:t>وصلت مصروفات التشغيل إلى 50,0 مليون فرنك سويسري، ممّا يُعد انخفاضا بقيمة 5,5 مليون فرنك سويسري، أو</w:t>
      </w:r>
      <w:r w:rsidRPr="00977A67">
        <w:rPr>
          <w:rFonts w:hint="eastAsia"/>
          <w:rtl/>
        </w:rPr>
        <w:t> </w:t>
      </w:r>
      <w:r w:rsidRPr="00977A67">
        <w:rPr>
          <w:rFonts w:hint="cs"/>
          <w:rtl/>
        </w:rPr>
        <w:t>بنسبة</w:t>
      </w:r>
      <w:r w:rsidRPr="00977A67">
        <w:rPr>
          <w:rFonts w:hint="eastAsia"/>
          <w:rtl/>
        </w:rPr>
        <w:t> </w:t>
      </w:r>
      <w:r w:rsidRPr="00977A67">
        <w:rPr>
          <w:rFonts w:hint="cs"/>
          <w:rtl/>
        </w:rPr>
        <w:t>10</w:t>
      </w:r>
      <w:r w:rsidRPr="00977A67">
        <w:rPr>
          <w:rFonts w:hint="eastAsia"/>
          <w:rtl/>
        </w:rPr>
        <w:t> </w:t>
      </w:r>
      <w:r w:rsidRPr="00977A67">
        <w:rPr>
          <w:rFonts w:hint="cs"/>
          <w:rtl/>
        </w:rPr>
        <w:t>بالمائة، مقارنة بالميزانية النهائية 2012/13 بعد التحويلات.</w:t>
      </w:r>
    </w:p>
    <w:p w:rsidR="006715D6" w:rsidRPr="00977A67" w:rsidRDefault="006715D6" w:rsidP="006715D6">
      <w:pPr>
        <w:pStyle w:val="Heading3AR"/>
        <w:jc w:val="center"/>
        <w:outlineLvl w:val="2"/>
        <w:rPr>
          <w:b/>
          <w:bCs/>
          <w:u w:val="none"/>
          <w:rtl/>
        </w:rPr>
      </w:pPr>
      <w:bookmarkStart w:id="59" w:name="_Toc394905503"/>
      <w:bookmarkStart w:id="60" w:name="_Toc394911934"/>
      <w:bookmarkStart w:id="61" w:name="_Toc394914265"/>
      <w:r w:rsidRPr="00977A67">
        <w:rPr>
          <w:rFonts w:hint="cs"/>
          <w:b/>
          <w:bCs/>
          <w:u w:val="none"/>
          <w:rtl/>
        </w:rPr>
        <w:t>تطور مصروفات التشغيل بحسب السنوات</w:t>
      </w:r>
      <w:bookmarkEnd w:id="59"/>
      <w:bookmarkEnd w:id="60"/>
      <w:bookmarkEnd w:id="61"/>
    </w:p>
    <w:p w:rsidR="006715D6" w:rsidRPr="00977A67" w:rsidRDefault="006715D6" w:rsidP="006715D6">
      <w:pPr>
        <w:pStyle w:val="NormalParaAR"/>
        <w:jc w:val="center"/>
        <w:rPr>
          <w:i/>
          <w:iCs/>
          <w:rtl/>
          <w:lang w:val="fr-CH"/>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E615B8F" wp14:editId="48022B7B">
            <wp:extent cx="5940425" cy="2508320"/>
            <wp:effectExtent l="0" t="0" r="317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2508320"/>
                    </a:xfrm>
                    <a:prstGeom prst="rect">
                      <a:avLst/>
                    </a:prstGeom>
                    <a:noFill/>
                    <a:ln>
                      <a:noFill/>
                    </a:ln>
                  </pic:spPr>
                </pic:pic>
              </a:graphicData>
            </a:graphic>
          </wp:inline>
        </w:drawing>
      </w:r>
    </w:p>
    <w:p w:rsidR="006715D6" w:rsidRPr="00977A67" w:rsidRDefault="006715D6" w:rsidP="006715D6">
      <w:pPr>
        <w:pStyle w:val="NormalParaAR"/>
        <w:spacing w:line="240" w:lineRule="auto"/>
        <w:jc w:val="center"/>
        <w:rPr>
          <w:rtl/>
        </w:rPr>
      </w:pPr>
      <w:r w:rsidRPr="00977A67">
        <w:rPr>
          <w:noProof/>
        </w:rPr>
        <w:drawing>
          <wp:inline distT="0" distB="0" distL="0" distR="0" wp14:anchorId="164ADFCF" wp14:editId="5178BEAC">
            <wp:extent cx="6163294" cy="3360717"/>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63310" cy="3360726"/>
                    </a:xfrm>
                    <a:prstGeom prst="rect">
                      <a:avLst/>
                    </a:prstGeom>
                    <a:noFill/>
                  </pic:spPr>
                </pic:pic>
              </a:graphicData>
            </a:graphic>
          </wp:inline>
        </w:drawing>
      </w:r>
    </w:p>
    <w:p w:rsidR="006715D6" w:rsidRPr="00977A67" w:rsidRDefault="006715D6" w:rsidP="006715D6">
      <w:pPr>
        <w:pStyle w:val="NormalParaAR"/>
        <w:rPr>
          <w:rtl/>
        </w:rPr>
      </w:pPr>
      <w:r w:rsidRPr="00977A67">
        <w:rPr>
          <w:rFonts w:hint="cs"/>
          <w:rtl/>
        </w:rPr>
        <w:t>تعود الزيادة الكبيرة المُسجّلة في النفقات المرصودة ضمن فئة التكاليف الإدارية والمصرفية، مقارنة بالميزانية بعد التحويلات، إلى رصد مدفوعات الفوائد الخاصة  بمشروع البناء الجديد ضمن فئة المباني والصيانة؛ بينما رُصدت التكاليف الفعلية ضمن التكاليف الإدارية والمصرفية.</w:t>
      </w:r>
    </w:p>
    <w:p w:rsidR="006715D6" w:rsidRPr="00977A67" w:rsidRDefault="006715D6" w:rsidP="006715D6">
      <w:pPr>
        <w:pStyle w:val="NormalParaAR"/>
        <w:rPr>
          <w:rtl/>
        </w:rPr>
      </w:pPr>
      <w:r w:rsidRPr="00977A67">
        <w:rPr>
          <w:rFonts w:hint="cs"/>
          <w:rtl/>
        </w:rPr>
        <w:t>أمّا الانخفاض المُسجّل في فئة النفقات المرتبطة بالمباني والصيانة في الثنائية 2012/13، مقارنة بالثنائيات السابقة، فمردّه أساسا وقف استئجار أكان العمل خارج مجمع الويبو عقب استكمال المبنى الجديد. وقد عُوّض جزء من ذلك الانخفاض بالارتفاع المحدود المُسجّل في الأعباء وتكاليف الصيانة المرتبطة بتشغيل المبنى الجديد.</w:t>
      </w:r>
    </w:p>
    <w:p w:rsidR="006715D6" w:rsidRPr="00977A67" w:rsidRDefault="006715D6" w:rsidP="006715D6">
      <w:pPr>
        <w:pStyle w:val="Heading2AR"/>
        <w:outlineLvl w:val="1"/>
        <w:rPr>
          <w:b/>
          <w:bCs/>
          <w:sz w:val="36"/>
          <w:szCs w:val="36"/>
          <w:rtl/>
        </w:rPr>
      </w:pPr>
      <w:bookmarkStart w:id="62" w:name="_Toc394905504"/>
      <w:bookmarkStart w:id="63" w:name="_Toc394911935"/>
      <w:bookmarkStart w:id="64" w:name="_Toc394914266"/>
      <w:r w:rsidRPr="00977A67">
        <w:rPr>
          <w:rFonts w:hint="cs"/>
          <w:b/>
          <w:bCs/>
          <w:sz w:val="36"/>
          <w:szCs w:val="36"/>
          <w:rtl/>
        </w:rPr>
        <w:t>المعدات والإمدادات</w:t>
      </w:r>
      <w:bookmarkEnd w:id="62"/>
      <w:bookmarkEnd w:id="63"/>
      <w:bookmarkEnd w:id="64"/>
    </w:p>
    <w:p w:rsidR="006715D6" w:rsidRPr="00977A67" w:rsidRDefault="006715D6" w:rsidP="006715D6">
      <w:pPr>
        <w:pStyle w:val="NormalParaAR"/>
        <w:rPr>
          <w:rtl/>
        </w:rPr>
      </w:pPr>
      <w:r w:rsidRPr="00977A67">
        <w:rPr>
          <w:rFonts w:hint="cs"/>
          <w:rtl/>
        </w:rPr>
        <w:t>وصلت النفقات المرتبطة بالمعدات والإمدادات إلى 6,5 مليون فرنك سويسري في الثنائية 2012/13، ممّا يُعد انخفاضا قدره 3,5 مليون فرنك سويسري، أو بنسبة 35</w:t>
      </w:r>
      <w:r w:rsidRPr="00977A67">
        <w:rPr>
          <w:rFonts w:hint="eastAsia"/>
          <w:rtl/>
        </w:rPr>
        <w:t> </w:t>
      </w:r>
      <w:r w:rsidRPr="00977A67">
        <w:rPr>
          <w:rFonts w:hint="cs"/>
          <w:rtl/>
        </w:rPr>
        <w:t>بالمائة، مقارنة بميزانية الثنائية بعد التحويلات. وسُجّل الانخفاض كله ضمن الفئة الفرعية الأثاث والمعدات.</w:t>
      </w:r>
    </w:p>
    <w:p w:rsidR="006715D6" w:rsidRPr="00977A67" w:rsidRDefault="006715D6" w:rsidP="006715D6">
      <w:pPr>
        <w:pStyle w:val="Heading3AR"/>
        <w:jc w:val="center"/>
        <w:outlineLvl w:val="2"/>
        <w:rPr>
          <w:b/>
          <w:bCs/>
          <w:u w:val="none"/>
          <w:rtl/>
        </w:rPr>
      </w:pPr>
      <w:bookmarkStart w:id="65" w:name="_Toc394905505"/>
      <w:bookmarkStart w:id="66" w:name="_Toc394911936"/>
      <w:bookmarkStart w:id="67" w:name="_Toc394914267"/>
      <w:r w:rsidRPr="00977A67">
        <w:rPr>
          <w:rFonts w:hint="cs"/>
          <w:b/>
          <w:bCs/>
          <w:u w:val="none"/>
          <w:rtl/>
        </w:rPr>
        <w:t>تطور نفقات المعدات والإمدادات بحسب السنوات</w:t>
      </w:r>
      <w:bookmarkEnd w:id="65"/>
      <w:bookmarkEnd w:id="66"/>
      <w:bookmarkEnd w:id="67"/>
    </w:p>
    <w:p w:rsidR="006715D6" w:rsidRPr="00977A67" w:rsidRDefault="006715D6" w:rsidP="006715D6">
      <w:pPr>
        <w:pStyle w:val="NormalParaAR"/>
        <w:jc w:val="center"/>
        <w:rPr>
          <w:i/>
          <w:iCs/>
          <w:rtl/>
          <w:lang w:val="fr-CH"/>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2037A859" wp14:editId="12422C56">
            <wp:extent cx="5940425" cy="173240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1732400"/>
                    </a:xfrm>
                    <a:prstGeom prst="rect">
                      <a:avLst/>
                    </a:prstGeom>
                    <a:noFill/>
                    <a:ln>
                      <a:noFill/>
                    </a:ln>
                  </pic:spPr>
                </pic:pic>
              </a:graphicData>
            </a:graphic>
          </wp:inline>
        </w:drawing>
      </w:r>
    </w:p>
    <w:p w:rsidR="006715D6" w:rsidRPr="00977A67" w:rsidRDefault="006715D6" w:rsidP="006715D6">
      <w:pPr>
        <w:pStyle w:val="NormalParaAR"/>
        <w:spacing w:line="240" w:lineRule="auto"/>
        <w:jc w:val="center"/>
        <w:rPr>
          <w:rtl/>
        </w:rPr>
      </w:pPr>
      <w:r w:rsidRPr="00977A67">
        <w:rPr>
          <w:noProof/>
        </w:rPr>
        <w:drawing>
          <wp:inline distT="0" distB="0" distL="0" distR="0" wp14:anchorId="0FAB9618" wp14:editId="44A9C8B2">
            <wp:extent cx="5943600" cy="3306725"/>
            <wp:effectExtent l="0" t="0" r="0" b="825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715D6" w:rsidRPr="00977A67" w:rsidRDefault="006715D6" w:rsidP="006715D6">
      <w:pPr>
        <w:pStyle w:val="NormalParaAR"/>
        <w:rPr>
          <w:rtl/>
        </w:rPr>
      </w:pPr>
      <w:r w:rsidRPr="00977A67">
        <w:rPr>
          <w:rFonts w:hint="cs"/>
          <w:rtl/>
        </w:rPr>
        <w:t>يعود الارتفاع المُسجّل في النفقات ضمن الإمدادات والمواد مقارنة بميزانية 2012/13 بعد التحويلات، أساسا، إلى شراء برمجيات في إطار البرنامج 25 (تكنولوجيا المعلومات والاتصالات). كما يعود جزء من الزيادة المُسجّلة مقارنة بالثنائية السابقة إلى ارتفاع التكاليف الخاصة بصيانة البرمجيات والإمدادات الورقية وموارد المكتبة.</w:t>
      </w:r>
    </w:p>
    <w:p w:rsidR="006715D6" w:rsidRDefault="006715D6" w:rsidP="006715D6">
      <w:pPr>
        <w:pStyle w:val="NormalParaAR"/>
        <w:rPr>
          <w:rtl/>
        </w:rPr>
      </w:pPr>
      <w:r w:rsidRPr="00977A67">
        <w:rPr>
          <w:rFonts w:hint="cs"/>
          <w:rtl/>
        </w:rPr>
        <w:t xml:space="preserve">أمّا الانخفاض المُسجّل في النفقات ضمن الأثاث والمعدات في الثنائية 2012/13 مقابل الثنائية السابقة فيعود بالدرجة الأولى إلى انخفاض شراء المعدات المعلوماتية، لا سيما الخوادم. فقد زاد، خلال الثنائية 2012/13، إسناد الخدمات المتعلقة بالخوادم إلى </w:t>
      </w:r>
      <w:r w:rsidRPr="00977A67">
        <w:rPr>
          <w:rtl/>
        </w:rPr>
        <w:t xml:space="preserve">مركز الأمم المتحدة </w:t>
      </w:r>
      <w:r w:rsidRPr="00977A67">
        <w:rPr>
          <w:rFonts w:hint="cs"/>
          <w:rtl/>
        </w:rPr>
        <w:t xml:space="preserve">الدولي </w:t>
      </w:r>
      <w:r w:rsidRPr="00977A67">
        <w:rPr>
          <w:rtl/>
        </w:rPr>
        <w:t>للح</w:t>
      </w:r>
      <w:r w:rsidRPr="00977A67">
        <w:rPr>
          <w:rFonts w:hint="cs"/>
          <w:rtl/>
        </w:rPr>
        <w:t>وسبة.</w:t>
      </w:r>
    </w:p>
    <w:p w:rsidR="006715D6" w:rsidRPr="00977A67" w:rsidRDefault="006715D6" w:rsidP="006715D6">
      <w:pPr>
        <w:pStyle w:val="Heading1AR"/>
        <w:outlineLvl w:val="0"/>
        <w:rPr>
          <w:rtl/>
        </w:rPr>
      </w:pPr>
      <w:bookmarkStart w:id="68" w:name="_Toc394905506"/>
      <w:bookmarkStart w:id="69" w:name="_Toc394911937"/>
      <w:bookmarkStart w:id="70" w:name="_Toc394914268"/>
      <w:r w:rsidRPr="00977A67">
        <w:rPr>
          <w:rFonts w:hint="cs"/>
          <w:rtl/>
        </w:rPr>
        <w:t>الإيرادات</w:t>
      </w:r>
      <w:bookmarkEnd w:id="68"/>
      <w:bookmarkEnd w:id="69"/>
      <w:bookmarkEnd w:id="70"/>
    </w:p>
    <w:p w:rsidR="006715D6" w:rsidRPr="00977A67" w:rsidRDefault="006715D6" w:rsidP="006715D6">
      <w:pPr>
        <w:pStyle w:val="Heading2AR"/>
        <w:tabs>
          <w:tab w:val="right" w:pos="1133"/>
        </w:tabs>
        <w:spacing w:before="0" w:after="0"/>
        <w:jc w:val="center"/>
        <w:outlineLvl w:val="1"/>
        <w:rPr>
          <w:b/>
          <w:bCs/>
          <w:sz w:val="36"/>
          <w:szCs w:val="36"/>
          <w:rtl/>
        </w:rPr>
      </w:pPr>
      <w:bookmarkStart w:id="71" w:name="_Toc394905507"/>
      <w:bookmarkStart w:id="72" w:name="_Toc394911938"/>
      <w:bookmarkStart w:id="73" w:name="_Toc394914269"/>
      <w:r w:rsidRPr="00977A67">
        <w:rPr>
          <w:rFonts w:hint="cs"/>
          <w:b/>
          <w:bCs/>
          <w:sz w:val="36"/>
          <w:szCs w:val="36"/>
          <w:rtl/>
        </w:rPr>
        <w:t>الجدول 6</w:t>
      </w:r>
      <w:r w:rsidRPr="00977A67">
        <w:rPr>
          <w:b/>
          <w:bCs/>
          <w:sz w:val="36"/>
          <w:szCs w:val="36"/>
          <w:rtl/>
        </w:rPr>
        <w:tab/>
      </w:r>
      <w:r w:rsidRPr="00977A67">
        <w:rPr>
          <w:rFonts w:hint="cs"/>
          <w:b/>
          <w:bCs/>
          <w:sz w:val="36"/>
          <w:szCs w:val="36"/>
          <w:rtl/>
        </w:rPr>
        <w:tab/>
        <w:t>إيرادات الثنائية 2012/13</w:t>
      </w:r>
      <w:bookmarkEnd w:id="71"/>
      <w:bookmarkEnd w:id="72"/>
      <w:bookmarkEnd w:id="73"/>
    </w:p>
    <w:p w:rsidR="006715D6" w:rsidRPr="00977A67" w:rsidRDefault="006715D6" w:rsidP="006715D6">
      <w:pPr>
        <w:pStyle w:val="NormalParaAR"/>
        <w:spacing w:after="40"/>
        <w:jc w:val="center"/>
        <w:rPr>
          <w:i/>
          <w:iCs/>
          <w:rtl/>
          <w:lang w:val="fr-CH"/>
        </w:rPr>
      </w:pPr>
      <w:r w:rsidRPr="00977A67">
        <w:rPr>
          <w:rFonts w:hint="cs"/>
          <w:i/>
          <w:iCs/>
          <w:rtl/>
        </w:rPr>
        <w:t>(بملايين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4085346C" wp14:editId="5138F251">
            <wp:extent cx="5935726" cy="3009014"/>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3011396"/>
                    </a:xfrm>
                    <a:prstGeom prst="rect">
                      <a:avLst/>
                    </a:prstGeom>
                    <a:noFill/>
                    <a:ln>
                      <a:noFill/>
                    </a:ln>
                  </pic:spPr>
                </pic:pic>
              </a:graphicData>
            </a:graphic>
          </wp:inline>
        </w:drawing>
      </w:r>
    </w:p>
    <w:p w:rsidR="006715D6" w:rsidRPr="00977A67" w:rsidRDefault="006715D6" w:rsidP="006715D6">
      <w:pPr>
        <w:pStyle w:val="NormalParaAR"/>
        <w:rPr>
          <w:rtl/>
        </w:rPr>
      </w:pPr>
      <w:r w:rsidRPr="00977A67">
        <w:rPr>
          <w:rFonts w:hint="cs"/>
          <w:rtl/>
        </w:rPr>
        <w:t>بلغت الإيرادات الفعلية على أساس الميزانية 680,7 مليون فرنك سويسري، ممّا يُعد زيادة قدرها 33,3 مليون فرنك</w:t>
      </w:r>
      <w:r w:rsidRPr="00977A67">
        <w:rPr>
          <w:rFonts w:hint="eastAsia"/>
          <w:rtl/>
        </w:rPr>
        <w:t> </w:t>
      </w:r>
      <w:r w:rsidRPr="00977A67">
        <w:rPr>
          <w:rFonts w:hint="cs"/>
          <w:rtl/>
        </w:rPr>
        <w:t>سويسري، أو بنسبة 5,1 بالمائة، مقابل الإيرادات المقدّرة في الميزانية.</w:t>
      </w:r>
    </w:p>
    <w:p w:rsidR="006715D6" w:rsidRPr="00977A67" w:rsidRDefault="006715D6" w:rsidP="006715D6">
      <w:pPr>
        <w:pStyle w:val="NormalParaAR"/>
        <w:rPr>
          <w:rtl/>
        </w:rPr>
      </w:pPr>
      <w:r w:rsidRPr="00977A67">
        <w:rPr>
          <w:rFonts w:hint="cs"/>
          <w:rtl/>
        </w:rPr>
        <w:t>وبلغت الإيرادات المتأتية من الاشتراكات المقرّرة 35,1 مليون فرنك سويسري، ممّا يتجاوز الهدف المحدّد للثنائية، وذلك ناجم اساسا عن تغيير فئة الاشتراك الخاصة بجمهورية كوريا من الفئة الخامسة إلى الفئة الرابعة(ثانيا).</w:t>
      </w:r>
    </w:p>
    <w:p w:rsidR="006715D6" w:rsidRPr="00977A67" w:rsidRDefault="006715D6" w:rsidP="006715D6">
      <w:pPr>
        <w:pStyle w:val="NormalParaAR"/>
        <w:rPr>
          <w:rtl/>
        </w:rPr>
      </w:pPr>
      <w:r w:rsidRPr="00977A67">
        <w:rPr>
          <w:rFonts w:hint="cs"/>
          <w:rtl/>
        </w:rPr>
        <w:t>وبلغت الإيرادات المتأتية من رسوم نظام معاهدة التعاون بشأن البراءات 514,9 مليون فرنك سويسري؛ ممّا يُعد زيادة قدرها 34,3 مليون فرنك سويسري، أو بنسبة 7,1 بالمائة، مقابل المبلغ المستهدف في الميزانية والبالغ 480,6 مليون فرنك سويسري. ووصل عدد التسجيلات الدولية المودعة بناء على معاهدة التعاون بشأن البراءات في الثنائية 2012/13 إلى</w:t>
      </w:r>
      <w:r w:rsidRPr="00977A67">
        <w:rPr>
          <w:rFonts w:hint="eastAsia"/>
          <w:rtl/>
        </w:rPr>
        <w:t> </w:t>
      </w:r>
      <w:r w:rsidRPr="00977A67">
        <w:rPr>
          <w:rFonts w:hint="cs"/>
          <w:rtl/>
        </w:rPr>
        <w:t>612</w:t>
      </w:r>
      <w:r w:rsidRPr="00977A67">
        <w:rPr>
          <w:rFonts w:hint="eastAsia"/>
          <w:rtl/>
        </w:rPr>
        <w:t> </w:t>
      </w:r>
      <w:r w:rsidRPr="00977A67">
        <w:rPr>
          <w:rFonts w:hint="cs"/>
          <w:rtl/>
        </w:rPr>
        <w:t>400</w:t>
      </w:r>
      <w:r w:rsidRPr="00977A67">
        <w:rPr>
          <w:rFonts w:hint="eastAsia"/>
          <w:rtl/>
        </w:rPr>
        <w:t xml:space="preserve"> طلبا؛ ممّا يُعد زيادة قدرها </w:t>
      </w:r>
      <w:r w:rsidRPr="00977A67">
        <w:rPr>
          <w:rFonts w:hint="cs"/>
          <w:rtl/>
        </w:rPr>
        <w:t>612</w:t>
      </w:r>
      <w:r w:rsidRPr="00977A67">
        <w:rPr>
          <w:rFonts w:hint="eastAsia"/>
          <w:rtl/>
        </w:rPr>
        <w:t> </w:t>
      </w:r>
      <w:r w:rsidRPr="00977A67">
        <w:rPr>
          <w:rFonts w:hint="cs"/>
          <w:rtl/>
        </w:rPr>
        <w:t xml:space="preserve">32 </w:t>
      </w:r>
      <w:r w:rsidRPr="00977A67">
        <w:rPr>
          <w:rFonts w:hint="eastAsia"/>
          <w:rtl/>
        </w:rPr>
        <w:t xml:space="preserve">طلبا، أو بنسبة 9 بالمائة، بالمقارنة مع العدد المستهدف في الميزانية والبالغ </w:t>
      </w:r>
      <w:r w:rsidRPr="00977A67">
        <w:rPr>
          <w:rFonts w:hint="cs"/>
          <w:rtl/>
        </w:rPr>
        <w:t>000</w:t>
      </w:r>
      <w:r w:rsidRPr="00977A67">
        <w:rPr>
          <w:rFonts w:hint="eastAsia"/>
          <w:rtl/>
        </w:rPr>
        <w:t> </w:t>
      </w:r>
      <w:r w:rsidRPr="00977A67">
        <w:rPr>
          <w:rFonts w:hint="cs"/>
          <w:rtl/>
        </w:rPr>
        <w:t>368 طلبا في الثنائية.</w:t>
      </w:r>
    </w:p>
    <w:p w:rsidR="006715D6" w:rsidRPr="00977A67" w:rsidRDefault="006715D6" w:rsidP="006715D6">
      <w:pPr>
        <w:pStyle w:val="NormalParaAR"/>
        <w:rPr>
          <w:rtl/>
        </w:rPr>
      </w:pPr>
      <w:r w:rsidRPr="00977A67">
        <w:rPr>
          <w:rFonts w:hint="cs"/>
          <w:rtl/>
        </w:rPr>
        <w:t>وبلغت الإيرادات المتأتية من رسوم نظام مدريد 108 ملايين فرنك سويسري؛ ممّا يُعد زيادة قدرها 3,6 مليون فرنك</w:t>
      </w:r>
      <w:r w:rsidRPr="00977A67">
        <w:rPr>
          <w:rFonts w:hint="eastAsia"/>
          <w:rtl/>
        </w:rPr>
        <w:t> </w:t>
      </w:r>
      <w:r w:rsidRPr="00977A67">
        <w:rPr>
          <w:rFonts w:hint="cs"/>
          <w:rtl/>
        </w:rPr>
        <w:t xml:space="preserve">سويسري، أو بنسبة 3,4 بالمائة، مقابل المبلغ المستهدف في الميزانية والبالغ 104,4 مليون فرنك سويسري. ووصل عدد التسجيلات والتجديدات المودعة خلال الثنائية بناء على معاهدة التعاون بشأن البراءات إلى </w:t>
      </w:r>
      <w:r>
        <w:rPr>
          <w:rFonts w:hint="cs"/>
          <w:rtl/>
        </w:rPr>
        <w:t>241</w:t>
      </w:r>
      <w:r w:rsidRPr="00977A67">
        <w:rPr>
          <w:rFonts w:hint="eastAsia"/>
          <w:rtl/>
        </w:rPr>
        <w:t> </w:t>
      </w:r>
      <w:r w:rsidRPr="00977A67">
        <w:rPr>
          <w:rFonts w:hint="cs"/>
          <w:rtl/>
        </w:rPr>
        <w:t>131</w:t>
      </w:r>
      <w:r w:rsidRPr="00977A67">
        <w:rPr>
          <w:rFonts w:hint="eastAsia"/>
          <w:rtl/>
        </w:rPr>
        <w:t xml:space="preserve">؛ ممّا يُعد زيادة قدرها </w:t>
      </w:r>
      <w:r w:rsidRPr="00977A67">
        <w:rPr>
          <w:rFonts w:hint="cs"/>
          <w:rtl/>
        </w:rPr>
        <w:t>341</w:t>
      </w:r>
      <w:r w:rsidRPr="00977A67">
        <w:rPr>
          <w:rFonts w:hint="eastAsia"/>
          <w:rtl/>
        </w:rPr>
        <w:t> </w:t>
      </w:r>
      <w:r w:rsidRPr="00977A67">
        <w:rPr>
          <w:rFonts w:hint="cs"/>
          <w:rtl/>
        </w:rPr>
        <w:t>2</w:t>
      </w:r>
      <w:r w:rsidRPr="00977A67">
        <w:rPr>
          <w:rFonts w:hint="eastAsia"/>
          <w:rtl/>
        </w:rPr>
        <w:t>، أو</w:t>
      </w:r>
      <w:r w:rsidRPr="00977A67">
        <w:rPr>
          <w:rFonts w:hint="cs"/>
          <w:rtl/>
        </w:rPr>
        <w:t> </w:t>
      </w:r>
      <w:r w:rsidRPr="00977A67">
        <w:rPr>
          <w:rFonts w:hint="eastAsia"/>
          <w:rtl/>
        </w:rPr>
        <w:t xml:space="preserve">بنسبة </w:t>
      </w:r>
      <w:r w:rsidRPr="00977A67">
        <w:rPr>
          <w:rFonts w:hint="cs"/>
          <w:rtl/>
        </w:rPr>
        <w:t>1,8</w:t>
      </w:r>
      <w:r w:rsidRPr="00977A67">
        <w:rPr>
          <w:rFonts w:hint="eastAsia"/>
          <w:rtl/>
        </w:rPr>
        <w:t xml:space="preserve"> بالمائة، بالمقارنة مع العدد المستهدف في الميزانية والبالغ </w:t>
      </w:r>
      <w:r w:rsidRPr="00977A67">
        <w:rPr>
          <w:rFonts w:hint="cs"/>
          <w:rtl/>
        </w:rPr>
        <w:t>900</w:t>
      </w:r>
      <w:r w:rsidRPr="00977A67">
        <w:rPr>
          <w:rFonts w:hint="eastAsia"/>
          <w:rtl/>
        </w:rPr>
        <w:t> </w:t>
      </w:r>
      <w:r w:rsidRPr="00977A67">
        <w:rPr>
          <w:rFonts w:hint="cs"/>
          <w:rtl/>
        </w:rPr>
        <w:t>128 تسجيل وتجديد. كما بلغت الإيرادات المتأتية من رسوم نظام لاهاي 6,3 مليون فرنك سويسري؛ ممّا يُعد انخفاضا قدره 4,9 مليون فرنك سويسري، أو بنسبة 43,6</w:t>
      </w:r>
      <w:r w:rsidRPr="00977A67">
        <w:rPr>
          <w:rFonts w:hint="eastAsia"/>
          <w:rtl/>
        </w:rPr>
        <w:t> </w:t>
      </w:r>
      <w:r w:rsidRPr="00977A67">
        <w:rPr>
          <w:rFonts w:hint="cs"/>
          <w:rtl/>
        </w:rPr>
        <w:t>بالمائة، مقابل المبلغ المستهدف في الميزانية والبالغ 11,2 مليون فرنك سويسري. وسبب ذلك الانخفاض هو تراجع في عدد التسجيلات والتجديدات بنسبة 37,3 بالمائة، أو  بمقدار 647</w:t>
      </w:r>
      <w:r w:rsidRPr="00977A67">
        <w:rPr>
          <w:rFonts w:hint="eastAsia"/>
          <w:rtl/>
        </w:rPr>
        <w:t> </w:t>
      </w:r>
      <w:r w:rsidRPr="00977A67">
        <w:rPr>
          <w:rFonts w:hint="cs"/>
          <w:rtl/>
        </w:rPr>
        <w:t xml:space="preserve">6 تسجيل وتجديد، </w:t>
      </w:r>
      <w:r w:rsidRPr="00977A67">
        <w:rPr>
          <w:rFonts w:hint="eastAsia"/>
          <w:rtl/>
        </w:rPr>
        <w:t xml:space="preserve">بالمقارنة مع العدد المستهدف في الميزانية والبالغ </w:t>
      </w:r>
      <w:r w:rsidRPr="00977A67">
        <w:rPr>
          <w:rFonts w:hint="cs"/>
          <w:rtl/>
        </w:rPr>
        <w:t>800</w:t>
      </w:r>
      <w:r w:rsidRPr="00977A67">
        <w:rPr>
          <w:rFonts w:hint="eastAsia"/>
          <w:rtl/>
        </w:rPr>
        <w:t> </w:t>
      </w:r>
      <w:r w:rsidRPr="00977A67">
        <w:rPr>
          <w:rFonts w:hint="cs"/>
          <w:rtl/>
        </w:rPr>
        <w:t>17 تسجيل وتجديد.</w:t>
      </w:r>
    </w:p>
    <w:p w:rsidR="006715D6" w:rsidRPr="00977A67" w:rsidRDefault="006715D6" w:rsidP="006715D6">
      <w:pPr>
        <w:pStyle w:val="NormalParaAR"/>
        <w:rPr>
          <w:rtl/>
        </w:rPr>
      </w:pPr>
      <w:r w:rsidRPr="00977A67">
        <w:rPr>
          <w:rFonts w:hint="cs"/>
          <w:rtl/>
        </w:rPr>
        <w:t>وبلغت الإيرادات المتأتية من أنشطة التحكيم 3.3 مليون فرنك سويسري وتجاوزت بالتالي المبلغ المستهدف في الميزانية والبالغ 2,7 مليون فرنك سويسري بنسبة 19 بالمائة. وتُعزى تلك الزيادة أساسا إلى الإيرادات المتأتية من معالجة القضايا في إطار سياستين لتسوية المنازعات المتعلقة بأسماء الحقوق هما: ا</w:t>
      </w:r>
      <w:r w:rsidRPr="00977A67">
        <w:rPr>
          <w:rtl/>
        </w:rPr>
        <w:t>لسياسة الموحدة لتسوية المنازعات المتعلقة بأسماء الحقول</w:t>
      </w:r>
      <w:r w:rsidRPr="00977A67">
        <w:rPr>
          <w:rFonts w:hint="cs"/>
          <w:rtl/>
        </w:rPr>
        <w:t xml:space="preserve"> والاعتراضات القائمة على الحقوق القانونية، علما بأنّ تلك الإيرادات لم تُدرج أصلا في تقديرات الإيرادات.</w:t>
      </w:r>
    </w:p>
    <w:p w:rsidR="006715D6" w:rsidRPr="00977A67" w:rsidRDefault="006715D6" w:rsidP="006715D6">
      <w:pPr>
        <w:pStyle w:val="NormalParaAR"/>
        <w:rPr>
          <w:rtl/>
        </w:rPr>
      </w:pPr>
      <w:r w:rsidRPr="00977A67">
        <w:rPr>
          <w:rFonts w:hint="cs"/>
          <w:rtl/>
        </w:rPr>
        <w:t xml:space="preserve">وبلغت الإيرادات المتأتية من الفوائد 3,4 مليون فرنك سويسري، وهي أدنى بنسبة 57,8 بالمائة من الإيرادات المقدّرة في ميزانية الثنائية 2012/13. </w:t>
      </w:r>
      <w:r w:rsidRPr="00977A67">
        <w:rPr>
          <w:rtl/>
        </w:rPr>
        <w:t>ويُعزى ذلك، أساسا، إلى انخفاض سعر الفائدة المكتسبة من حسابات ودائع الويبو لدى البنك الوطني السويسري</w:t>
      </w:r>
      <w:r w:rsidRPr="00977A67">
        <w:rPr>
          <w:rFonts w:hint="cs"/>
          <w:rtl/>
        </w:rPr>
        <w:t>.</w:t>
      </w:r>
    </w:p>
    <w:p w:rsidR="006715D6" w:rsidRPr="00977A67" w:rsidRDefault="006715D6" w:rsidP="006715D6">
      <w:pPr>
        <w:pStyle w:val="NormalParaAR"/>
        <w:rPr>
          <w:rtl/>
        </w:rPr>
        <w:sectPr w:rsidR="006715D6" w:rsidRPr="00977A67" w:rsidSect="005356F1">
          <w:headerReference w:type="first" r:id="rId48"/>
          <w:pgSz w:w="11907" w:h="16840" w:code="9"/>
          <w:pgMar w:top="567" w:right="1418" w:bottom="1418" w:left="1134" w:header="510" w:footer="1021" w:gutter="0"/>
          <w:cols w:space="720"/>
          <w:titlePg/>
          <w:docGrid w:linePitch="299"/>
        </w:sectPr>
      </w:pPr>
      <w:r w:rsidRPr="00977A67">
        <w:rPr>
          <w:rFonts w:hint="cs"/>
          <w:rtl/>
        </w:rPr>
        <w:t>وبلغت الإيرادات المتأتية من مصادر متنوعة 8,7 مليون فرنك سويسري وتجاوزت بالتالي المبلغ المرصود في الميزانية بمقدار 4,1 مليون فرنك سويسري أو بنسبة تفوق 90 بالمائة. ويشمل ذلك تسويات محاسبية مختلفة فيما يخص الأعوام السابقة، وتسويات سعر صرف العملات، وإيرادات الإيجار، والرسوم الإدارية الخاصة ببرنامج الأمم المتحدة الإنمائي، وغير ذلك. والزيادة المُسجّلة مقابل ما هو مستهدف في الميزانية تعود أساسا إلى الإشعارات الدائنة المتعلقة بخدمات مركز الأمم المتحدة الدولي للحوسبة.</w:t>
      </w:r>
    </w:p>
    <w:p w:rsidR="006715D6" w:rsidRPr="00977A67" w:rsidRDefault="006715D6" w:rsidP="006715D6">
      <w:pPr>
        <w:pStyle w:val="Heading1AR"/>
        <w:outlineLvl w:val="0"/>
        <w:rPr>
          <w:rtl/>
        </w:rPr>
      </w:pPr>
      <w:bookmarkStart w:id="74" w:name="_Toc394905508"/>
      <w:bookmarkStart w:id="75" w:name="_Toc394911939"/>
      <w:bookmarkStart w:id="76" w:name="_Toc394914270"/>
      <w:r w:rsidRPr="00977A67">
        <w:rPr>
          <w:rFonts w:hint="cs"/>
          <w:rtl/>
        </w:rPr>
        <w:t>الاستثمارات في الثنائية 2012/13</w:t>
      </w:r>
      <w:bookmarkEnd w:id="74"/>
      <w:bookmarkEnd w:id="75"/>
      <w:bookmarkEnd w:id="76"/>
    </w:p>
    <w:p w:rsidR="006715D6" w:rsidRPr="00977A67" w:rsidRDefault="006715D6" w:rsidP="006715D6">
      <w:pPr>
        <w:pStyle w:val="NormalParaAR"/>
        <w:rPr>
          <w:rtl/>
        </w:rPr>
      </w:pPr>
      <w:r w:rsidRPr="00977A67">
        <w:rPr>
          <w:rFonts w:hint="cs"/>
          <w:rtl/>
        </w:rPr>
        <w:t>توظّف الويبو جميع استثماراتها طبقا لسياستها الخاصة بالاستثمارات والتي اعتمدتها الدول الأعضاء في الدورة التاسعة والأربعين للجمعيات (الوثيقة</w:t>
      </w:r>
      <w:r w:rsidRPr="00977A67">
        <w:rPr>
          <w:rFonts w:hint="eastAsia"/>
          <w:rtl/>
        </w:rPr>
        <w:t> </w:t>
      </w:r>
      <w:r w:rsidRPr="00977A67">
        <w:t>A/49/14</w:t>
      </w:r>
      <w:r w:rsidRPr="00977A67">
        <w:rPr>
          <w:rFonts w:hint="cs"/>
          <w:rtl/>
        </w:rPr>
        <w:t>) المعقودة في عام 2011.</w:t>
      </w:r>
    </w:p>
    <w:p w:rsidR="006715D6" w:rsidRPr="00977A67" w:rsidRDefault="006715D6" w:rsidP="006715D6">
      <w:pPr>
        <w:pStyle w:val="NormalParaAR"/>
        <w:rPr>
          <w:rtl/>
        </w:rPr>
      </w:pPr>
      <w:r w:rsidRPr="00977A67">
        <w:rPr>
          <w:rFonts w:hint="cs"/>
          <w:rtl/>
        </w:rPr>
        <w:t>وبناء عليه تُوظَّف الاستثمارات على النحو التالي:</w:t>
      </w:r>
    </w:p>
    <w:p w:rsidR="006715D6" w:rsidRPr="00977A67" w:rsidRDefault="006715D6" w:rsidP="006715D6">
      <w:pPr>
        <w:pStyle w:val="NormalParaAR"/>
        <w:rPr>
          <w:rtl/>
        </w:rPr>
      </w:pPr>
      <w:r w:rsidRPr="00977A67">
        <w:rPr>
          <w:rFonts w:hint="cs"/>
          <w:rtl/>
        </w:rPr>
        <w:t>(أ)</w:t>
      </w:r>
      <w:r w:rsidRPr="00977A67">
        <w:rPr>
          <w:rFonts w:hint="cs"/>
          <w:rtl/>
        </w:rPr>
        <w:tab/>
        <w:t>تودع جميع الاستثمارات التي توظّفها الويبو بالفرنك السويسري لدى البنك الوطني السويسري (</w:t>
      </w:r>
      <w:r w:rsidRPr="00977A67">
        <w:t>BNS</w:t>
      </w:r>
      <w:r w:rsidRPr="00977A67">
        <w:rPr>
          <w:rFonts w:hint="cs"/>
          <w:rtl/>
        </w:rPr>
        <w:t>) شريطة أن يكون سعر الفائدة المقترح أعلى من ذلك الذي تقترحه البنوك التجارية التي تتمت</w:t>
      </w:r>
      <w:r w:rsidRPr="00977A67">
        <w:rPr>
          <w:rFonts w:hint="eastAsia"/>
          <w:rtl/>
        </w:rPr>
        <w:t>ع</w:t>
      </w:r>
      <w:r w:rsidRPr="00977A67">
        <w:rPr>
          <w:rFonts w:hint="cs"/>
          <w:rtl/>
        </w:rPr>
        <w:t xml:space="preserve"> بدرجة الثقة المطلوبة.</w:t>
      </w:r>
    </w:p>
    <w:p w:rsidR="006715D6" w:rsidRPr="00977A67" w:rsidRDefault="006715D6" w:rsidP="006715D6">
      <w:pPr>
        <w:pStyle w:val="NormalParaAR"/>
        <w:rPr>
          <w:rtl/>
        </w:rPr>
      </w:pPr>
      <w:r w:rsidRPr="00977A67">
        <w:rPr>
          <w:rFonts w:hint="cs"/>
          <w:rtl/>
        </w:rPr>
        <w:t>(ب)</w:t>
      </w:r>
      <w:r w:rsidRPr="00977A67">
        <w:rPr>
          <w:rFonts w:hint="cs"/>
          <w:rtl/>
        </w:rPr>
        <w:tab/>
        <w:t xml:space="preserve">وأما الاستثمارات التي توظّفها الويبو من غير تلك المودعة لدى البنك الوطني السويسري فتقتصر على صناديق السوق النقدية وودائع لأجل لدى بنوك تتمتع بدرجة ثقة تضاهي </w:t>
      </w:r>
      <w:r w:rsidRPr="00977A67">
        <w:t>AA-/Aa3</w:t>
      </w:r>
      <w:r w:rsidRPr="00977A67">
        <w:rPr>
          <w:rFonts w:hint="cs"/>
          <w:rtl/>
        </w:rPr>
        <w:t xml:space="preserve"> (</w:t>
      </w:r>
      <w:smartTag w:uri="urn:schemas-microsoft-com:office:smarttags" w:element="PersonName">
        <w:r w:rsidRPr="00977A67">
          <w:t>Standard</w:t>
        </w:r>
      </w:smartTag>
      <w:r w:rsidRPr="00977A67">
        <w:t xml:space="preserve"> and Poor-s/Moody-s</w:t>
      </w:r>
      <w:r w:rsidRPr="00977A67">
        <w:rPr>
          <w:rFonts w:hint="cs"/>
          <w:rtl/>
        </w:rPr>
        <w:t xml:space="preserve">) أو أعلى من ذلك، وعلى بنوك خاصة أو حكومية تتمتع بدرجة ثقة عالية تضاهي </w:t>
      </w:r>
      <w:r w:rsidRPr="00977A67">
        <w:t>AA-/Aa3</w:t>
      </w:r>
      <w:r w:rsidRPr="00977A67">
        <w:rPr>
          <w:rFonts w:hint="cs"/>
          <w:rtl/>
        </w:rPr>
        <w:t xml:space="preserve"> أو أعلى من ذلك.</w:t>
      </w:r>
    </w:p>
    <w:p w:rsidR="006715D6" w:rsidRPr="00977A67" w:rsidRDefault="006715D6" w:rsidP="006715D6">
      <w:pPr>
        <w:pStyle w:val="NormalParaAR"/>
        <w:rPr>
          <w:rtl/>
        </w:rPr>
      </w:pPr>
      <w:r w:rsidRPr="00977A67">
        <w:rPr>
          <w:rFonts w:hint="cs"/>
          <w:rtl/>
        </w:rPr>
        <w:t>(ج)</w:t>
      </w:r>
      <w:r w:rsidRPr="00977A67">
        <w:rPr>
          <w:rFonts w:hint="cs"/>
          <w:rtl/>
        </w:rPr>
        <w:tab/>
        <w:t xml:space="preserve">وتُوظَّف الأموال المودعة في شكل صناديق </w:t>
      </w:r>
      <w:proofErr w:type="spellStart"/>
      <w:r w:rsidRPr="00977A67">
        <w:rPr>
          <w:rFonts w:hint="cs"/>
          <w:rtl/>
        </w:rPr>
        <w:t>استئمانية</w:t>
      </w:r>
      <w:proofErr w:type="spellEnd"/>
      <w:r w:rsidRPr="00977A67">
        <w:rPr>
          <w:rFonts w:hint="cs"/>
          <w:rtl/>
        </w:rPr>
        <w:t xml:space="preserve"> (حسابات خاصة) في صناديق السوق النقدية وودائع لأجل لدى بنوك تتمتع بدرجة الثقة المطلوبة.</w:t>
      </w:r>
    </w:p>
    <w:p w:rsidR="006715D6" w:rsidRPr="00977A67" w:rsidRDefault="006715D6" w:rsidP="006715D6">
      <w:pPr>
        <w:pStyle w:val="NormalParaAR"/>
        <w:rPr>
          <w:rtl/>
          <w:lang w:val="fr-CH"/>
        </w:rPr>
      </w:pPr>
      <w:r w:rsidRPr="00977A67">
        <w:rPr>
          <w:rFonts w:hint="cs"/>
          <w:rtl/>
        </w:rPr>
        <w:t>ويورد الجدول 7 تفاصيل الاستثمارات المُوظَّفة خلال الثنائية. والجدير بالملاحظة أنّ المنظمة لم تعد قادرة، ضمن شروط السياسة الخاصة بالاستثمارات، على توظيف ودائع لدى كل من البنكين الرئيسيين المتعاملين معها، وهما اتحاد البنوك السويسرية (</w:t>
      </w:r>
      <w:r w:rsidRPr="00977A67">
        <w:t>UBS</w:t>
      </w:r>
      <w:r w:rsidRPr="00977A67">
        <w:rPr>
          <w:rFonts w:hint="cs"/>
          <w:rtl/>
        </w:rPr>
        <w:t>) والقرض السويسري (</w:t>
      </w:r>
      <w:proofErr w:type="spellStart"/>
      <w:r w:rsidRPr="00977A67">
        <w:t>Crédit</w:t>
      </w:r>
      <w:proofErr w:type="spellEnd"/>
      <w:r w:rsidRPr="00977A67">
        <w:t xml:space="preserve"> </w:t>
      </w:r>
      <w:r w:rsidRPr="00977A67">
        <w:rPr>
          <w:lang w:val="fr-CH"/>
        </w:rPr>
        <w:t>Suisse</w:t>
      </w:r>
      <w:r w:rsidRPr="00977A67">
        <w:rPr>
          <w:rFonts w:hint="cs"/>
          <w:rtl/>
          <w:lang w:val="fr-CH"/>
        </w:rPr>
        <w:t>)، لأنّ درجتي الثقة اللّتين يتمتع بهما البنكان على المدى البعيد أقلّ من أدنى المستوى الذي تشترطه السياسة.</w:t>
      </w:r>
    </w:p>
    <w:p w:rsidR="006715D6" w:rsidRPr="00977A67" w:rsidRDefault="006715D6" w:rsidP="006715D6">
      <w:pPr>
        <w:pStyle w:val="Heading2AR"/>
        <w:outlineLvl w:val="1"/>
        <w:rPr>
          <w:b/>
          <w:bCs/>
          <w:rtl/>
        </w:rPr>
      </w:pPr>
      <w:bookmarkStart w:id="77" w:name="_Toc394905509"/>
      <w:bookmarkStart w:id="78" w:name="_Toc394911940"/>
      <w:bookmarkStart w:id="79" w:name="_Toc394914271"/>
      <w:r w:rsidRPr="00977A67">
        <w:rPr>
          <w:rFonts w:hint="cs"/>
          <w:b/>
          <w:bCs/>
          <w:rtl/>
        </w:rPr>
        <w:t>المخاطر المالية</w:t>
      </w:r>
      <w:bookmarkEnd w:id="77"/>
      <w:bookmarkEnd w:id="78"/>
      <w:bookmarkEnd w:id="79"/>
    </w:p>
    <w:p w:rsidR="006715D6" w:rsidRPr="00977A67" w:rsidRDefault="006715D6" w:rsidP="006715D6">
      <w:pPr>
        <w:pStyle w:val="NormalParaAR"/>
        <w:rPr>
          <w:rtl/>
        </w:rPr>
      </w:pPr>
      <w:r w:rsidRPr="00977A67">
        <w:rPr>
          <w:rFonts w:hint="cs"/>
          <w:rtl/>
        </w:rPr>
        <w:t>وضعت الويبو سياسات إدارة المخاطر المالية وفقا لنظامها المالي ولائحته. وتتعرّض المنظمة لبعض المخاطر المالية، بما في ذلك المخاطر المرتبطة بالقروض والفوائد والسيولة وصرف العملات الأجنبية. والهدف الرئيسي لسياسة المنظمة الخاصة بالاستثمارا</w:t>
      </w:r>
      <w:r w:rsidRPr="00977A67">
        <w:rPr>
          <w:rFonts w:hint="eastAsia"/>
          <w:rtl/>
        </w:rPr>
        <w:t>ت</w:t>
      </w:r>
      <w:r w:rsidRPr="00977A67">
        <w:rPr>
          <w:rFonts w:hint="cs"/>
          <w:rtl/>
        </w:rPr>
        <w:t xml:space="preserve"> هو استبعاد تعرّض الأموال الأصلية للخطر والعمل، في الوقت ذاته، على ضمان توافر السيولة اللازمة لتلبية متطلبات التدفق النقدي للمنظمة. وفي إطار هذا الهدف العام تراعي إدارة استثمارات المنظمة الاعتبارات الرئيسية التالية المُرتّبة حسب أهميتها:</w:t>
      </w:r>
    </w:p>
    <w:p w:rsidR="006715D6" w:rsidRPr="00977A67" w:rsidRDefault="006715D6" w:rsidP="006715D6">
      <w:pPr>
        <w:pStyle w:val="NormalParaAR"/>
        <w:rPr>
          <w:rtl/>
        </w:rPr>
      </w:pPr>
      <w:r w:rsidRPr="00977A67">
        <w:rPr>
          <w:rFonts w:hint="cs"/>
          <w:rtl/>
        </w:rPr>
        <w:t>(1)</w:t>
      </w:r>
      <w:r w:rsidRPr="00977A67">
        <w:rPr>
          <w:rtl/>
        </w:rPr>
        <w:tab/>
      </w:r>
      <w:r w:rsidRPr="00977A67">
        <w:rPr>
          <w:rFonts w:hint="cs"/>
          <w:rtl/>
        </w:rPr>
        <w:t>صون رأس المال؛</w:t>
      </w:r>
    </w:p>
    <w:p w:rsidR="006715D6" w:rsidRPr="00977A67" w:rsidRDefault="006715D6" w:rsidP="006715D6">
      <w:pPr>
        <w:pStyle w:val="NormalParaAR"/>
        <w:rPr>
          <w:rtl/>
        </w:rPr>
      </w:pPr>
      <w:r w:rsidRPr="00977A67">
        <w:rPr>
          <w:rFonts w:hint="cs"/>
          <w:rtl/>
        </w:rPr>
        <w:t>(2)</w:t>
      </w:r>
      <w:r w:rsidRPr="00977A67">
        <w:rPr>
          <w:rtl/>
        </w:rPr>
        <w:tab/>
      </w:r>
      <w:r w:rsidRPr="00977A67">
        <w:rPr>
          <w:rFonts w:hint="cs"/>
          <w:rtl/>
        </w:rPr>
        <w:t>والسيولة؛</w:t>
      </w:r>
    </w:p>
    <w:p w:rsidR="006715D6" w:rsidRPr="00977A67" w:rsidRDefault="006715D6" w:rsidP="006715D6">
      <w:pPr>
        <w:pStyle w:val="NormalParaAR"/>
        <w:rPr>
          <w:rtl/>
        </w:rPr>
      </w:pPr>
      <w:r w:rsidRPr="00977A67">
        <w:rPr>
          <w:rFonts w:hint="cs"/>
          <w:rtl/>
        </w:rPr>
        <w:t>(3)</w:t>
      </w:r>
      <w:r w:rsidRPr="00977A67">
        <w:rPr>
          <w:rtl/>
        </w:rPr>
        <w:tab/>
      </w:r>
      <w:r w:rsidRPr="00977A67">
        <w:rPr>
          <w:rFonts w:hint="cs"/>
          <w:rtl/>
        </w:rPr>
        <w:t>ومعدل العائد؛</w:t>
      </w:r>
    </w:p>
    <w:p w:rsidR="006715D6" w:rsidRPr="00977A67" w:rsidRDefault="006715D6" w:rsidP="006715D6">
      <w:pPr>
        <w:pStyle w:val="NormalParaAR"/>
        <w:keepNext/>
        <w:rPr>
          <w:i/>
          <w:iCs/>
          <w:rtl/>
        </w:rPr>
      </w:pPr>
      <w:r w:rsidRPr="00977A67">
        <w:rPr>
          <w:rFonts w:hint="cs"/>
          <w:i/>
          <w:iCs/>
          <w:rtl/>
        </w:rPr>
        <w:t>المخاطر المرتبطة بالقروض</w:t>
      </w:r>
    </w:p>
    <w:p w:rsidR="006715D6" w:rsidRPr="00977A67" w:rsidRDefault="006715D6" w:rsidP="006715D6">
      <w:pPr>
        <w:pStyle w:val="NormalParaAR"/>
        <w:rPr>
          <w:rtl/>
        </w:rPr>
      </w:pPr>
      <w:r w:rsidRPr="00977A67">
        <w:rPr>
          <w:rFonts w:hint="cs"/>
          <w:rtl/>
        </w:rPr>
        <w:t xml:space="preserve">تودع الاستثمارات لدى بنوك معرّضة لمخاطر سيادية أو تتمتع بدرجة ثقة تضاهي </w:t>
      </w:r>
      <w:r w:rsidRPr="00977A67">
        <w:t>AA-/Aa3</w:t>
      </w:r>
      <w:r w:rsidRPr="00977A67">
        <w:rPr>
          <w:rFonts w:hint="cs"/>
          <w:rtl/>
        </w:rPr>
        <w:t xml:space="preserve"> أو أعلى من ذلك. وتتأتى حسابات المنظمة المدينة، بشكل حصري تقريبا، من الدول الأعضاء التي تمثّل حكومات ذات سيادة، وبالتالي تُعتبر المخاطر المرتبطة بالقروض مخاطر ضئيلة.</w:t>
      </w:r>
    </w:p>
    <w:p w:rsidR="006715D6" w:rsidRPr="00977A67" w:rsidRDefault="006715D6" w:rsidP="006715D6">
      <w:pPr>
        <w:pStyle w:val="NormalParaAR"/>
        <w:keepNext/>
        <w:rPr>
          <w:i/>
          <w:iCs/>
          <w:rtl/>
        </w:rPr>
      </w:pPr>
      <w:r w:rsidRPr="00977A67">
        <w:rPr>
          <w:rFonts w:hint="cs"/>
          <w:i/>
          <w:iCs/>
          <w:rtl/>
        </w:rPr>
        <w:t>المخاطر المرتبطة بالفوائد</w:t>
      </w:r>
    </w:p>
    <w:p w:rsidR="006715D6" w:rsidRPr="00977A67" w:rsidRDefault="006715D6" w:rsidP="006715D6">
      <w:pPr>
        <w:pStyle w:val="NormalParaAR"/>
        <w:rPr>
          <w:rtl/>
        </w:rPr>
      </w:pPr>
      <w:r w:rsidRPr="00977A67">
        <w:rPr>
          <w:rFonts w:hint="cs"/>
          <w:rtl/>
        </w:rPr>
        <w:t>لا يُموّل سوى 3% من الميزانية التشغيلية من الإيرادات المحصلة من عائدات الاستثمار، وعليه فإنّ احتمال تعرّض المنظمة لمخاطر انخفاض سعر الفائدة محدود. ولا تستخدم المنظمة أدوات مالية للتحوّط من المخاطر المتعلقة بسعر الفائدة.</w:t>
      </w:r>
    </w:p>
    <w:p w:rsidR="006715D6" w:rsidRPr="00977A67" w:rsidRDefault="006715D6" w:rsidP="006715D6">
      <w:pPr>
        <w:pStyle w:val="NormalParaAR"/>
        <w:keepNext/>
        <w:rPr>
          <w:i/>
          <w:iCs/>
          <w:rtl/>
        </w:rPr>
      </w:pPr>
      <w:r w:rsidRPr="00977A67">
        <w:rPr>
          <w:rFonts w:hint="cs"/>
          <w:i/>
          <w:iCs/>
          <w:rtl/>
        </w:rPr>
        <w:t>المخاطر المرتبطة بالسيولة</w:t>
      </w:r>
    </w:p>
    <w:p w:rsidR="006715D6" w:rsidRPr="00977A67" w:rsidRDefault="006715D6" w:rsidP="006715D6">
      <w:pPr>
        <w:pStyle w:val="NormalParaAR"/>
        <w:rPr>
          <w:rtl/>
        </w:rPr>
      </w:pPr>
      <w:r w:rsidRPr="00977A67">
        <w:rPr>
          <w:rtl/>
        </w:rPr>
        <w:t xml:space="preserve">المنظمة </w:t>
      </w:r>
      <w:r w:rsidRPr="00977A67">
        <w:rPr>
          <w:rFonts w:hint="cs"/>
          <w:rtl/>
        </w:rPr>
        <w:t>ليست</w:t>
      </w:r>
      <w:r w:rsidRPr="00977A67">
        <w:rPr>
          <w:rtl/>
        </w:rPr>
        <w:t xml:space="preserve"> معر</w:t>
      </w:r>
      <w:r w:rsidRPr="00977A67">
        <w:rPr>
          <w:rFonts w:hint="cs"/>
          <w:rtl/>
        </w:rPr>
        <w:t>ّ</w:t>
      </w:r>
      <w:r w:rsidRPr="00977A67">
        <w:rPr>
          <w:rtl/>
        </w:rPr>
        <w:t>ضة</w:t>
      </w:r>
      <w:r w:rsidRPr="00977A67">
        <w:rPr>
          <w:rFonts w:hint="cs"/>
          <w:rtl/>
        </w:rPr>
        <w:t>، بشكل كبير، للمخاطر المرتبطة ب</w:t>
      </w:r>
      <w:r w:rsidRPr="00977A67">
        <w:rPr>
          <w:rtl/>
        </w:rPr>
        <w:t xml:space="preserve">السيولة حيث أنها تملك موارد </w:t>
      </w:r>
      <w:r w:rsidRPr="00977A67">
        <w:rPr>
          <w:rFonts w:hint="cs"/>
          <w:rtl/>
        </w:rPr>
        <w:t>نقدية ضخمة</w:t>
      </w:r>
      <w:r w:rsidRPr="00977A67">
        <w:rPr>
          <w:rtl/>
        </w:rPr>
        <w:t xml:space="preserve"> وغير م</w:t>
      </w:r>
      <w:r w:rsidRPr="00977A67">
        <w:rPr>
          <w:rFonts w:hint="cs"/>
          <w:rtl/>
        </w:rPr>
        <w:t>قيّدة تسهم نتائج عمليات المنظمة في تغذيتها</w:t>
      </w:r>
      <w:r w:rsidRPr="00977A67">
        <w:rPr>
          <w:rtl/>
        </w:rPr>
        <w:t>. و</w:t>
      </w:r>
      <w:r w:rsidRPr="00977A67">
        <w:rPr>
          <w:rFonts w:hint="cs"/>
          <w:rtl/>
        </w:rPr>
        <w:t xml:space="preserve">وُضعت </w:t>
      </w:r>
      <w:r w:rsidRPr="00977A67">
        <w:rPr>
          <w:rtl/>
        </w:rPr>
        <w:t xml:space="preserve">سياسة المنظمة الاستثمارية لضمان </w:t>
      </w:r>
      <w:r w:rsidRPr="00977A67">
        <w:rPr>
          <w:rFonts w:hint="cs"/>
          <w:rtl/>
        </w:rPr>
        <w:t>توظيف</w:t>
      </w:r>
      <w:r w:rsidRPr="00977A67">
        <w:rPr>
          <w:rtl/>
        </w:rPr>
        <w:t xml:space="preserve"> الاستثمارات</w:t>
      </w:r>
      <w:r w:rsidRPr="00977A67">
        <w:rPr>
          <w:rFonts w:hint="cs"/>
          <w:rtl/>
        </w:rPr>
        <w:t xml:space="preserve">، أساسا، </w:t>
      </w:r>
      <w:r w:rsidRPr="00977A67">
        <w:rPr>
          <w:rtl/>
        </w:rPr>
        <w:t>في شكل ودائع سيولة قصيرة الأجل</w:t>
      </w:r>
      <w:r w:rsidRPr="00977A67">
        <w:rPr>
          <w:rFonts w:hint="cs"/>
          <w:rtl/>
        </w:rPr>
        <w:t>.</w:t>
      </w:r>
    </w:p>
    <w:p w:rsidR="006715D6" w:rsidRPr="00977A67" w:rsidRDefault="006715D6" w:rsidP="006715D6">
      <w:pPr>
        <w:pStyle w:val="NormalParaAR"/>
        <w:keepNext/>
        <w:rPr>
          <w:i/>
          <w:iCs/>
          <w:rtl/>
        </w:rPr>
      </w:pPr>
      <w:r w:rsidRPr="00977A67">
        <w:rPr>
          <w:rFonts w:hint="cs"/>
          <w:i/>
          <w:iCs/>
          <w:rtl/>
        </w:rPr>
        <w:t>المخاطر المرتبطة بصرف العملات الأجنبية</w:t>
      </w:r>
    </w:p>
    <w:p w:rsidR="006715D6" w:rsidRPr="00977A67" w:rsidRDefault="006715D6" w:rsidP="006715D6">
      <w:pPr>
        <w:pStyle w:val="NormalParaAR"/>
        <w:rPr>
          <w:rtl/>
        </w:rPr>
      </w:pPr>
      <w:r w:rsidRPr="00977A67">
        <w:rPr>
          <w:rFonts w:hint="cs"/>
          <w:rtl/>
        </w:rPr>
        <w:t>تتعرّض المنظمة للمخاطر المرتبطة بصرف العملات الأجنبية والناجم</w:t>
      </w:r>
      <w:r w:rsidRPr="00977A67">
        <w:rPr>
          <w:rFonts w:hint="eastAsia"/>
          <w:rtl/>
        </w:rPr>
        <w:t>ة</w:t>
      </w:r>
      <w:r w:rsidRPr="00977A67">
        <w:rPr>
          <w:rFonts w:hint="cs"/>
          <w:rtl/>
        </w:rPr>
        <w:t xml:space="preserve"> عن تقلبات أسعار صرف تلك العملات. </w:t>
      </w:r>
      <w:r w:rsidRPr="00977A67">
        <w:rPr>
          <w:rtl/>
        </w:rPr>
        <w:t>وتدار الاستثمارات</w:t>
      </w:r>
      <w:r w:rsidRPr="00977A67">
        <w:rPr>
          <w:rFonts w:hint="cs"/>
          <w:rtl/>
        </w:rPr>
        <w:t xml:space="preserve"> التي تُوظّف على المدى القصير والمديين المتوسط والبعيد </w:t>
      </w:r>
      <w:r w:rsidRPr="00977A67">
        <w:rPr>
          <w:rtl/>
        </w:rPr>
        <w:t>بالتوفيق، قدر الإمكان، بين العملات الموجودة والتدفقات النقدية المتوق</w:t>
      </w:r>
      <w:r w:rsidRPr="00977A67">
        <w:rPr>
          <w:rFonts w:hint="cs"/>
          <w:rtl/>
        </w:rPr>
        <w:t>ّ</w:t>
      </w:r>
      <w:r w:rsidRPr="00977A67">
        <w:rPr>
          <w:rtl/>
        </w:rPr>
        <w:t>عة والمصروفات المتوق</w:t>
      </w:r>
      <w:r w:rsidRPr="00977A67">
        <w:rPr>
          <w:rFonts w:hint="cs"/>
          <w:rtl/>
        </w:rPr>
        <w:t>ّ</w:t>
      </w:r>
      <w:r w:rsidRPr="00977A67">
        <w:rPr>
          <w:rtl/>
        </w:rPr>
        <w:t>عة حسب العملة والفترة الزمنية.</w:t>
      </w:r>
      <w:r w:rsidRPr="00977A67">
        <w:rPr>
          <w:rFonts w:hint="cs"/>
          <w:rtl/>
        </w:rPr>
        <w:t xml:space="preserve"> </w:t>
      </w:r>
      <w:r w:rsidRPr="00977A67">
        <w:rPr>
          <w:rtl/>
        </w:rPr>
        <w:t xml:space="preserve">ولا تستعمل المنظمة الأدوات المالية المشتقة من أجل </w:t>
      </w:r>
      <w:r w:rsidRPr="00977A67">
        <w:rPr>
          <w:rFonts w:hint="cs"/>
          <w:rtl/>
        </w:rPr>
        <w:t>التحوّط</w:t>
      </w:r>
      <w:r w:rsidRPr="00977A67">
        <w:rPr>
          <w:rtl/>
        </w:rPr>
        <w:t xml:space="preserve"> </w:t>
      </w:r>
      <w:r w:rsidRPr="00977A67">
        <w:rPr>
          <w:rFonts w:hint="cs"/>
          <w:rtl/>
        </w:rPr>
        <w:t xml:space="preserve">من </w:t>
      </w:r>
      <w:r w:rsidRPr="00977A67">
        <w:rPr>
          <w:rtl/>
        </w:rPr>
        <w:t>المخاطر ال</w:t>
      </w:r>
      <w:r w:rsidRPr="00977A67">
        <w:rPr>
          <w:rFonts w:hint="cs"/>
          <w:rtl/>
        </w:rPr>
        <w:t>مرتبطة ب</w:t>
      </w:r>
      <w:r w:rsidRPr="00977A67">
        <w:rPr>
          <w:rtl/>
        </w:rPr>
        <w:t>صرف العملات.</w:t>
      </w:r>
    </w:p>
    <w:p w:rsidR="006715D6" w:rsidRDefault="006715D6" w:rsidP="006715D6">
      <w:pPr>
        <w:pStyle w:val="Heading2AR"/>
        <w:tabs>
          <w:tab w:val="right" w:pos="1133"/>
        </w:tabs>
        <w:spacing w:after="120"/>
        <w:jc w:val="center"/>
        <w:outlineLvl w:val="1"/>
        <w:rPr>
          <w:b/>
          <w:bCs/>
          <w:sz w:val="36"/>
          <w:szCs w:val="36"/>
          <w:rtl/>
        </w:rPr>
      </w:pPr>
      <w:bookmarkStart w:id="80" w:name="_Toc394905510"/>
      <w:bookmarkStart w:id="81" w:name="_Toc394911941"/>
      <w:bookmarkStart w:id="82" w:name="_Toc394914272"/>
      <w:r w:rsidRPr="00977A67">
        <w:rPr>
          <w:rFonts w:hint="cs"/>
          <w:b/>
          <w:bCs/>
          <w:sz w:val="36"/>
          <w:szCs w:val="36"/>
          <w:rtl/>
        </w:rPr>
        <w:t>الجدول 7</w:t>
      </w:r>
      <w:r w:rsidRPr="00977A67">
        <w:rPr>
          <w:b/>
          <w:bCs/>
          <w:sz w:val="36"/>
          <w:szCs w:val="36"/>
          <w:rtl/>
        </w:rPr>
        <w:tab/>
      </w:r>
      <w:r w:rsidRPr="00977A67">
        <w:rPr>
          <w:rFonts w:hint="cs"/>
          <w:b/>
          <w:bCs/>
          <w:sz w:val="36"/>
          <w:szCs w:val="36"/>
          <w:rtl/>
        </w:rPr>
        <w:tab/>
        <w:t>الاستثمارات في عامي 2012 و2013</w:t>
      </w:r>
      <w:bookmarkEnd w:id="80"/>
      <w:bookmarkEnd w:id="81"/>
      <w:bookmarkEnd w:id="82"/>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10B4FA86" wp14:editId="09FBAC24">
            <wp:extent cx="5532107" cy="857398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8470" cy="8583846"/>
                    </a:xfrm>
                    <a:prstGeom prst="rect">
                      <a:avLst/>
                    </a:prstGeom>
                    <a:noFill/>
                    <a:ln>
                      <a:noFill/>
                    </a:ln>
                  </pic:spPr>
                </pic:pic>
              </a:graphicData>
            </a:graphic>
          </wp:inline>
        </w:drawing>
      </w:r>
    </w:p>
    <w:p w:rsidR="006715D6" w:rsidRPr="00977A67" w:rsidRDefault="006715D6" w:rsidP="006715D6">
      <w:pPr>
        <w:pStyle w:val="Heading1AR"/>
        <w:outlineLvl w:val="0"/>
        <w:rPr>
          <w:rtl/>
        </w:rPr>
      </w:pPr>
      <w:bookmarkStart w:id="83" w:name="_Toc394905511"/>
      <w:bookmarkStart w:id="84" w:name="_Toc394911942"/>
      <w:bookmarkStart w:id="85" w:name="_Toc394914273"/>
      <w:r w:rsidRPr="00977A67">
        <w:rPr>
          <w:rFonts w:hint="cs"/>
          <w:rtl/>
        </w:rPr>
        <w:t>البيانات المالية</w:t>
      </w:r>
      <w:bookmarkEnd w:id="83"/>
      <w:bookmarkEnd w:id="84"/>
      <w:bookmarkEnd w:id="85"/>
    </w:p>
    <w:p w:rsidR="006715D6" w:rsidRPr="00977A67" w:rsidRDefault="006715D6" w:rsidP="006715D6">
      <w:pPr>
        <w:pStyle w:val="NormalParaAR"/>
        <w:rPr>
          <w:rtl/>
        </w:rPr>
      </w:pPr>
      <w:r w:rsidRPr="00977A67">
        <w:rPr>
          <w:rFonts w:hint="cs"/>
          <w:rtl/>
        </w:rPr>
        <w:t>أعدت بيانات الويبو المالية السنوية، فيما يخص كلا من سنتي الثنائية 2012/13، وفقا للمعايير المحاسبية الدولية للقطاع العام.</w:t>
      </w:r>
    </w:p>
    <w:p w:rsidR="006715D6" w:rsidRPr="00977A67" w:rsidRDefault="006715D6" w:rsidP="006715D6">
      <w:pPr>
        <w:pStyle w:val="NormalParaAR"/>
        <w:keepNext/>
        <w:rPr>
          <w:rtl/>
        </w:rPr>
      </w:pPr>
      <w:r w:rsidRPr="00977A67">
        <w:rPr>
          <w:rFonts w:hint="cs"/>
          <w:b/>
          <w:bCs/>
          <w:rtl/>
        </w:rPr>
        <w:t>التحوّل إلى المعايير المحاسبية الدولية للقطاع العام</w:t>
      </w:r>
    </w:p>
    <w:p w:rsidR="006715D6" w:rsidRPr="00977A67" w:rsidRDefault="006715D6" w:rsidP="006715D6">
      <w:pPr>
        <w:pStyle w:val="NormalParaAR"/>
        <w:rPr>
          <w:rtl/>
        </w:rPr>
      </w:pPr>
      <w:r w:rsidRPr="00977A67">
        <w:rPr>
          <w:rFonts w:hint="cs"/>
          <w:rtl/>
        </w:rPr>
        <w:t>في 30 نوفمبر 2005، أوصت اللجنة الإدارية الرفيعة المستوى جميع المنظمات التابعة لمنظومة الأمم المتحدة باعتماد المعايير المحاسبية الدولية للقطاع العام في أنشطتها المحاسبية في أجل أقصاه عام 2010. وقد صدرت هذه التوصية بعد أن تبيّنت، بوضوح ضمن منظومة الأمم المتحدة، ضرورة التحوّل إلى معايير محاسبية محسنة ومستقلة ومقبولة على الصعيد العالمي، بغرض تحسين نوعية الإبلاغ المالي ومصداقيته. وتولى وضع تلك المعايير مجلس المعايير المحاسبية الدولية للقطاع العام (</w:t>
      </w:r>
      <w:r w:rsidRPr="00977A67">
        <w:t>IPSASB</w:t>
      </w:r>
      <w:r w:rsidRPr="00977A67">
        <w:rPr>
          <w:rFonts w:hint="cs"/>
          <w:rtl/>
        </w:rPr>
        <w:t>)، التابع للاتحاد الدولي للمحاسبين (</w:t>
      </w:r>
      <w:r w:rsidRPr="00977A67">
        <w:t>IFAC</w:t>
      </w:r>
      <w:r w:rsidRPr="00977A67">
        <w:rPr>
          <w:rFonts w:hint="cs"/>
          <w:rtl/>
        </w:rPr>
        <w:t>).</w:t>
      </w:r>
    </w:p>
    <w:p w:rsidR="006715D6" w:rsidRPr="00977A67" w:rsidRDefault="006715D6" w:rsidP="006715D6">
      <w:pPr>
        <w:pStyle w:val="NormalParaAR"/>
        <w:rPr>
          <w:rtl/>
        </w:rPr>
      </w:pPr>
      <w:r w:rsidRPr="00977A67">
        <w:rPr>
          <w:rFonts w:hint="cs"/>
          <w:rtl/>
        </w:rPr>
        <w:t>وفي الدورة الثالثة والأربعين للجمعيات (من 24 سبتمبر إلى 3 أكتوبر 2007)، وافقت الدول الأعضاء، مبدئيا، على اعتماد الويبو للمعايير المحاسبية الدولية للقطاع العام بحلول عام 2010. وانطوى مشروع تطبيق تلك المعايير في الويبو على عدد كبير من عمليات تطوير تكنولوجيا المعلومات وتغييرها، وحظي الاقتراح الخاص بهذا العمل بموافقة الدورة السادسة والأربعين للجمعيات في ديسمبر 2008. وعلى الرغم من نزوع كثير من منظمات الأمم المتحدة إلى تمديد الأجل المحدّد أصلا لتنفيذ المعايير المذكورة، فإنّ الويبو أبقت عليه في عام 2010. ونظرا لعدم إبداء عملية التدقيق أي تحفظ حيال بيانات الويبو المالية لعام 2010، أصبحت الويبو إحدى منظمات الأمم المتحدة التسع التي اعتمدت، دون سواها، المعايير المحاسبية الدولية بحلول التاريخ المحدّد أصلا لاعتمادها وهو 1 يناير 2010.</w:t>
      </w:r>
    </w:p>
    <w:p w:rsidR="006715D6" w:rsidRPr="00977A67" w:rsidRDefault="006715D6" w:rsidP="006715D6">
      <w:pPr>
        <w:pStyle w:val="NormalParaAR"/>
        <w:keepNext/>
        <w:rPr>
          <w:b/>
          <w:bCs/>
          <w:rtl/>
        </w:rPr>
      </w:pPr>
      <w:r w:rsidRPr="00977A67">
        <w:rPr>
          <w:rFonts w:hint="cs"/>
          <w:b/>
          <w:bCs/>
          <w:rtl/>
        </w:rPr>
        <w:t>الآثار المحاسبية للمعايير المحاسبية الدولية للقطاع العام</w:t>
      </w:r>
    </w:p>
    <w:p w:rsidR="006715D6" w:rsidRPr="00977A67" w:rsidRDefault="006715D6" w:rsidP="006715D6">
      <w:pPr>
        <w:pStyle w:val="NormalParaAR"/>
        <w:rPr>
          <w:rtl/>
        </w:rPr>
      </w:pPr>
      <w:r w:rsidRPr="00977A67">
        <w:rPr>
          <w:rFonts w:hint="cs"/>
          <w:rtl/>
        </w:rPr>
        <w:t>لقد اقتضى تطبيق المعايير المحاسبية الدولية للقطاع العام إدراج أساس الاستحقاق المحاسبي الكامل. وينطوي ذلك الأساس على قيد المعاملات والأحداث عند وقوعها، ممّا يعني أنّها تُقيّد في السجلات المحاسبية وتُدرج في البيانات المالية الخاصة بالفترات المالية المرتبطة بها، وليس عند تحصيل أو دفع المبالغ النقدية أو ما يعادلها.</w:t>
      </w:r>
    </w:p>
    <w:p w:rsidR="006715D6" w:rsidRPr="00977A67" w:rsidRDefault="006715D6" w:rsidP="006715D6">
      <w:pPr>
        <w:pStyle w:val="NormalParaAR"/>
        <w:rPr>
          <w:rtl/>
        </w:rPr>
      </w:pPr>
      <w:r w:rsidRPr="00977A67">
        <w:rPr>
          <w:rFonts w:hint="cs"/>
          <w:rtl/>
        </w:rPr>
        <w:t>وقد باتت الويبو مطالبة، بموجب المعايير المحاسبية الدولية للقطاع العام، بقيد قيمة استحقاقات الموظفين المستقبلية (الإجازة السنوية المتراكمة، ومنحة الإعادة إلى الوطن، والتأمين الصحي بعد انتهاء الخدمة) التي اكتسبها موظفو الويبو ولم يحصلوا عليها بعد. وتلك الخصوم تُقيّد الآن لبلورة كامل تكاليف الموظفين، بينما لم تكن تلك الاستحقاقات مُبيّنة كمصروفات في البيانات المالية السابقة إلاّ عندما تُدفع.</w:t>
      </w:r>
    </w:p>
    <w:p w:rsidR="006715D6" w:rsidRPr="00977A67" w:rsidRDefault="006715D6" w:rsidP="006715D6">
      <w:pPr>
        <w:pStyle w:val="NormalParaAR"/>
        <w:rPr>
          <w:rtl/>
        </w:rPr>
      </w:pPr>
      <w:r w:rsidRPr="00977A67">
        <w:rPr>
          <w:rFonts w:hint="cs"/>
          <w:rtl/>
        </w:rPr>
        <w:t xml:space="preserve">وتقتضي المعايير المحاسبية الدولية رسملة ممتلكات المنظمة (الأراضي والمباني) ومعداتها وبعض من أصولها غير المادية (البرمجيات، وحقوق استغلال الأراضي) في البيانات المالية وخفض قيمتها بموجب </w:t>
      </w:r>
      <w:proofErr w:type="spellStart"/>
      <w:r w:rsidRPr="00977A67">
        <w:rPr>
          <w:rFonts w:hint="cs"/>
          <w:rtl/>
        </w:rPr>
        <w:t>الاهتلاك</w:t>
      </w:r>
      <w:proofErr w:type="spellEnd"/>
      <w:r w:rsidRPr="00977A67">
        <w:rPr>
          <w:rFonts w:hint="cs"/>
          <w:rtl/>
        </w:rPr>
        <w:t xml:space="preserve"> على مدى فترات الانتفاع بها.</w:t>
      </w:r>
    </w:p>
    <w:p w:rsidR="006715D6" w:rsidRPr="00977A67" w:rsidRDefault="006715D6" w:rsidP="006715D6">
      <w:pPr>
        <w:pStyle w:val="NormalParaAR"/>
        <w:rPr>
          <w:rtl/>
        </w:rPr>
      </w:pPr>
      <w:r w:rsidRPr="00977A67">
        <w:rPr>
          <w:rFonts w:hint="cs"/>
          <w:rtl/>
        </w:rPr>
        <w:t>ويؤثّر تطبيق المعايير المحاسبية الدولية أيضا في طريقة تسجيل المنظمة للإيرادات التي تجنيها من أنشطتها. ففي كثير من الحالات تحصّل الويبو رسوما وعمولات مقابل خدمات قبل الانتهاء من إنجاز تلك الخدمات، أو قبل أن تُكتسب الرسوم طبقا للمعاهدات والاتفاقات والبروتوكولات واللوائح التي تديرها المنظمة. وفي تلك الحالات تشترط المعايير المحاسبية الدولية أن يتم تأجيل الإيرادات المتأتية من جمع الرسوم حتى تُعتبر مُكتسبة طبقا للوائح التي تحكم مصدر الإيرادات المعنية. ويسفر ذلك عن قيد خصوم لإيرادات كبيرة مُؤجّلة في بيانات الويبو المالية.</w:t>
      </w:r>
    </w:p>
    <w:p w:rsidR="006715D6" w:rsidRPr="00977A67" w:rsidRDefault="006715D6" w:rsidP="006715D6">
      <w:pPr>
        <w:pStyle w:val="NormalParaAR"/>
        <w:rPr>
          <w:rtl/>
        </w:rPr>
      </w:pPr>
      <w:r w:rsidRPr="00977A67">
        <w:rPr>
          <w:rFonts w:hint="cs"/>
          <w:rtl/>
        </w:rPr>
        <w:t>ولا يؤثّر تطبيق المعاير المحاسبية الدولية، حاليا، في إعداد وثيقة الويبو الخاصة بالبرنامج والميزانية، والتي لا تزال تُعرض على أساس استحقاق محاسبي مُعدّل. ونظرا للاختلاف القائم بين ذلك الأساس وأساس الاستحقاق المحاسبي الكامل المُطبّق على البيانات المالية تُوفر، وفقا لمتطلبات المعايير المحاسبية الدولية، إمكانية التوفيق بين الميزانية والبيانات المالية.</w:t>
      </w:r>
    </w:p>
    <w:p w:rsidR="006715D6" w:rsidRPr="00977A67" w:rsidRDefault="006715D6" w:rsidP="006715D6">
      <w:pPr>
        <w:pStyle w:val="NormalParaAR"/>
        <w:keepNext/>
        <w:rPr>
          <w:b/>
          <w:bCs/>
          <w:rtl/>
        </w:rPr>
      </w:pPr>
      <w:r w:rsidRPr="00977A67">
        <w:rPr>
          <w:rFonts w:hint="cs"/>
          <w:b/>
          <w:bCs/>
          <w:rtl/>
        </w:rPr>
        <w:t>عرض المعلومات المالية بناء على المعايير المحاسبية الدولية</w:t>
      </w:r>
    </w:p>
    <w:p w:rsidR="006715D6" w:rsidRPr="00977A67" w:rsidRDefault="006715D6" w:rsidP="006715D6">
      <w:pPr>
        <w:pStyle w:val="NormalParaAR"/>
        <w:rPr>
          <w:rtl/>
        </w:rPr>
      </w:pPr>
      <w:r w:rsidRPr="00977A67">
        <w:rPr>
          <w:rFonts w:hint="cs"/>
          <w:rtl/>
        </w:rPr>
        <w:t xml:space="preserve">نظرا لاشتراط المعايير المحاسبية الدولية إعداد بيانات مالية سنوية، تُعد بيانات الويبو المالية لكل سنة تقويمية من الثنائية على حدة. وتُعرض تلك البيانات المالية السنوية منفصلة عن تقرير الإدارة المالية، وللاطلاع على المعلومات المالية الكاملة الخاصة بالمنظمة والمُعدة طبقا لمتطلبات المعايير المحاسبية الدولية، ينبغي الرجوع إلى البيانات المالية السنوية </w:t>
      </w:r>
      <w:proofErr w:type="spellStart"/>
      <w:r w:rsidRPr="00977A67">
        <w:rPr>
          <w:rFonts w:hint="cs"/>
          <w:rtl/>
        </w:rPr>
        <w:t>للويبو</w:t>
      </w:r>
      <w:proofErr w:type="spellEnd"/>
      <w:r w:rsidRPr="00977A67">
        <w:rPr>
          <w:rFonts w:hint="cs"/>
          <w:rtl/>
        </w:rPr>
        <w:t>.</w:t>
      </w:r>
    </w:p>
    <w:p w:rsidR="006715D6" w:rsidRPr="00977A67" w:rsidRDefault="006715D6" w:rsidP="006715D6">
      <w:pPr>
        <w:pStyle w:val="NormalParaAR"/>
        <w:rPr>
          <w:rtl/>
        </w:rPr>
      </w:pPr>
      <w:r w:rsidRPr="00977A67">
        <w:rPr>
          <w:rFonts w:hint="cs"/>
          <w:rtl/>
        </w:rPr>
        <w:t>وتشمل البيانات المالية المُعدة بناء على المعايير المحاسبية الدولية، العناصر التالية:</w:t>
      </w:r>
    </w:p>
    <w:p w:rsidR="006715D6" w:rsidRPr="00977A67" w:rsidRDefault="006715D6" w:rsidP="006715D6">
      <w:pPr>
        <w:pStyle w:val="NormalParaAR"/>
        <w:numPr>
          <w:ilvl w:val="0"/>
          <w:numId w:val="22"/>
        </w:numPr>
        <w:tabs>
          <w:tab w:val="left" w:pos="3745"/>
        </w:tabs>
        <w:spacing w:after="0"/>
        <w:ind w:left="714" w:hanging="357"/>
      </w:pPr>
      <w:r w:rsidRPr="00977A67">
        <w:rPr>
          <w:rFonts w:hint="cs"/>
          <w:rtl/>
        </w:rPr>
        <w:t>البيان المالي الأول</w:t>
      </w:r>
      <w:r w:rsidRPr="00977A67">
        <w:rPr>
          <w:rFonts w:hint="cs"/>
          <w:rtl/>
        </w:rPr>
        <w:tab/>
        <w:t>- بيان الوضع المالي</w:t>
      </w:r>
    </w:p>
    <w:p w:rsidR="006715D6" w:rsidRPr="00977A67" w:rsidRDefault="006715D6" w:rsidP="006715D6">
      <w:pPr>
        <w:pStyle w:val="NormalParaAR"/>
        <w:numPr>
          <w:ilvl w:val="0"/>
          <w:numId w:val="22"/>
        </w:numPr>
        <w:tabs>
          <w:tab w:val="left" w:pos="3745"/>
        </w:tabs>
        <w:spacing w:after="0"/>
        <w:ind w:left="714" w:hanging="357"/>
      </w:pPr>
      <w:r w:rsidRPr="00977A67">
        <w:rPr>
          <w:rFonts w:hint="cs"/>
          <w:rtl/>
        </w:rPr>
        <w:t>البيان المالي الثاني</w:t>
      </w:r>
      <w:r w:rsidRPr="00977A67">
        <w:rPr>
          <w:rFonts w:hint="cs"/>
          <w:rtl/>
        </w:rPr>
        <w:tab/>
        <w:t>- بيان الأداء المالي</w:t>
      </w:r>
    </w:p>
    <w:p w:rsidR="006715D6" w:rsidRPr="00977A67" w:rsidRDefault="006715D6" w:rsidP="006715D6">
      <w:pPr>
        <w:pStyle w:val="NormalParaAR"/>
        <w:numPr>
          <w:ilvl w:val="0"/>
          <w:numId w:val="22"/>
        </w:numPr>
        <w:tabs>
          <w:tab w:val="left" w:pos="3745"/>
        </w:tabs>
        <w:spacing w:after="0"/>
        <w:ind w:left="714" w:hanging="357"/>
      </w:pPr>
      <w:r w:rsidRPr="00977A67">
        <w:rPr>
          <w:rFonts w:hint="cs"/>
          <w:rtl/>
        </w:rPr>
        <w:t>البيان المالي الثالث</w:t>
      </w:r>
      <w:r w:rsidRPr="00977A67">
        <w:rPr>
          <w:rFonts w:hint="cs"/>
          <w:rtl/>
        </w:rPr>
        <w:tab/>
        <w:t>- بيان التغييرات في صافي الأصول</w:t>
      </w:r>
    </w:p>
    <w:p w:rsidR="006715D6" w:rsidRPr="00977A67" w:rsidRDefault="006715D6" w:rsidP="006715D6">
      <w:pPr>
        <w:pStyle w:val="NormalParaAR"/>
        <w:numPr>
          <w:ilvl w:val="0"/>
          <w:numId w:val="22"/>
        </w:numPr>
        <w:tabs>
          <w:tab w:val="left" w:pos="3745"/>
        </w:tabs>
        <w:spacing w:after="0"/>
        <w:ind w:left="714" w:hanging="357"/>
      </w:pPr>
      <w:r w:rsidRPr="00977A67">
        <w:rPr>
          <w:rFonts w:hint="cs"/>
          <w:rtl/>
        </w:rPr>
        <w:t>البيان المالي الرابع</w:t>
      </w:r>
      <w:r w:rsidRPr="00977A67">
        <w:rPr>
          <w:rFonts w:hint="cs"/>
          <w:rtl/>
        </w:rPr>
        <w:tab/>
        <w:t>- بيان التدفق النقدي</w:t>
      </w:r>
    </w:p>
    <w:p w:rsidR="006715D6" w:rsidRPr="00977A67" w:rsidRDefault="006715D6" w:rsidP="006715D6">
      <w:pPr>
        <w:pStyle w:val="NormalParaAR"/>
        <w:numPr>
          <w:ilvl w:val="0"/>
          <w:numId w:val="22"/>
        </w:numPr>
        <w:tabs>
          <w:tab w:val="left" w:pos="3745"/>
        </w:tabs>
        <w:spacing w:after="0"/>
        <w:ind w:left="714" w:hanging="357"/>
      </w:pPr>
      <w:r w:rsidRPr="00977A67">
        <w:rPr>
          <w:rFonts w:hint="cs"/>
          <w:rtl/>
        </w:rPr>
        <w:t>البيان المالي الخامس</w:t>
      </w:r>
      <w:r w:rsidRPr="00977A67">
        <w:rPr>
          <w:rFonts w:hint="cs"/>
          <w:rtl/>
        </w:rPr>
        <w:tab/>
        <w:t>- بيان مقارنة المبالغ المدرجة في الميزانية والمبالغ الفعلية</w:t>
      </w:r>
    </w:p>
    <w:p w:rsidR="006715D6" w:rsidRPr="00977A67" w:rsidRDefault="006715D6" w:rsidP="006715D6">
      <w:pPr>
        <w:pStyle w:val="NormalParaAR"/>
        <w:numPr>
          <w:ilvl w:val="0"/>
          <w:numId w:val="22"/>
        </w:numPr>
      </w:pPr>
      <w:r w:rsidRPr="00977A67">
        <w:rPr>
          <w:rFonts w:hint="cs"/>
          <w:rtl/>
        </w:rPr>
        <w:t>ملاحظات على البيانات المالية</w:t>
      </w:r>
    </w:p>
    <w:p w:rsidR="006715D6" w:rsidRPr="00977A67" w:rsidRDefault="006715D6" w:rsidP="006715D6">
      <w:pPr>
        <w:pStyle w:val="NormalParaAR"/>
        <w:rPr>
          <w:rtl/>
        </w:rPr>
      </w:pPr>
      <w:r w:rsidRPr="00977A67">
        <w:rPr>
          <w:rFonts w:hint="cs"/>
          <w:rtl/>
        </w:rPr>
        <w:t>ويورد تقرير الإدارة المالية البيانات المالية من الأول إلى الخامس بخصوص الثنائية 2012/13. ويورد معلومات للتمكين من فهم الاختلافات بين نتيجة المنظمة على أساس الميزانية ونتيجة المنظمة بحسب البيانات المالية المُعدة بناء على المعايير المحاسبية الدولية. وهناك مقتطفات أخرى من البيانات المالية السنوية تورد أيضا المزيد من التفاصيل بشأن أصول المنظمة وخصومها.</w:t>
      </w:r>
    </w:p>
    <w:p w:rsidR="006715D6" w:rsidRPr="00977A67" w:rsidRDefault="006715D6" w:rsidP="006715D6">
      <w:pPr>
        <w:pStyle w:val="NormalParaAR"/>
        <w:keepNext/>
        <w:rPr>
          <w:b/>
          <w:bCs/>
          <w:rtl/>
        </w:rPr>
      </w:pPr>
      <w:r w:rsidRPr="00977A67">
        <w:rPr>
          <w:rFonts w:hint="cs"/>
          <w:b/>
          <w:bCs/>
          <w:rtl/>
        </w:rPr>
        <w:t>التغيير في السياسة المحاسبية</w:t>
      </w:r>
    </w:p>
    <w:p w:rsidR="006715D6" w:rsidRPr="00977A67" w:rsidRDefault="006715D6" w:rsidP="006715D6">
      <w:pPr>
        <w:pStyle w:val="NormalParaAR"/>
        <w:rPr>
          <w:rtl/>
        </w:rPr>
      </w:pPr>
      <w:r w:rsidRPr="00977A67">
        <w:rPr>
          <w:rFonts w:hint="cs"/>
          <w:rtl/>
        </w:rPr>
        <w:t xml:space="preserve">في عام 2013، حدث تغيير في السياسة المحاسبية المتعلقة بقيد الإيرادات المتأتية من طلبات البراءات الدولية. وعقب حدوث تغييرات محدّدة في أنماط الدفع، استُحدث نموذج جديد لحساب الأرصدة المدينة والإيرادات المؤجلة المرتبطة بهذا النشاط. ويُدمج النموذج الجديد البيانات المتاحة بحسب كل طلب ويطبّق أسعار صرف العملات الأجنبية المعنية. كما يؤجّل الإيرادات المتأتية من رسوم الصفحات الإضافية حتى النشر فيما يخص جميع أشكال الطلب، ويُدمج كل تخفيضات الرسوم، بما في ذلك التخفيضات الخاصة بالبلدان النامية. وبالتالي يتيح النموذج الجديد موثوقية أكبر في حساب الأرصدة المدينة والإيرادات المؤجلة. وتم قيد أثر هذا التغيير في السياسة المحاسبية بصورة </w:t>
      </w:r>
      <w:proofErr w:type="spellStart"/>
      <w:r w:rsidRPr="00977A67">
        <w:rPr>
          <w:rFonts w:hint="cs"/>
          <w:rtl/>
        </w:rPr>
        <w:t>استعادية</w:t>
      </w:r>
      <w:proofErr w:type="spellEnd"/>
      <w:r w:rsidRPr="00977A67">
        <w:rPr>
          <w:rFonts w:hint="cs"/>
          <w:rtl/>
        </w:rPr>
        <w:t>، ممّا اقتضى وضع صيغة جديدة لأرقام المقارنة لعامي 2011 و2012 المعروضة في الجدول التالي.</w:t>
      </w:r>
    </w:p>
    <w:p w:rsidR="006715D6" w:rsidRDefault="006715D6" w:rsidP="006715D6">
      <w:pPr>
        <w:pStyle w:val="NormalParaAR"/>
        <w:keepNext/>
        <w:rPr>
          <w:rtl/>
        </w:rPr>
      </w:pPr>
      <w:r w:rsidRPr="00977A67">
        <w:rPr>
          <w:rFonts w:hint="cs"/>
          <w:rtl/>
        </w:rPr>
        <w:t>وبعد وضع الصيغة الجديدة، زاد فائض عام 2012 من 15,7 مليون فرنك سويسري إلى 19,5 مليون فرنك سويسري. وأصبح صافي الأصول بالصيغة الجديدة في 31 ديسمبر 2011 يساوي 174,2 مليون فرنك سويسري، مقابل المبلغ المعروض سابقا والبالغ 162,5 مليون فرنك سويسري. وأصبح صافي الأصول بالصيغة الجديدة في 31 ديسمبر</w:t>
      </w:r>
      <w:r w:rsidRPr="00977A67">
        <w:rPr>
          <w:rFonts w:hint="eastAsia"/>
          <w:rtl/>
        </w:rPr>
        <w:t> </w:t>
      </w:r>
      <w:r w:rsidRPr="00977A67">
        <w:rPr>
          <w:rFonts w:hint="cs"/>
          <w:rtl/>
        </w:rPr>
        <w:t>2012 يساوي 193,7 مليون فرنك سويسري، مقابل المبلغ المعروض سابقا والبالغ 178,2 مليون فرنك سويسري:</w:t>
      </w:r>
    </w:p>
    <w:p w:rsidR="006715D6" w:rsidRPr="00977A67" w:rsidRDefault="006715D6" w:rsidP="006715D6">
      <w:pPr>
        <w:pStyle w:val="NormalParaAR"/>
        <w:keepNext/>
        <w:rPr>
          <w:rtl/>
        </w:rPr>
      </w:pP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2C9DB9F" wp14:editId="14FB1F75">
            <wp:extent cx="5098415" cy="130238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98415" cy="1302385"/>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الأول</w:t>
      </w:r>
    </w:p>
    <w:p w:rsidR="006715D6" w:rsidRPr="00977A67" w:rsidRDefault="006715D6" w:rsidP="006715D6">
      <w:pPr>
        <w:pStyle w:val="Heading2AR"/>
        <w:jc w:val="center"/>
        <w:outlineLvl w:val="1"/>
        <w:rPr>
          <w:b/>
          <w:bCs/>
          <w:rtl/>
        </w:rPr>
      </w:pPr>
      <w:bookmarkStart w:id="86" w:name="_Toc394905512"/>
      <w:bookmarkStart w:id="87" w:name="_Toc394911943"/>
      <w:bookmarkStart w:id="88" w:name="_Toc394914274"/>
      <w:r w:rsidRPr="00977A67">
        <w:rPr>
          <w:rFonts w:hint="cs"/>
          <w:b/>
          <w:bCs/>
          <w:rtl/>
        </w:rPr>
        <w:t>بيان الوضع المالي</w:t>
      </w:r>
      <w:bookmarkEnd w:id="86"/>
      <w:bookmarkEnd w:id="87"/>
      <w:bookmarkEnd w:id="88"/>
    </w:p>
    <w:p w:rsidR="006715D6" w:rsidRPr="00977A67" w:rsidRDefault="006715D6" w:rsidP="006715D6">
      <w:pPr>
        <w:pStyle w:val="NormalParaAR"/>
        <w:spacing w:after="0"/>
        <w:jc w:val="center"/>
        <w:rPr>
          <w:b/>
          <w:bCs/>
          <w:rtl/>
        </w:rPr>
      </w:pPr>
      <w:r w:rsidRPr="00977A67">
        <w:rPr>
          <w:rFonts w:hint="cs"/>
          <w:b/>
          <w:bCs/>
          <w:rtl/>
        </w:rPr>
        <w:t>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0F283EE" wp14:editId="72BC0352">
            <wp:extent cx="5940425" cy="5277086"/>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5277086"/>
                    </a:xfrm>
                    <a:prstGeom prst="rect">
                      <a:avLst/>
                    </a:prstGeom>
                    <a:noFill/>
                    <a:ln>
                      <a:noFill/>
                    </a:ln>
                  </pic:spPr>
                </pic:pic>
              </a:graphicData>
            </a:graphic>
          </wp:inline>
        </w:drawing>
      </w:r>
    </w:p>
    <w:p w:rsidR="006715D6" w:rsidRPr="00977A67" w:rsidRDefault="006715D6" w:rsidP="006715D6">
      <w:pPr>
        <w:pStyle w:val="NormalParaAR"/>
        <w:rPr>
          <w:rtl/>
        </w:rPr>
      </w:pP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الثاني</w:t>
      </w:r>
    </w:p>
    <w:p w:rsidR="006715D6" w:rsidRPr="00977A67" w:rsidRDefault="006715D6" w:rsidP="006715D6">
      <w:pPr>
        <w:pStyle w:val="Heading2AR"/>
        <w:jc w:val="center"/>
        <w:outlineLvl w:val="1"/>
        <w:rPr>
          <w:b/>
          <w:bCs/>
          <w:rtl/>
        </w:rPr>
      </w:pPr>
      <w:bookmarkStart w:id="89" w:name="_Toc394911944"/>
      <w:bookmarkStart w:id="90" w:name="_Toc394914275"/>
      <w:r w:rsidRPr="00977A67">
        <w:rPr>
          <w:rFonts w:hint="cs"/>
          <w:b/>
          <w:bCs/>
          <w:rtl/>
        </w:rPr>
        <w:t>بيان الأداء المالي</w:t>
      </w:r>
      <w:bookmarkEnd w:id="89"/>
      <w:bookmarkEnd w:id="90"/>
    </w:p>
    <w:p w:rsidR="006715D6" w:rsidRPr="00977A67" w:rsidRDefault="006715D6" w:rsidP="006715D6">
      <w:pPr>
        <w:pStyle w:val="NormalParaAR"/>
        <w:spacing w:after="0"/>
        <w:jc w:val="center"/>
        <w:rPr>
          <w:b/>
          <w:bCs/>
          <w:rtl/>
        </w:rPr>
      </w:pPr>
      <w:r w:rsidRPr="00977A67">
        <w:rPr>
          <w:rFonts w:hint="cs"/>
          <w:b/>
          <w:bCs/>
          <w:rtl/>
        </w:rPr>
        <w:t>للثنائية المنتهية 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31D85408" wp14:editId="531C83DB">
            <wp:extent cx="5940425" cy="446641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4466415"/>
                    </a:xfrm>
                    <a:prstGeom prst="rect">
                      <a:avLst/>
                    </a:prstGeom>
                    <a:noFill/>
                    <a:ln>
                      <a:noFill/>
                    </a:ln>
                  </pic:spPr>
                </pic:pic>
              </a:graphicData>
            </a:graphic>
          </wp:inline>
        </w:drawing>
      </w:r>
    </w:p>
    <w:p w:rsidR="006715D6" w:rsidRPr="00977A67" w:rsidRDefault="006715D6" w:rsidP="006715D6">
      <w:pPr>
        <w:pStyle w:val="NormalParaAR"/>
        <w:rPr>
          <w:rtl/>
        </w:rPr>
      </w:pP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الثالث</w:t>
      </w:r>
    </w:p>
    <w:p w:rsidR="006715D6" w:rsidRPr="00977A67" w:rsidRDefault="006715D6" w:rsidP="006715D6">
      <w:pPr>
        <w:pStyle w:val="Heading2AR"/>
        <w:jc w:val="center"/>
        <w:outlineLvl w:val="1"/>
        <w:rPr>
          <w:b/>
          <w:bCs/>
          <w:rtl/>
        </w:rPr>
      </w:pPr>
      <w:bookmarkStart w:id="91" w:name="_Toc394905513"/>
      <w:bookmarkStart w:id="92" w:name="_Toc394911945"/>
      <w:bookmarkStart w:id="93" w:name="_Toc394914276"/>
      <w:r w:rsidRPr="00977A67">
        <w:rPr>
          <w:b/>
          <w:bCs/>
          <w:rtl/>
        </w:rPr>
        <w:t>بيان التغييرات في صافي الأصول</w:t>
      </w:r>
      <w:bookmarkEnd w:id="91"/>
      <w:bookmarkEnd w:id="92"/>
      <w:bookmarkEnd w:id="93"/>
    </w:p>
    <w:p w:rsidR="006715D6" w:rsidRPr="00977A67" w:rsidRDefault="006715D6" w:rsidP="006715D6">
      <w:pPr>
        <w:pStyle w:val="NormalParaAR"/>
        <w:spacing w:after="0"/>
        <w:jc w:val="center"/>
        <w:rPr>
          <w:b/>
          <w:bCs/>
          <w:rtl/>
        </w:rPr>
      </w:pPr>
      <w:r w:rsidRPr="00977A67">
        <w:rPr>
          <w:rFonts w:hint="cs"/>
          <w:b/>
          <w:bCs/>
          <w:rtl/>
        </w:rPr>
        <w:t>للثنائية المنتهية 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7FB574E" wp14:editId="505110A5">
            <wp:extent cx="5940425" cy="2068994"/>
            <wp:effectExtent l="0" t="0" r="317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2068994"/>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الرابع</w:t>
      </w:r>
    </w:p>
    <w:p w:rsidR="006715D6" w:rsidRPr="00977A67" w:rsidRDefault="006715D6" w:rsidP="006715D6">
      <w:pPr>
        <w:pStyle w:val="Heading2AR"/>
        <w:jc w:val="center"/>
        <w:outlineLvl w:val="1"/>
        <w:rPr>
          <w:b/>
          <w:bCs/>
          <w:rtl/>
        </w:rPr>
      </w:pPr>
      <w:bookmarkStart w:id="94" w:name="_Toc394905514"/>
      <w:bookmarkStart w:id="95" w:name="_Toc394911946"/>
      <w:bookmarkStart w:id="96" w:name="_Toc394914277"/>
      <w:r w:rsidRPr="00977A67">
        <w:rPr>
          <w:b/>
          <w:bCs/>
          <w:rtl/>
        </w:rPr>
        <w:t>بيان التدفق النقدي</w:t>
      </w:r>
      <w:bookmarkEnd w:id="94"/>
      <w:bookmarkEnd w:id="95"/>
      <w:bookmarkEnd w:id="96"/>
    </w:p>
    <w:p w:rsidR="006715D6" w:rsidRPr="00977A67" w:rsidRDefault="006715D6" w:rsidP="006715D6">
      <w:pPr>
        <w:pStyle w:val="NormalParaAR"/>
        <w:spacing w:after="0"/>
        <w:jc w:val="center"/>
        <w:rPr>
          <w:b/>
          <w:bCs/>
          <w:rtl/>
        </w:rPr>
      </w:pPr>
      <w:r w:rsidRPr="00977A67">
        <w:rPr>
          <w:rFonts w:hint="cs"/>
          <w:b/>
          <w:bCs/>
          <w:rtl/>
        </w:rPr>
        <w:t>للثنائية المنتهية 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50F86474" wp14:editId="6432A02A">
            <wp:extent cx="5940425" cy="5330290"/>
            <wp:effectExtent l="0" t="0" r="3175"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5330290"/>
                    </a:xfrm>
                    <a:prstGeom prst="rect">
                      <a:avLst/>
                    </a:prstGeom>
                    <a:noFill/>
                    <a:ln>
                      <a:noFill/>
                    </a:ln>
                  </pic:spPr>
                </pic:pic>
              </a:graphicData>
            </a:graphic>
          </wp:inline>
        </w:drawing>
      </w:r>
    </w:p>
    <w:p w:rsidR="006715D6" w:rsidRPr="00977A67" w:rsidRDefault="006715D6" w:rsidP="006715D6">
      <w:pPr>
        <w:pStyle w:val="NormalParaAR"/>
        <w:rPr>
          <w:sz w:val="28"/>
          <w:szCs w:val="28"/>
          <w:rtl/>
        </w:rPr>
      </w:pPr>
      <w:r w:rsidRPr="00977A67">
        <w:rPr>
          <w:rFonts w:hint="cs"/>
          <w:sz w:val="28"/>
          <w:szCs w:val="28"/>
          <w:rtl/>
        </w:rPr>
        <w:t xml:space="preserve">(1) </w:t>
      </w:r>
      <w:r w:rsidRPr="00977A67">
        <w:rPr>
          <w:sz w:val="28"/>
          <w:szCs w:val="28"/>
          <w:rtl/>
        </w:rPr>
        <w:t>–</w:t>
      </w:r>
      <w:r w:rsidRPr="00977A67">
        <w:rPr>
          <w:rFonts w:hint="cs"/>
          <w:sz w:val="28"/>
          <w:szCs w:val="28"/>
          <w:rtl/>
        </w:rPr>
        <w:t xml:space="preserve"> باستثناء الفوائد المحققة والفوائد المدفوعة على القروض.</w:t>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الخامس</w:t>
      </w:r>
    </w:p>
    <w:p w:rsidR="006715D6" w:rsidRPr="00977A67" w:rsidRDefault="006715D6" w:rsidP="006715D6">
      <w:pPr>
        <w:pStyle w:val="Heading2AR"/>
        <w:jc w:val="center"/>
        <w:outlineLvl w:val="1"/>
        <w:rPr>
          <w:b/>
          <w:bCs/>
          <w:rtl/>
        </w:rPr>
      </w:pPr>
      <w:bookmarkStart w:id="97" w:name="_Toc394905515"/>
      <w:bookmarkStart w:id="98" w:name="_Toc394911947"/>
      <w:bookmarkStart w:id="99" w:name="_Toc394914278"/>
      <w:r w:rsidRPr="00977A67">
        <w:rPr>
          <w:b/>
          <w:bCs/>
          <w:rtl/>
        </w:rPr>
        <w:t>بيان مقارنة المبالغ المدرجة في الميزانية والمبالغ الفعلية</w:t>
      </w:r>
      <w:r w:rsidRPr="00977A67">
        <w:rPr>
          <w:rFonts w:hint="cs"/>
          <w:b/>
          <w:bCs/>
          <w:rtl/>
        </w:rPr>
        <w:t xml:space="preserve"> - الإيرادات</w:t>
      </w:r>
      <w:bookmarkEnd w:id="97"/>
      <w:bookmarkEnd w:id="98"/>
      <w:bookmarkEnd w:id="99"/>
    </w:p>
    <w:p w:rsidR="006715D6" w:rsidRPr="00977A67" w:rsidRDefault="006715D6" w:rsidP="006715D6">
      <w:pPr>
        <w:pStyle w:val="NormalParaAR"/>
        <w:spacing w:after="0"/>
        <w:jc w:val="center"/>
        <w:rPr>
          <w:b/>
          <w:bCs/>
          <w:rtl/>
        </w:rPr>
      </w:pPr>
      <w:r w:rsidRPr="00977A67">
        <w:rPr>
          <w:rFonts w:hint="cs"/>
          <w:b/>
          <w:bCs/>
          <w:rtl/>
        </w:rPr>
        <w:t>للثنائية المنتهية 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53745ED" wp14:editId="34824055">
            <wp:extent cx="5940425" cy="3211504"/>
            <wp:effectExtent l="0" t="0" r="3175"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0425" cy="3211504"/>
                    </a:xfrm>
                    <a:prstGeom prst="rect">
                      <a:avLst/>
                    </a:prstGeom>
                    <a:noFill/>
                    <a:ln>
                      <a:noFill/>
                    </a:ln>
                  </pic:spPr>
                </pic:pic>
              </a:graphicData>
            </a:graphic>
          </wp:inline>
        </w:drawing>
      </w:r>
    </w:p>
    <w:p w:rsidR="006715D6" w:rsidRPr="00977A67" w:rsidRDefault="006715D6" w:rsidP="006715D6">
      <w:pPr>
        <w:pStyle w:val="NormalParaAR"/>
        <w:spacing w:after="0"/>
        <w:rPr>
          <w:sz w:val="28"/>
          <w:szCs w:val="28"/>
          <w:rtl/>
        </w:rPr>
      </w:pPr>
      <w:r w:rsidRPr="00977A67">
        <w:rPr>
          <w:rFonts w:hint="cs"/>
          <w:sz w:val="28"/>
          <w:szCs w:val="28"/>
          <w:rtl/>
        </w:rPr>
        <w:t xml:space="preserve">(1) - </w:t>
      </w:r>
      <w:r w:rsidRPr="00977A67">
        <w:rPr>
          <w:sz w:val="28"/>
          <w:szCs w:val="28"/>
          <w:rtl/>
        </w:rPr>
        <w:t>الميزانية المعتمدة للثنائية</w:t>
      </w:r>
      <w:r w:rsidRPr="00977A67">
        <w:rPr>
          <w:rFonts w:hint="cs"/>
          <w:sz w:val="28"/>
          <w:szCs w:val="28"/>
          <w:rtl/>
        </w:rPr>
        <w:t xml:space="preserve"> 2012/13</w:t>
      </w:r>
      <w:r w:rsidRPr="00977A67">
        <w:rPr>
          <w:sz w:val="28"/>
          <w:szCs w:val="28"/>
          <w:rtl/>
        </w:rPr>
        <w:t>.</w:t>
      </w:r>
    </w:p>
    <w:p w:rsidR="006715D6" w:rsidRPr="00977A67" w:rsidRDefault="006715D6" w:rsidP="006715D6">
      <w:pPr>
        <w:pStyle w:val="NormalParaAR"/>
        <w:spacing w:after="0"/>
        <w:rPr>
          <w:sz w:val="28"/>
          <w:szCs w:val="28"/>
          <w:rtl/>
        </w:rPr>
      </w:pPr>
      <w:r w:rsidRPr="00977A67">
        <w:rPr>
          <w:rFonts w:hint="cs"/>
          <w:sz w:val="28"/>
          <w:szCs w:val="28"/>
          <w:rtl/>
        </w:rPr>
        <w:t xml:space="preserve">(2) - </w:t>
      </w:r>
      <w:r w:rsidRPr="00977A67">
        <w:rPr>
          <w:sz w:val="28"/>
          <w:szCs w:val="28"/>
          <w:rtl/>
        </w:rPr>
        <w:t>الميزانية النهائية بعد التحويلات للثنائية</w:t>
      </w:r>
      <w:r w:rsidRPr="00977A67">
        <w:rPr>
          <w:rFonts w:hint="cs"/>
          <w:sz w:val="28"/>
          <w:szCs w:val="28"/>
          <w:rtl/>
        </w:rPr>
        <w:t xml:space="preserve"> 2012/13.</w:t>
      </w:r>
    </w:p>
    <w:p w:rsidR="006715D6" w:rsidRPr="00977A67" w:rsidRDefault="006715D6" w:rsidP="006715D6">
      <w:pPr>
        <w:pStyle w:val="NormalParaAR"/>
        <w:rPr>
          <w:sz w:val="28"/>
          <w:szCs w:val="28"/>
          <w:rtl/>
        </w:rPr>
      </w:pPr>
      <w:r w:rsidRPr="00977A67">
        <w:rPr>
          <w:rFonts w:hint="cs"/>
          <w:sz w:val="28"/>
          <w:szCs w:val="28"/>
          <w:rtl/>
        </w:rPr>
        <w:t xml:space="preserve">(3) - </w:t>
      </w:r>
      <w:r w:rsidRPr="00977A67">
        <w:rPr>
          <w:sz w:val="28"/>
          <w:szCs w:val="28"/>
          <w:rtl/>
        </w:rPr>
        <w:t>الفارق بين الميزانية النهائية بعد التحويلات للثنائية</w:t>
      </w:r>
      <w:r w:rsidRPr="00977A67">
        <w:rPr>
          <w:rFonts w:hint="cs"/>
          <w:sz w:val="28"/>
          <w:szCs w:val="28"/>
          <w:rtl/>
        </w:rPr>
        <w:t xml:space="preserve"> 2012/13 </w:t>
      </w:r>
      <w:r w:rsidRPr="00977A67">
        <w:rPr>
          <w:sz w:val="28"/>
          <w:szCs w:val="28"/>
          <w:rtl/>
        </w:rPr>
        <w:t>والإيرادات الفعلية على أساس قابل للمقارنة للثنائية</w:t>
      </w:r>
      <w:r w:rsidRPr="00977A67">
        <w:rPr>
          <w:rFonts w:hint="cs"/>
          <w:sz w:val="28"/>
          <w:szCs w:val="28"/>
          <w:rtl/>
        </w:rPr>
        <w:t xml:space="preserve"> 2012/13</w:t>
      </w:r>
      <w:r w:rsidRPr="00977A67">
        <w:rPr>
          <w:sz w:val="28"/>
          <w:szCs w:val="28"/>
          <w:rtl/>
        </w:rPr>
        <w:t>.</w:t>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NormalParaAR"/>
        <w:jc w:val="center"/>
        <w:rPr>
          <w:b/>
          <w:bCs/>
          <w:sz w:val="40"/>
          <w:szCs w:val="40"/>
          <w:rtl/>
        </w:rPr>
      </w:pPr>
      <w:r w:rsidRPr="00977A67">
        <w:rPr>
          <w:rFonts w:hint="cs"/>
          <w:b/>
          <w:bCs/>
          <w:sz w:val="40"/>
          <w:szCs w:val="40"/>
          <w:rtl/>
        </w:rPr>
        <w:t>البيان المالي الخامس</w:t>
      </w:r>
    </w:p>
    <w:p w:rsidR="006715D6" w:rsidRPr="00977A67" w:rsidRDefault="006715D6" w:rsidP="006715D6">
      <w:pPr>
        <w:pStyle w:val="Heading2AR"/>
        <w:jc w:val="center"/>
        <w:outlineLvl w:val="1"/>
        <w:rPr>
          <w:b/>
          <w:bCs/>
          <w:rtl/>
        </w:rPr>
      </w:pPr>
      <w:bookmarkStart w:id="100" w:name="_Toc394905516"/>
      <w:bookmarkStart w:id="101" w:name="_Toc394911948"/>
      <w:bookmarkStart w:id="102" w:name="_Toc394914279"/>
      <w:r w:rsidRPr="00977A67">
        <w:rPr>
          <w:b/>
          <w:bCs/>
          <w:rtl/>
        </w:rPr>
        <w:t>بيان مقارنة المبالغ المدرجة في الميزانية والمبالغ الفعلية</w:t>
      </w:r>
      <w:r w:rsidRPr="00977A67">
        <w:rPr>
          <w:rFonts w:hint="cs"/>
          <w:b/>
          <w:bCs/>
          <w:rtl/>
        </w:rPr>
        <w:t xml:space="preserve"> - المصروفات</w:t>
      </w:r>
      <w:bookmarkEnd w:id="100"/>
      <w:bookmarkEnd w:id="101"/>
      <w:bookmarkEnd w:id="102"/>
    </w:p>
    <w:p w:rsidR="006715D6" w:rsidRPr="00977A67" w:rsidRDefault="006715D6" w:rsidP="006715D6">
      <w:pPr>
        <w:pStyle w:val="NormalParaAR"/>
        <w:spacing w:after="0"/>
        <w:jc w:val="center"/>
        <w:rPr>
          <w:b/>
          <w:bCs/>
          <w:rtl/>
        </w:rPr>
      </w:pPr>
      <w:r w:rsidRPr="00977A67">
        <w:rPr>
          <w:rFonts w:hint="cs"/>
          <w:b/>
          <w:bCs/>
          <w:rtl/>
        </w:rPr>
        <w:t>للثنائية المنتهية في 31 ديسمبر 2013</w:t>
      </w:r>
    </w:p>
    <w:p w:rsidR="006715D6" w:rsidRPr="00977A67" w:rsidRDefault="006715D6" w:rsidP="006715D6">
      <w:pPr>
        <w:pStyle w:val="NormalParaAR"/>
        <w:jc w:val="center"/>
        <w:rPr>
          <w:b/>
          <w:bCs/>
          <w:rtl/>
        </w:rPr>
      </w:pPr>
      <w:r w:rsidRPr="00977A67">
        <w:rPr>
          <w:rFonts w:hint="cs"/>
          <w:b/>
          <w:bCs/>
          <w:rtl/>
        </w:rPr>
        <w:t>(بآلاف الفرنكات السويسرية)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03EACF4E" wp14:editId="621F8F51">
            <wp:extent cx="5940425" cy="7212862"/>
            <wp:effectExtent l="0" t="0" r="317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7212862"/>
                    </a:xfrm>
                    <a:prstGeom prst="rect">
                      <a:avLst/>
                    </a:prstGeom>
                    <a:noFill/>
                    <a:ln>
                      <a:noFill/>
                    </a:ln>
                  </pic:spPr>
                </pic:pic>
              </a:graphicData>
            </a:graphic>
          </wp:inline>
        </w:drawing>
      </w:r>
    </w:p>
    <w:p w:rsidR="006715D6" w:rsidRPr="00977A67" w:rsidRDefault="006715D6" w:rsidP="006715D6">
      <w:pPr>
        <w:pStyle w:val="NormalParaAR"/>
        <w:spacing w:after="0"/>
        <w:rPr>
          <w:sz w:val="28"/>
          <w:szCs w:val="28"/>
          <w:rtl/>
        </w:rPr>
      </w:pPr>
      <w:r w:rsidRPr="00977A67">
        <w:rPr>
          <w:rFonts w:hint="cs"/>
          <w:sz w:val="28"/>
          <w:szCs w:val="28"/>
          <w:rtl/>
        </w:rPr>
        <w:t xml:space="preserve">(1) - </w:t>
      </w:r>
      <w:r w:rsidRPr="00977A67">
        <w:rPr>
          <w:sz w:val="28"/>
          <w:szCs w:val="28"/>
          <w:rtl/>
        </w:rPr>
        <w:t>الميزانية المعتمدة للثنائية</w:t>
      </w:r>
      <w:r w:rsidRPr="00977A67">
        <w:rPr>
          <w:rFonts w:hint="cs"/>
          <w:sz w:val="28"/>
          <w:szCs w:val="28"/>
          <w:rtl/>
        </w:rPr>
        <w:t xml:space="preserve"> 2012/13</w:t>
      </w:r>
      <w:r w:rsidRPr="00977A67">
        <w:rPr>
          <w:sz w:val="28"/>
          <w:szCs w:val="28"/>
          <w:rtl/>
        </w:rPr>
        <w:t>.</w:t>
      </w:r>
      <w:r w:rsidRPr="00977A67">
        <w:rPr>
          <w:rFonts w:hint="cs"/>
          <w:sz w:val="28"/>
          <w:szCs w:val="28"/>
          <w:rtl/>
        </w:rPr>
        <w:t xml:space="preserve"> اعتُمدت ميزانية الثنائية بقيمة قدرها 647,4 مليون فرنك سويسري من قبل جمعيات الدول الأعضاء في الويبو في 29</w:t>
      </w:r>
      <w:r w:rsidRPr="00977A67">
        <w:rPr>
          <w:rFonts w:hint="eastAsia"/>
          <w:sz w:val="28"/>
          <w:szCs w:val="28"/>
          <w:rtl/>
        </w:rPr>
        <w:t> </w:t>
      </w:r>
      <w:r w:rsidRPr="00977A67">
        <w:rPr>
          <w:rFonts w:hint="cs"/>
          <w:sz w:val="28"/>
          <w:szCs w:val="28"/>
          <w:rtl/>
        </w:rPr>
        <w:t>سبتمبر 2011، مع مراعاة ما يلي:</w:t>
      </w:r>
    </w:p>
    <w:p w:rsidR="006715D6" w:rsidRPr="00977A67" w:rsidRDefault="006715D6" w:rsidP="006715D6">
      <w:pPr>
        <w:pStyle w:val="NormalParaAR"/>
        <w:spacing w:after="0"/>
        <w:rPr>
          <w:sz w:val="28"/>
          <w:szCs w:val="28"/>
          <w:rtl/>
        </w:rPr>
      </w:pPr>
      <w:r w:rsidRPr="00977A67">
        <w:rPr>
          <w:sz w:val="28"/>
          <w:szCs w:val="28"/>
          <w:rtl/>
        </w:rPr>
        <w:t>"جهود الأمانة من أجل خفض النفقات بمبلغ 10,2 مليون فرنك سويسري (من647,4 مليون فرنك سويسري إلى 637,2 مليون فرنك سويسري) باتخاذ تدابير لرفع الفعالية من حيث التكلفة فيما يتعلق مثلا بسياسة أسفار الموظفين والغير وإدارة المباني وسياسة مدفوعات أصحاب اتفاقات الخدمات الخاصة وأتعاب الخبراء والمحاضرين وبرامج المتدربين وحفلات الاستقبال واستئجار المباني والأجهزة والمعدات أثناء المؤتمرات وتخفيض تكاليف الموظفين من خلال تصميم مؤسسي أحسن.</w:t>
      </w:r>
      <w:r w:rsidRPr="00977A67">
        <w:rPr>
          <w:rFonts w:hint="cs"/>
          <w:sz w:val="28"/>
          <w:szCs w:val="28"/>
          <w:rtl/>
        </w:rPr>
        <w:t>"</w:t>
      </w:r>
    </w:p>
    <w:p w:rsidR="006715D6" w:rsidRPr="00977A67" w:rsidRDefault="006715D6" w:rsidP="006715D6">
      <w:pPr>
        <w:pStyle w:val="NormalParaAR"/>
        <w:spacing w:after="0"/>
        <w:rPr>
          <w:sz w:val="28"/>
          <w:szCs w:val="28"/>
          <w:rtl/>
        </w:rPr>
      </w:pPr>
      <w:r w:rsidRPr="00977A67">
        <w:rPr>
          <w:rFonts w:hint="cs"/>
          <w:sz w:val="28"/>
          <w:szCs w:val="28"/>
          <w:rtl/>
        </w:rPr>
        <w:t xml:space="preserve">(2) - </w:t>
      </w:r>
      <w:r w:rsidRPr="00977A67">
        <w:rPr>
          <w:sz w:val="28"/>
          <w:szCs w:val="28"/>
          <w:rtl/>
        </w:rPr>
        <w:t>الميزانية النهائية بعد التحويلات للثنائية</w:t>
      </w:r>
      <w:r w:rsidRPr="00977A67">
        <w:rPr>
          <w:rFonts w:hint="cs"/>
          <w:sz w:val="28"/>
          <w:szCs w:val="28"/>
          <w:rtl/>
        </w:rPr>
        <w:t xml:space="preserve"> 2012/13. تعكس الميزانية النهاية بعد التحويلات زيادة لفائدة </w:t>
      </w:r>
      <w:r w:rsidRPr="00977A67">
        <w:rPr>
          <w:sz w:val="28"/>
          <w:szCs w:val="28"/>
          <w:rtl/>
        </w:rPr>
        <w:t xml:space="preserve">البرنامج 5 (نظام معاهدة التعاون بشأن البراءات) </w:t>
      </w:r>
      <w:r w:rsidRPr="00977A67">
        <w:rPr>
          <w:rFonts w:hint="cs"/>
          <w:sz w:val="28"/>
          <w:szCs w:val="28"/>
          <w:rtl/>
        </w:rPr>
        <w:t>قدرها 981 ألف فرنك سويسري تتعلق ب</w:t>
      </w:r>
      <w:r w:rsidRPr="00977A67">
        <w:rPr>
          <w:sz w:val="28"/>
          <w:szCs w:val="28"/>
          <w:rtl/>
        </w:rPr>
        <w:t>إنشاء خمس</w:t>
      </w:r>
      <w:r w:rsidRPr="00977A67">
        <w:rPr>
          <w:rFonts w:hint="cs"/>
          <w:sz w:val="28"/>
          <w:szCs w:val="28"/>
          <w:rtl/>
        </w:rPr>
        <w:t xml:space="preserve"> وظائف</w:t>
      </w:r>
      <w:r w:rsidRPr="00977A67">
        <w:rPr>
          <w:sz w:val="28"/>
          <w:szCs w:val="28"/>
          <w:rtl/>
        </w:rPr>
        <w:t xml:space="preserve"> نظرا لبلوغ </w:t>
      </w:r>
      <w:r w:rsidRPr="00977A67">
        <w:rPr>
          <w:rFonts w:hint="cs"/>
          <w:sz w:val="28"/>
          <w:szCs w:val="28"/>
          <w:rtl/>
        </w:rPr>
        <w:t>عدد الطلبات الدولية</w:t>
      </w:r>
      <w:r w:rsidRPr="00977A67">
        <w:rPr>
          <w:sz w:val="28"/>
          <w:szCs w:val="28"/>
          <w:rtl/>
        </w:rPr>
        <w:t xml:space="preserve"> بناء على معاهدة التعاون بشأن البراءات</w:t>
      </w:r>
      <w:r w:rsidRPr="00977A67">
        <w:rPr>
          <w:rFonts w:hint="cs"/>
          <w:sz w:val="28"/>
          <w:szCs w:val="28"/>
          <w:rtl/>
        </w:rPr>
        <w:t>،</w:t>
      </w:r>
      <w:r w:rsidRPr="00977A67">
        <w:rPr>
          <w:sz w:val="28"/>
          <w:szCs w:val="28"/>
          <w:rtl/>
        </w:rPr>
        <w:t xml:space="preserve"> </w:t>
      </w:r>
      <w:r w:rsidRPr="00977A67">
        <w:rPr>
          <w:rFonts w:hint="cs"/>
          <w:sz w:val="28"/>
          <w:szCs w:val="28"/>
          <w:rtl/>
        </w:rPr>
        <w:t xml:space="preserve">في عام 2012، </w:t>
      </w:r>
      <w:r w:rsidRPr="00977A67">
        <w:rPr>
          <w:sz w:val="28"/>
          <w:szCs w:val="28"/>
          <w:rtl/>
        </w:rPr>
        <w:t>مستويات تفوق المستويات المتوقّعة في الميزانية</w:t>
      </w:r>
      <w:r w:rsidRPr="00977A67">
        <w:rPr>
          <w:rFonts w:hint="cs"/>
          <w:sz w:val="28"/>
          <w:szCs w:val="28"/>
          <w:rtl/>
        </w:rPr>
        <w:t xml:space="preserve"> (المادة 6.5 من النظام المالي الخاصة بتسويات المرونة).</w:t>
      </w:r>
    </w:p>
    <w:p w:rsidR="006715D6" w:rsidRPr="00977A67" w:rsidRDefault="006715D6" w:rsidP="006715D6">
      <w:pPr>
        <w:pStyle w:val="NormalParaAR"/>
        <w:rPr>
          <w:sz w:val="28"/>
          <w:szCs w:val="28"/>
          <w:rtl/>
        </w:rPr>
      </w:pPr>
      <w:r w:rsidRPr="00977A67">
        <w:rPr>
          <w:rFonts w:hint="cs"/>
          <w:sz w:val="28"/>
          <w:szCs w:val="28"/>
          <w:rtl/>
        </w:rPr>
        <w:t xml:space="preserve">(3) - </w:t>
      </w:r>
      <w:r w:rsidRPr="00977A67">
        <w:rPr>
          <w:sz w:val="28"/>
          <w:szCs w:val="28"/>
          <w:rtl/>
        </w:rPr>
        <w:t xml:space="preserve">الفارق بين الميزانية النهائية بعد التحويلات للثنائية </w:t>
      </w:r>
      <w:r w:rsidRPr="00977A67">
        <w:rPr>
          <w:rFonts w:hint="cs"/>
          <w:sz w:val="28"/>
          <w:szCs w:val="28"/>
          <w:rtl/>
        </w:rPr>
        <w:t xml:space="preserve">2012/13 </w:t>
      </w:r>
      <w:r w:rsidRPr="00977A67">
        <w:rPr>
          <w:sz w:val="28"/>
          <w:szCs w:val="28"/>
          <w:rtl/>
        </w:rPr>
        <w:t>وال</w:t>
      </w:r>
      <w:r w:rsidRPr="00977A67">
        <w:rPr>
          <w:rFonts w:hint="cs"/>
          <w:sz w:val="28"/>
          <w:szCs w:val="28"/>
          <w:rtl/>
        </w:rPr>
        <w:t>مصروفات</w:t>
      </w:r>
      <w:r w:rsidRPr="00977A67">
        <w:rPr>
          <w:sz w:val="28"/>
          <w:szCs w:val="28"/>
          <w:rtl/>
        </w:rPr>
        <w:t xml:space="preserve"> الفعلية على أساس قابل للمقارنة </w:t>
      </w:r>
      <w:r w:rsidRPr="00977A67">
        <w:rPr>
          <w:rFonts w:hint="cs"/>
          <w:sz w:val="28"/>
          <w:szCs w:val="28"/>
          <w:rtl/>
        </w:rPr>
        <w:t>حتى 31 ديسمبر 2013.</w:t>
      </w: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Heading2AR"/>
        <w:outlineLvl w:val="1"/>
        <w:rPr>
          <w:b/>
          <w:bCs/>
          <w:rtl/>
        </w:rPr>
      </w:pPr>
      <w:bookmarkStart w:id="103" w:name="_Toc394905517"/>
      <w:bookmarkStart w:id="104" w:name="_Toc394911949"/>
      <w:bookmarkStart w:id="105" w:name="_Toc394914280"/>
      <w:r w:rsidRPr="00977A67">
        <w:rPr>
          <w:b/>
          <w:bCs/>
          <w:rtl/>
        </w:rPr>
        <w:t>تحليل بيان الوضع المالي</w:t>
      </w:r>
      <w:bookmarkEnd w:id="103"/>
      <w:bookmarkEnd w:id="104"/>
      <w:bookmarkEnd w:id="105"/>
    </w:p>
    <w:p w:rsidR="006715D6" w:rsidRPr="00977A67" w:rsidRDefault="006715D6" w:rsidP="006715D6">
      <w:pPr>
        <w:pStyle w:val="NormalParaAR"/>
        <w:keepNext/>
        <w:rPr>
          <w:b/>
          <w:bCs/>
          <w:rtl/>
        </w:rPr>
      </w:pPr>
      <w:r w:rsidRPr="00977A67">
        <w:rPr>
          <w:b/>
          <w:bCs/>
          <w:rtl/>
        </w:rPr>
        <w:t>حركة صافي الأصول (</w:t>
      </w:r>
      <w:r w:rsidRPr="00977A67">
        <w:rPr>
          <w:rFonts w:hint="cs"/>
          <w:b/>
          <w:bCs/>
          <w:rtl/>
        </w:rPr>
        <w:t>الأموال الاحتياطية</w:t>
      </w:r>
      <w:r w:rsidRPr="00977A67">
        <w:rPr>
          <w:b/>
          <w:bCs/>
          <w:rtl/>
        </w:rPr>
        <w:t xml:space="preserve"> وصناديق رؤوس الأموال العاملة)</w:t>
      </w:r>
    </w:p>
    <w:p w:rsidR="006715D6" w:rsidRPr="00977A67" w:rsidRDefault="006715D6" w:rsidP="006715D6">
      <w:pPr>
        <w:pStyle w:val="NormalParaAR"/>
        <w:rPr>
          <w:rtl/>
        </w:rPr>
      </w:pPr>
      <w:r w:rsidRPr="00977A67">
        <w:rPr>
          <w:rtl/>
        </w:rPr>
        <w:t xml:space="preserve">في 31 ديسمبر </w:t>
      </w:r>
      <w:r w:rsidRPr="00977A67">
        <w:rPr>
          <w:rFonts w:hint="cs"/>
          <w:rtl/>
        </w:rPr>
        <w:t>2013</w:t>
      </w:r>
      <w:r w:rsidRPr="00977A67">
        <w:rPr>
          <w:rtl/>
        </w:rPr>
        <w:t xml:space="preserve">، كان صافي أصول المنظمة (أو الأموال الاحتياطية ورؤوس الأموال العاملة- الاحتياطي) يبلغ، بناء على المعايير المحاسبية الدولية للقطاع العام، </w:t>
      </w:r>
      <w:r w:rsidRPr="00977A67">
        <w:rPr>
          <w:rFonts w:hint="cs"/>
          <w:rtl/>
        </w:rPr>
        <w:t>208</w:t>
      </w:r>
      <w:r w:rsidRPr="00977A67">
        <w:rPr>
          <w:rtl/>
        </w:rPr>
        <w:t>,</w:t>
      </w:r>
      <w:r w:rsidRPr="00977A67">
        <w:rPr>
          <w:rFonts w:hint="cs"/>
          <w:rtl/>
        </w:rPr>
        <w:t>8</w:t>
      </w:r>
      <w:r w:rsidRPr="00977A67">
        <w:rPr>
          <w:rtl/>
        </w:rPr>
        <w:t xml:space="preserve"> </w:t>
      </w:r>
      <w:r w:rsidRPr="00977A67">
        <w:rPr>
          <w:rFonts w:hint="cs"/>
          <w:rtl/>
        </w:rPr>
        <w:t>مليون</w:t>
      </w:r>
      <w:r w:rsidRPr="00977A67">
        <w:rPr>
          <w:rtl/>
        </w:rPr>
        <w:t xml:space="preserve"> فرنك سويسري. وفي 31 ديسمبر </w:t>
      </w:r>
      <w:r w:rsidRPr="00977A67">
        <w:rPr>
          <w:rFonts w:hint="cs"/>
          <w:rtl/>
        </w:rPr>
        <w:t>2011</w:t>
      </w:r>
      <w:r w:rsidRPr="00977A67">
        <w:rPr>
          <w:rtl/>
        </w:rPr>
        <w:t xml:space="preserve">، كان صافي أصول المنظمة، كما ورد في تقرير الإدارة المالية للثنائية </w:t>
      </w:r>
      <w:r w:rsidRPr="00977A67">
        <w:rPr>
          <w:rFonts w:hint="cs"/>
          <w:rtl/>
        </w:rPr>
        <w:t>2010/11</w:t>
      </w:r>
      <w:r w:rsidRPr="00977A67">
        <w:rPr>
          <w:rtl/>
        </w:rPr>
        <w:t xml:space="preserve">، يبلغ </w:t>
      </w:r>
      <w:r w:rsidRPr="00977A67">
        <w:rPr>
          <w:rFonts w:hint="cs"/>
          <w:rtl/>
        </w:rPr>
        <w:t>162</w:t>
      </w:r>
      <w:r w:rsidRPr="00977A67">
        <w:rPr>
          <w:rtl/>
        </w:rPr>
        <w:t>,</w:t>
      </w:r>
      <w:r w:rsidRPr="00977A67">
        <w:rPr>
          <w:rFonts w:hint="cs"/>
          <w:rtl/>
        </w:rPr>
        <w:t>4</w:t>
      </w:r>
      <w:r w:rsidRPr="00977A67">
        <w:rPr>
          <w:rtl/>
        </w:rPr>
        <w:t xml:space="preserve"> مليون فرنك سويسري. </w:t>
      </w:r>
      <w:r w:rsidRPr="00977A67">
        <w:rPr>
          <w:rFonts w:hint="cs"/>
          <w:rtl/>
        </w:rPr>
        <w:t>وقد اقتضى التغيير في السياسة المحاسبية المتعلقة بقيد الإيرادات المتأتية من طلبات البراءات الدولية</w:t>
      </w:r>
      <w:r w:rsidRPr="00977A67">
        <w:rPr>
          <w:rtl/>
        </w:rPr>
        <w:t xml:space="preserve"> </w:t>
      </w:r>
      <w:r w:rsidRPr="00977A67">
        <w:rPr>
          <w:rFonts w:hint="cs"/>
          <w:rtl/>
        </w:rPr>
        <w:t xml:space="preserve">إعادة حساب أرصدة عام 2011، ممّا أسفر عن صيغة جديدة لصافي الأصول في 31 ديسمبر 2011 بقيمة 174,2 مليون فرنك سويسري. </w:t>
      </w:r>
      <w:r w:rsidRPr="00977A67">
        <w:rPr>
          <w:rtl/>
        </w:rPr>
        <w:t xml:space="preserve">ويلخّص الجدول أدناه </w:t>
      </w:r>
      <w:r w:rsidRPr="00977A67">
        <w:rPr>
          <w:rFonts w:hint="cs"/>
          <w:rtl/>
        </w:rPr>
        <w:t>الزيادة</w:t>
      </w:r>
      <w:r w:rsidRPr="00977A67">
        <w:rPr>
          <w:rtl/>
        </w:rPr>
        <w:t xml:space="preserve"> في صافي الأصول خلال الثنائية </w:t>
      </w:r>
      <w:r w:rsidRPr="00977A67">
        <w:rPr>
          <w:rFonts w:hint="cs"/>
          <w:rtl/>
        </w:rPr>
        <w:t>2012/13:</w:t>
      </w:r>
    </w:p>
    <w:p w:rsidR="006715D6" w:rsidRPr="00977A67" w:rsidRDefault="006715D6" w:rsidP="006715D6">
      <w:pPr>
        <w:pStyle w:val="NormalParaAR"/>
        <w:keepNext/>
        <w:jc w:val="center"/>
        <w:rPr>
          <w:rtl/>
        </w:rPr>
      </w:pPr>
      <w:r w:rsidRPr="00977A67">
        <w:rPr>
          <w:rtl/>
        </w:rPr>
        <w:t xml:space="preserve">حركة صافي الأصول (الاحتياطي) في الثنائية </w:t>
      </w:r>
      <w:r w:rsidRPr="00977A67">
        <w:rPr>
          <w:rFonts w:hint="cs"/>
          <w:rtl/>
        </w:rPr>
        <w:t>2012/13</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6FCA082A" wp14:editId="34A8291F">
            <wp:extent cx="5158740" cy="3631565"/>
            <wp:effectExtent l="0" t="0" r="381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58740" cy="3631565"/>
                    </a:xfrm>
                    <a:prstGeom prst="rect">
                      <a:avLst/>
                    </a:prstGeom>
                    <a:noFill/>
                    <a:ln>
                      <a:noFill/>
                    </a:ln>
                  </pic:spPr>
                </pic:pic>
              </a:graphicData>
            </a:graphic>
          </wp:inline>
        </w:drawing>
      </w:r>
    </w:p>
    <w:p w:rsidR="006715D6" w:rsidRPr="00977A67" w:rsidRDefault="006715D6" w:rsidP="006715D6">
      <w:pPr>
        <w:pStyle w:val="NormalParaAR"/>
        <w:rPr>
          <w:rtl/>
        </w:rPr>
      </w:pPr>
      <w:r w:rsidRPr="00977A67">
        <w:rPr>
          <w:rFonts w:hint="cs"/>
          <w:rtl/>
        </w:rPr>
        <w:t>كانت نتيجة الثنائية على أساس المعايير المحاسبية الدولية للقطاع العام فائضا قدره 34,6 مليون فرنك سويسري. ويشمل ذلك المبلغ صيغة جديدة لفائض عام 2012 بقيمة 19,5 مليون فرنك سويسري. وأعيد حساب النتيجة وصافي الأصول فيما يخص عام 2012 عقب التغيير في السياسة المحاسبية المتعلقة بقيد الإيرادات المتأتية من طلبات البراءات الدولية.</w:t>
      </w:r>
    </w:p>
    <w:p w:rsidR="006715D6" w:rsidRPr="00977A67" w:rsidRDefault="006715D6" w:rsidP="006715D6">
      <w:pPr>
        <w:pStyle w:val="NormalParaAR"/>
        <w:rPr>
          <w:rtl/>
        </w:rPr>
      </w:pPr>
      <w:r w:rsidRPr="00977A67">
        <w:rPr>
          <w:rFonts w:hint="cs"/>
          <w:rtl/>
        </w:rPr>
        <w:t>ويمكن مقارنة الفائض المحسوب على اساس المعايير المحاسبية الدولية للقطاع العام والبالغة قيمته 34,6 مليون فرنك سويسري مع نتيجة ميزانية الثنائية، التي كانت فائضا قدره 68,9 مليون فرنك سويسري. ويرد تحليل مفصّل للفارق بين نتيجة الميزانية والبيانات المالية المُعدة على أساس المعايير المحاسبية والدولية والبالغ 34,3 مليون فرنك سويسري في الشكل المُعنون "</w:t>
      </w:r>
      <w:r w:rsidRPr="00977A67">
        <w:rPr>
          <w:rtl/>
        </w:rPr>
        <w:t>الانتقال من النتيجة بناء على الميزانية إلى النتيجة بناء على المعايير المحاسبية الدولية للقطاع العام</w:t>
      </w:r>
      <w:r w:rsidRPr="00977A67">
        <w:rPr>
          <w:rFonts w:hint="cs"/>
          <w:rtl/>
        </w:rPr>
        <w:t xml:space="preserve"> 2012/13 (انظر الجزء المُعنون "تحليل بيان الأداء المالي). وخلاصة القول هي أنّ النتيجة على أساس المعايير المحاسبية الدولية تشمل أيضا المشروعات المموّلة من الأموال الاحتياطية (المُعرّفة وفقا للمعايير المحاسبية الدولية بمصطلح ’الفوارق بحسب الجهة المعنية‘)، </w:t>
      </w:r>
      <w:r w:rsidRPr="00977A67">
        <w:rPr>
          <w:rtl/>
        </w:rPr>
        <w:t>ووقع حركة الأصول والخصوم التي يجب قيدها بناء على المعايير المحاسبية الدولية (</w:t>
      </w:r>
      <w:r w:rsidRPr="00977A67">
        <w:rPr>
          <w:rFonts w:hint="cs"/>
          <w:rtl/>
        </w:rPr>
        <w:t>’</w:t>
      </w:r>
      <w:r w:rsidRPr="00977A67">
        <w:rPr>
          <w:rtl/>
        </w:rPr>
        <w:t>الفوارق على أساس محاسبي</w:t>
      </w:r>
      <w:r w:rsidRPr="00977A67">
        <w:rPr>
          <w:rFonts w:hint="cs"/>
          <w:rtl/>
        </w:rPr>
        <w:t>‘</w:t>
      </w:r>
      <w:r w:rsidRPr="00977A67">
        <w:rPr>
          <w:rtl/>
        </w:rPr>
        <w:t>)</w:t>
      </w:r>
      <w:r w:rsidRPr="00977A67">
        <w:rPr>
          <w:rFonts w:hint="cs"/>
          <w:rtl/>
        </w:rPr>
        <w:t>.</w:t>
      </w:r>
    </w:p>
    <w:p w:rsidR="006715D6" w:rsidRPr="00977A67" w:rsidRDefault="006715D6" w:rsidP="006715D6">
      <w:pPr>
        <w:pStyle w:val="NormalParaAR"/>
        <w:rPr>
          <w:b/>
          <w:bCs/>
          <w:rtl/>
        </w:rPr>
      </w:pPr>
      <w:r w:rsidRPr="00977A67">
        <w:rPr>
          <w:b/>
          <w:bCs/>
          <w:rtl/>
        </w:rPr>
        <w:t>ملخص الأصول والخصوم</w:t>
      </w:r>
    </w:p>
    <w:p w:rsidR="006715D6" w:rsidRPr="00977A67" w:rsidRDefault="006715D6" w:rsidP="006715D6">
      <w:pPr>
        <w:pStyle w:val="NormalParaAR"/>
        <w:rPr>
          <w:rtl/>
        </w:rPr>
      </w:pPr>
      <w:r w:rsidRPr="00977A67">
        <w:rPr>
          <w:rtl/>
        </w:rPr>
        <w:t>يعرض ال</w:t>
      </w:r>
      <w:r w:rsidRPr="00977A67">
        <w:rPr>
          <w:rFonts w:hint="cs"/>
          <w:rtl/>
        </w:rPr>
        <w:t>شكل</w:t>
      </w:r>
      <w:r w:rsidRPr="00977A67">
        <w:rPr>
          <w:rtl/>
        </w:rPr>
        <w:t xml:space="preserve"> </w:t>
      </w:r>
      <w:r w:rsidRPr="00977A67">
        <w:rPr>
          <w:rFonts w:hint="cs"/>
          <w:rtl/>
        </w:rPr>
        <w:t>التالي</w:t>
      </w:r>
      <w:r w:rsidRPr="00977A67">
        <w:rPr>
          <w:rtl/>
        </w:rPr>
        <w:t xml:space="preserve"> ملخصاً لبيان </w:t>
      </w:r>
      <w:r w:rsidRPr="00977A67">
        <w:rPr>
          <w:rFonts w:hint="cs"/>
          <w:rtl/>
        </w:rPr>
        <w:t>الوضع</w:t>
      </w:r>
      <w:r w:rsidRPr="00977A67">
        <w:rPr>
          <w:rtl/>
        </w:rPr>
        <w:t xml:space="preserve"> المالي </w:t>
      </w:r>
      <w:proofErr w:type="spellStart"/>
      <w:r w:rsidRPr="00977A67">
        <w:rPr>
          <w:rtl/>
        </w:rPr>
        <w:t>للويبو</w:t>
      </w:r>
      <w:proofErr w:type="spellEnd"/>
      <w:r w:rsidRPr="00977A67">
        <w:rPr>
          <w:rtl/>
        </w:rPr>
        <w:t xml:space="preserve"> </w:t>
      </w:r>
      <w:r w:rsidRPr="00977A67">
        <w:rPr>
          <w:rFonts w:hint="cs"/>
          <w:rtl/>
        </w:rPr>
        <w:t>في</w:t>
      </w:r>
      <w:r w:rsidRPr="00977A67">
        <w:rPr>
          <w:rtl/>
        </w:rPr>
        <w:t xml:space="preserve"> 31 ديسمبر </w:t>
      </w:r>
      <w:r w:rsidRPr="00977A67">
        <w:rPr>
          <w:rFonts w:hint="cs"/>
          <w:rtl/>
        </w:rPr>
        <w:t>2013</w:t>
      </w:r>
      <w:r w:rsidRPr="00977A67">
        <w:rPr>
          <w:rtl/>
        </w:rPr>
        <w:t>.</w:t>
      </w:r>
    </w:p>
    <w:p w:rsidR="006715D6" w:rsidRPr="00977A67" w:rsidRDefault="006715D6" w:rsidP="006715D6">
      <w:pPr>
        <w:pStyle w:val="NormalParaAR"/>
        <w:jc w:val="center"/>
        <w:rPr>
          <w:rtl/>
        </w:rPr>
      </w:pPr>
      <w:r w:rsidRPr="00977A67">
        <w:rPr>
          <w:rtl/>
        </w:rPr>
        <w:t xml:space="preserve">ملخص الأصول والخصوم </w:t>
      </w:r>
      <w:r w:rsidRPr="00977A67">
        <w:rPr>
          <w:rFonts w:hint="cs"/>
          <w:rtl/>
        </w:rPr>
        <w:t>في</w:t>
      </w:r>
      <w:r w:rsidRPr="00977A67">
        <w:rPr>
          <w:rtl/>
        </w:rPr>
        <w:t xml:space="preserve"> 31 ديسمبر </w:t>
      </w:r>
      <w:r w:rsidRPr="00977A67">
        <w:rPr>
          <w:rFonts w:hint="cs"/>
          <w:rtl/>
        </w:rPr>
        <w:t>2013</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323E5976" wp14:editId="1CFADD7C">
            <wp:extent cx="5940425" cy="3040784"/>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3040784"/>
                    </a:xfrm>
                    <a:prstGeom prst="rect">
                      <a:avLst/>
                    </a:prstGeom>
                    <a:noFill/>
                    <a:ln>
                      <a:noFill/>
                    </a:ln>
                  </pic:spPr>
                </pic:pic>
              </a:graphicData>
            </a:graphic>
          </wp:inline>
        </w:drawing>
      </w:r>
    </w:p>
    <w:p w:rsidR="006715D6" w:rsidRPr="00977A67" w:rsidRDefault="006715D6" w:rsidP="006715D6">
      <w:pPr>
        <w:pStyle w:val="NormalParaAR"/>
        <w:rPr>
          <w:rtl/>
        </w:rPr>
      </w:pPr>
      <w:r w:rsidRPr="00977A67">
        <w:rPr>
          <w:rtl/>
        </w:rPr>
        <w:t xml:space="preserve">تمتلك المنظمة أرصدة نقدية تصل إلى </w:t>
      </w:r>
      <w:r w:rsidRPr="00977A67">
        <w:rPr>
          <w:rFonts w:hint="cs"/>
          <w:rtl/>
        </w:rPr>
        <w:t>409</w:t>
      </w:r>
      <w:r w:rsidRPr="00977A67">
        <w:rPr>
          <w:rtl/>
        </w:rPr>
        <w:t>,</w:t>
      </w:r>
      <w:r w:rsidRPr="00977A67">
        <w:rPr>
          <w:rFonts w:hint="cs"/>
          <w:rtl/>
        </w:rPr>
        <w:t>9</w:t>
      </w:r>
      <w:r w:rsidRPr="00977A67">
        <w:rPr>
          <w:rtl/>
        </w:rPr>
        <w:t xml:space="preserve"> مليون فرنك سويسري، وهو ما يمثل </w:t>
      </w:r>
      <w:r w:rsidRPr="00977A67">
        <w:rPr>
          <w:rFonts w:hint="cs"/>
          <w:rtl/>
        </w:rPr>
        <w:t>45</w:t>
      </w:r>
      <w:r w:rsidRPr="00977A67">
        <w:rPr>
          <w:rtl/>
        </w:rPr>
        <w:t>,</w:t>
      </w:r>
      <w:r w:rsidRPr="00977A67">
        <w:rPr>
          <w:rFonts w:hint="cs"/>
          <w:rtl/>
        </w:rPr>
        <w:t>5</w:t>
      </w:r>
      <w:r w:rsidRPr="00977A67">
        <w:rPr>
          <w:rFonts w:hint="eastAsia"/>
          <w:rtl/>
        </w:rPr>
        <w:t> </w:t>
      </w:r>
      <w:r w:rsidRPr="00977A67">
        <w:rPr>
          <w:rFonts w:hint="cs"/>
          <w:rtl/>
        </w:rPr>
        <w:t>بالمائة</w:t>
      </w:r>
      <w:r w:rsidRPr="00977A67">
        <w:rPr>
          <w:rtl/>
        </w:rPr>
        <w:t xml:space="preserve"> من إجمالي الأصول، و</w:t>
      </w:r>
      <w:r w:rsidRPr="00977A67">
        <w:rPr>
          <w:rFonts w:hint="cs"/>
          <w:rtl/>
        </w:rPr>
        <w:t>لو أنّ</w:t>
      </w:r>
      <w:r w:rsidRPr="00977A67">
        <w:rPr>
          <w:rtl/>
        </w:rPr>
        <w:t xml:space="preserve"> هذه الأرصدة تشمل</w:t>
      </w:r>
      <w:r w:rsidRPr="00977A67">
        <w:rPr>
          <w:rFonts w:hint="cs"/>
          <w:rtl/>
        </w:rPr>
        <w:t xml:space="preserve"> </w:t>
      </w:r>
      <w:r w:rsidRPr="00977A67">
        <w:rPr>
          <w:rtl/>
        </w:rPr>
        <w:t xml:space="preserve">مبالغ مصنفة كمبالغ مقيّدة وفقاً للمعايير المحاسبية الدولية. كما تمتلك المنظمة عدداً هائلاً من الأصول الثابتة (أراضي ومباني وملكيات استثمارية وأصول غير مادية ومعدات) يقدر صافي قيمتها الدفترية بما مجموعه </w:t>
      </w:r>
      <w:r w:rsidRPr="00977A67">
        <w:rPr>
          <w:rFonts w:hint="cs"/>
          <w:rtl/>
        </w:rPr>
        <w:t>396</w:t>
      </w:r>
      <w:r w:rsidRPr="00977A67">
        <w:rPr>
          <w:rtl/>
        </w:rPr>
        <w:t>,</w:t>
      </w:r>
      <w:r w:rsidRPr="00977A67">
        <w:rPr>
          <w:rFonts w:hint="cs"/>
          <w:rtl/>
        </w:rPr>
        <w:t>4</w:t>
      </w:r>
      <w:r w:rsidRPr="00977A67">
        <w:rPr>
          <w:rtl/>
        </w:rPr>
        <w:t xml:space="preserve"> مليون فرنك سويسري. وتشمل الأصول الأخرى حسابات مدينة وموجودات ومدفوعات مسبقة يصل إجمالي قيمتها إلى </w:t>
      </w:r>
      <w:r w:rsidRPr="00977A67">
        <w:rPr>
          <w:rFonts w:hint="cs"/>
          <w:rtl/>
        </w:rPr>
        <w:t>94,2</w:t>
      </w:r>
      <w:r w:rsidRPr="00977A67">
        <w:rPr>
          <w:rFonts w:hint="eastAsia"/>
          <w:rtl/>
        </w:rPr>
        <w:t> </w:t>
      </w:r>
      <w:r w:rsidRPr="00977A67">
        <w:rPr>
          <w:rtl/>
        </w:rPr>
        <w:t>مليون فرنك سويسري.</w:t>
      </w:r>
      <w:r w:rsidRPr="00977A67">
        <w:rPr>
          <w:rFonts w:hint="cs"/>
          <w:rtl/>
        </w:rPr>
        <w:t xml:space="preserve"> والرصيد الأهمّ ضمن هو الحسابات المدينة لنظام معاهدة التعاون بشأن البراءات التي تبلغ قيمتها الإجمالية 62,4 مليون فرنك سويسري.</w:t>
      </w:r>
    </w:p>
    <w:p w:rsidR="006715D6" w:rsidRPr="00977A67" w:rsidRDefault="006715D6" w:rsidP="006715D6">
      <w:pPr>
        <w:pStyle w:val="NormalParaAR"/>
        <w:rPr>
          <w:rtl/>
        </w:rPr>
      </w:pPr>
      <w:r w:rsidRPr="00977A67">
        <w:rPr>
          <w:rtl/>
        </w:rPr>
        <w:t xml:space="preserve">ويصل إجمالي المبالغ مستحقة الدفع (وهي الحسابات الدائنة وقيمة التحويلات مستحقة الدفع) والمبالغ التي استلمتها المنظمة قبل استحقاقها إلى </w:t>
      </w:r>
      <w:r w:rsidRPr="00977A67">
        <w:rPr>
          <w:rFonts w:hint="cs"/>
          <w:rtl/>
        </w:rPr>
        <w:t>340</w:t>
      </w:r>
      <w:r w:rsidRPr="00977A67">
        <w:rPr>
          <w:rtl/>
        </w:rPr>
        <w:t>,</w:t>
      </w:r>
      <w:r w:rsidRPr="00977A67">
        <w:rPr>
          <w:rFonts w:hint="cs"/>
          <w:rtl/>
        </w:rPr>
        <w:t>8</w:t>
      </w:r>
      <w:r w:rsidRPr="00977A67">
        <w:rPr>
          <w:rtl/>
        </w:rPr>
        <w:t xml:space="preserve"> مليون فرنك وتشمل بالأساس </w:t>
      </w:r>
      <w:r w:rsidRPr="00977A67">
        <w:rPr>
          <w:rFonts w:hint="cs"/>
          <w:rtl/>
        </w:rPr>
        <w:t>إيرادات</w:t>
      </w:r>
      <w:r w:rsidRPr="00977A67">
        <w:rPr>
          <w:rtl/>
        </w:rPr>
        <w:t xml:space="preserve"> مؤجل</w:t>
      </w:r>
      <w:r w:rsidRPr="00977A67">
        <w:rPr>
          <w:rFonts w:hint="cs"/>
          <w:rtl/>
        </w:rPr>
        <w:t>ة</w:t>
      </w:r>
      <w:r w:rsidRPr="00977A67">
        <w:rPr>
          <w:rtl/>
        </w:rPr>
        <w:t xml:space="preserve"> بقيمة </w:t>
      </w:r>
      <w:r w:rsidRPr="00977A67">
        <w:rPr>
          <w:rFonts w:hint="cs"/>
          <w:rtl/>
        </w:rPr>
        <w:t>215</w:t>
      </w:r>
      <w:r w:rsidRPr="00977A67">
        <w:rPr>
          <w:rtl/>
        </w:rPr>
        <w:t>,</w:t>
      </w:r>
      <w:r w:rsidRPr="00977A67">
        <w:rPr>
          <w:rFonts w:hint="cs"/>
          <w:rtl/>
        </w:rPr>
        <w:t>8</w:t>
      </w:r>
      <w:r w:rsidRPr="00977A67">
        <w:rPr>
          <w:rtl/>
        </w:rPr>
        <w:t xml:space="preserve"> مليون فرنك سويسري. أما خصوم مستحقات الموظفين وقيمتها </w:t>
      </w:r>
      <w:r w:rsidRPr="00977A67">
        <w:rPr>
          <w:rFonts w:hint="cs"/>
          <w:rtl/>
        </w:rPr>
        <w:t>150</w:t>
      </w:r>
      <w:r w:rsidRPr="00977A67">
        <w:rPr>
          <w:rtl/>
        </w:rPr>
        <w:t>,</w:t>
      </w:r>
      <w:r w:rsidRPr="00977A67">
        <w:rPr>
          <w:rFonts w:hint="cs"/>
          <w:rtl/>
        </w:rPr>
        <w:t>5</w:t>
      </w:r>
      <w:r w:rsidRPr="00977A67">
        <w:rPr>
          <w:rtl/>
        </w:rPr>
        <w:t xml:space="preserve"> مليون فرنك سويسري فتتكون في أغلبها من خصوم التأمين الصحي بعد </w:t>
      </w:r>
      <w:r w:rsidRPr="00977A67">
        <w:rPr>
          <w:rFonts w:hint="cs"/>
          <w:rtl/>
        </w:rPr>
        <w:t xml:space="preserve">نهاية </w:t>
      </w:r>
      <w:r w:rsidRPr="00977A67">
        <w:rPr>
          <w:rtl/>
        </w:rPr>
        <w:t xml:space="preserve">الخدمة </w:t>
      </w:r>
      <w:r w:rsidRPr="00977A67">
        <w:rPr>
          <w:rFonts w:hint="cs"/>
          <w:rtl/>
        </w:rPr>
        <w:t>وقدرها 119</w:t>
      </w:r>
      <w:r w:rsidRPr="00977A67">
        <w:rPr>
          <w:rtl/>
        </w:rPr>
        <w:t>,</w:t>
      </w:r>
      <w:r w:rsidRPr="00977A67">
        <w:rPr>
          <w:rFonts w:hint="cs"/>
          <w:rtl/>
        </w:rPr>
        <w:t>6</w:t>
      </w:r>
      <w:r w:rsidRPr="00977A67">
        <w:rPr>
          <w:rtl/>
        </w:rPr>
        <w:t xml:space="preserve"> مليون فرنك سويسري</w:t>
      </w:r>
      <w:r w:rsidRPr="00977A67">
        <w:rPr>
          <w:rFonts w:hint="cs"/>
          <w:rtl/>
        </w:rPr>
        <w:t>،</w:t>
      </w:r>
      <w:r w:rsidRPr="00977A67">
        <w:rPr>
          <w:rtl/>
        </w:rPr>
        <w:t xml:space="preserve"> </w:t>
      </w:r>
      <w:r w:rsidRPr="00977A67">
        <w:rPr>
          <w:rFonts w:hint="cs"/>
          <w:rtl/>
        </w:rPr>
        <w:t xml:space="preserve">بينما </w:t>
      </w:r>
      <w:r w:rsidRPr="00977A67">
        <w:rPr>
          <w:rtl/>
        </w:rPr>
        <w:t>تتكون القروض من قرض المؤسسة العقارية للمنظمات الدولية (</w:t>
      </w:r>
      <w:r w:rsidRPr="00977A67">
        <w:rPr>
          <w:rFonts w:hint="cs"/>
          <w:rtl/>
        </w:rPr>
        <w:t>22,3</w:t>
      </w:r>
      <w:r w:rsidRPr="00977A67">
        <w:rPr>
          <w:rtl/>
        </w:rPr>
        <w:t xml:space="preserve"> مليون فرنك سويسري) وقرض بنك </w:t>
      </w:r>
      <w:proofErr w:type="spellStart"/>
      <w:r w:rsidRPr="00977A67">
        <w:rPr>
          <w:rtl/>
        </w:rPr>
        <w:t>كنتون</w:t>
      </w:r>
      <w:proofErr w:type="spellEnd"/>
      <w:r w:rsidRPr="00977A67">
        <w:rPr>
          <w:rtl/>
        </w:rPr>
        <w:t xml:space="preserve"> جنيف (</w:t>
      </w:r>
      <w:r w:rsidRPr="00977A67">
        <w:t>BCG</w:t>
      </w:r>
      <w:r w:rsidRPr="00977A67">
        <w:rPr>
          <w:rtl/>
        </w:rPr>
        <w:t xml:space="preserve">) وبنك </w:t>
      </w:r>
      <w:proofErr w:type="spellStart"/>
      <w:r w:rsidRPr="00977A67">
        <w:rPr>
          <w:rtl/>
        </w:rPr>
        <w:t>كنتون</w:t>
      </w:r>
      <w:proofErr w:type="spellEnd"/>
      <w:r w:rsidRPr="00977A67">
        <w:rPr>
          <w:rtl/>
        </w:rPr>
        <w:t xml:space="preserve"> فو (</w:t>
      </w:r>
      <w:r w:rsidRPr="00977A67">
        <w:t>BCV</w:t>
      </w:r>
      <w:r w:rsidRPr="00977A67">
        <w:rPr>
          <w:rtl/>
        </w:rPr>
        <w:t>) (</w:t>
      </w:r>
      <w:r w:rsidRPr="00977A67">
        <w:rPr>
          <w:rFonts w:hint="cs"/>
          <w:rtl/>
        </w:rPr>
        <w:t>122</w:t>
      </w:r>
      <w:r w:rsidRPr="00977A67">
        <w:rPr>
          <w:rtl/>
        </w:rPr>
        <w:t>,</w:t>
      </w:r>
      <w:r w:rsidRPr="00977A67">
        <w:rPr>
          <w:rFonts w:hint="cs"/>
          <w:rtl/>
        </w:rPr>
        <w:t>2</w:t>
      </w:r>
      <w:r w:rsidRPr="00977A67">
        <w:rPr>
          <w:rtl/>
        </w:rPr>
        <w:t xml:space="preserve"> مليون فرنك سويسري). ويصل إجمالي الخصوم الأخرى إلى </w:t>
      </w:r>
      <w:r w:rsidRPr="00977A67">
        <w:rPr>
          <w:rFonts w:hint="cs"/>
          <w:rtl/>
        </w:rPr>
        <w:t>55</w:t>
      </w:r>
      <w:r w:rsidRPr="00977A67">
        <w:rPr>
          <w:rtl/>
        </w:rPr>
        <w:t>,</w:t>
      </w:r>
      <w:r w:rsidRPr="00977A67">
        <w:rPr>
          <w:rFonts w:hint="cs"/>
          <w:rtl/>
        </w:rPr>
        <w:t>9</w:t>
      </w:r>
      <w:r w:rsidRPr="00977A67">
        <w:rPr>
          <w:rtl/>
        </w:rPr>
        <w:t xml:space="preserve"> مليون فرنك سويسري وهي تتضمن </w:t>
      </w:r>
      <w:r w:rsidRPr="00977A67">
        <w:rPr>
          <w:rFonts w:hint="cs"/>
          <w:rtl/>
        </w:rPr>
        <w:t>54</w:t>
      </w:r>
      <w:r w:rsidRPr="00977A67">
        <w:rPr>
          <w:rtl/>
        </w:rPr>
        <w:t>,</w:t>
      </w:r>
      <w:r w:rsidRPr="00977A67">
        <w:rPr>
          <w:rFonts w:hint="cs"/>
          <w:rtl/>
        </w:rPr>
        <w:t>9</w:t>
      </w:r>
      <w:r w:rsidRPr="00977A67">
        <w:rPr>
          <w:rtl/>
        </w:rPr>
        <w:t xml:space="preserve"> مليون فرنك سويسري في صورة حسابات جارية لمودعي الطلبات والأطراف المتعاقدة.</w:t>
      </w:r>
    </w:p>
    <w:p w:rsidR="006715D6" w:rsidRPr="00977A67" w:rsidRDefault="006715D6" w:rsidP="006715D6">
      <w:pPr>
        <w:pStyle w:val="NormalParaAR"/>
        <w:keepNext/>
        <w:rPr>
          <w:rtl/>
        </w:rPr>
      </w:pPr>
      <w:r w:rsidRPr="00977A67">
        <w:rPr>
          <w:rtl/>
        </w:rPr>
        <w:t xml:space="preserve">ويصل صافي </w:t>
      </w:r>
      <w:r w:rsidRPr="00977A67">
        <w:rPr>
          <w:rFonts w:hint="cs"/>
          <w:rtl/>
        </w:rPr>
        <w:t>الأصول الجارية</w:t>
      </w:r>
      <w:r w:rsidRPr="00977A67">
        <w:rPr>
          <w:rtl/>
        </w:rPr>
        <w:t xml:space="preserve"> للمنظمة (أي الأصول الجارية ناقص الخصوم الجارية) إلى </w:t>
      </w:r>
      <w:r w:rsidRPr="00977A67">
        <w:rPr>
          <w:rFonts w:hint="cs"/>
          <w:rtl/>
        </w:rPr>
        <w:t>76</w:t>
      </w:r>
      <w:r w:rsidRPr="00977A67">
        <w:rPr>
          <w:rtl/>
        </w:rPr>
        <w:t>,</w:t>
      </w:r>
      <w:r w:rsidRPr="00977A67">
        <w:rPr>
          <w:rFonts w:hint="cs"/>
          <w:rtl/>
        </w:rPr>
        <w:t>8</w:t>
      </w:r>
      <w:r w:rsidRPr="00977A67">
        <w:rPr>
          <w:rtl/>
        </w:rPr>
        <w:t xml:space="preserve"> مليون فرنك سويسري </w:t>
      </w:r>
      <w:r w:rsidRPr="00977A67">
        <w:rPr>
          <w:rFonts w:hint="cs"/>
          <w:rtl/>
        </w:rPr>
        <w:t>حتى </w:t>
      </w:r>
      <w:r w:rsidRPr="00977A67">
        <w:rPr>
          <w:rtl/>
        </w:rPr>
        <w:t>31</w:t>
      </w:r>
      <w:r w:rsidRPr="00977A67">
        <w:rPr>
          <w:rFonts w:hint="cs"/>
          <w:rtl/>
        </w:rPr>
        <w:t> </w:t>
      </w:r>
      <w:r w:rsidRPr="00977A67">
        <w:rPr>
          <w:rtl/>
        </w:rPr>
        <w:t xml:space="preserve">ديسمبر </w:t>
      </w:r>
      <w:r w:rsidRPr="00977A67">
        <w:rPr>
          <w:rFonts w:hint="cs"/>
          <w:rtl/>
        </w:rPr>
        <w:t>2013</w:t>
      </w:r>
      <w:r w:rsidRPr="00977A67">
        <w:rPr>
          <w:rtl/>
        </w:rPr>
        <w:t xml:space="preserve">، </w:t>
      </w:r>
      <w:r w:rsidRPr="00977A67">
        <w:rPr>
          <w:rFonts w:hint="cs"/>
          <w:rtl/>
        </w:rPr>
        <w:t>ممّا يُعد زيادة كبيرة</w:t>
      </w:r>
      <w:r w:rsidRPr="00977A67">
        <w:rPr>
          <w:rtl/>
        </w:rPr>
        <w:t xml:space="preserve"> </w:t>
      </w:r>
      <w:r w:rsidRPr="00977A67">
        <w:rPr>
          <w:rFonts w:hint="cs"/>
          <w:rtl/>
        </w:rPr>
        <w:t>قدرها</w:t>
      </w:r>
      <w:r w:rsidRPr="00977A67">
        <w:rPr>
          <w:rtl/>
        </w:rPr>
        <w:t xml:space="preserve"> </w:t>
      </w:r>
      <w:r w:rsidRPr="00977A67">
        <w:rPr>
          <w:rFonts w:hint="cs"/>
          <w:rtl/>
        </w:rPr>
        <w:t>17</w:t>
      </w:r>
      <w:r w:rsidRPr="00977A67">
        <w:rPr>
          <w:rtl/>
        </w:rPr>
        <w:t>,</w:t>
      </w:r>
      <w:r w:rsidRPr="00977A67">
        <w:rPr>
          <w:rFonts w:hint="cs"/>
          <w:rtl/>
        </w:rPr>
        <w:t>9</w:t>
      </w:r>
      <w:r w:rsidRPr="00977A67">
        <w:rPr>
          <w:rtl/>
        </w:rPr>
        <w:t xml:space="preserve"> مليون فرنك سويسري مقارنة </w:t>
      </w:r>
      <w:r w:rsidRPr="00977A67">
        <w:rPr>
          <w:rFonts w:hint="cs"/>
          <w:rtl/>
        </w:rPr>
        <w:t>برصيد نهاية الثنائية السابقة.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5F0F9AD0" wp14:editId="74B30350">
            <wp:extent cx="5940425" cy="1286251"/>
            <wp:effectExtent l="0" t="0" r="317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1286251"/>
                    </a:xfrm>
                    <a:prstGeom prst="rect">
                      <a:avLst/>
                    </a:prstGeom>
                    <a:noFill/>
                    <a:ln>
                      <a:noFill/>
                    </a:ln>
                  </pic:spPr>
                </pic:pic>
              </a:graphicData>
            </a:graphic>
          </wp:inline>
        </w:drawing>
      </w:r>
    </w:p>
    <w:p w:rsidR="006715D6" w:rsidRPr="00977A67" w:rsidRDefault="006715D6" w:rsidP="006715D6">
      <w:pPr>
        <w:pStyle w:val="NormalParaAR"/>
        <w:keepNext/>
        <w:rPr>
          <w:b/>
          <w:bCs/>
          <w:rtl/>
        </w:rPr>
      </w:pPr>
      <w:r w:rsidRPr="00977A67">
        <w:rPr>
          <w:b/>
          <w:bCs/>
          <w:rtl/>
        </w:rPr>
        <w:t>السيولة وما يعادلها</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12930788" wp14:editId="2D949C70">
            <wp:extent cx="5940425" cy="1317807"/>
            <wp:effectExtent l="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1317807"/>
                    </a:xfrm>
                    <a:prstGeom prst="rect">
                      <a:avLst/>
                    </a:prstGeom>
                    <a:noFill/>
                    <a:ln>
                      <a:noFill/>
                    </a:ln>
                  </pic:spPr>
                </pic:pic>
              </a:graphicData>
            </a:graphic>
          </wp:inline>
        </w:drawing>
      </w:r>
    </w:p>
    <w:p w:rsidR="006715D6" w:rsidRPr="00977A67" w:rsidRDefault="006715D6" w:rsidP="006715D6">
      <w:pPr>
        <w:pStyle w:val="NormalParaAR"/>
        <w:rPr>
          <w:rtl/>
        </w:rPr>
      </w:pPr>
      <w:r w:rsidRPr="00977A67">
        <w:rPr>
          <w:rFonts w:hint="cs"/>
          <w:rtl/>
        </w:rPr>
        <w:t>زاد</w:t>
      </w:r>
      <w:r w:rsidRPr="00977A67">
        <w:rPr>
          <w:rtl/>
        </w:rPr>
        <w:t xml:space="preserve"> إجمالي أرصدة السيولة وما يعادلها </w:t>
      </w:r>
      <w:r w:rsidRPr="00977A67">
        <w:rPr>
          <w:rFonts w:hint="cs"/>
          <w:rtl/>
        </w:rPr>
        <w:t>بمبلغ قدره 30,2 مليون فرنك سويسري في الفترة بين 31 ديسمبر</w:t>
      </w:r>
      <w:r w:rsidRPr="00977A67">
        <w:rPr>
          <w:rFonts w:hint="eastAsia"/>
          <w:rtl/>
        </w:rPr>
        <w:t> </w:t>
      </w:r>
      <w:r w:rsidRPr="00977A67">
        <w:rPr>
          <w:rFonts w:hint="cs"/>
          <w:rtl/>
        </w:rPr>
        <w:t>2011 و31</w:t>
      </w:r>
      <w:r w:rsidRPr="00977A67">
        <w:rPr>
          <w:rFonts w:hint="eastAsia"/>
          <w:rtl/>
        </w:rPr>
        <w:t> </w:t>
      </w:r>
      <w:r w:rsidRPr="00977A67">
        <w:rPr>
          <w:rFonts w:hint="cs"/>
          <w:rtl/>
        </w:rPr>
        <w:t>ديسمبر 2013.</w:t>
      </w:r>
      <w:r w:rsidRPr="00977A67">
        <w:rPr>
          <w:rtl/>
        </w:rPr>
        <w:t xml:space="preserve"> واحتراماً لقواعد عرض المعايير المحاسبية الدولية، </w:t>
      </w:r>
      <w:r w:rsidRPr="00977A67">
        <w:rPr>
          <w:rFonts w:hint="cs"/>
          <w:rtl/>
        </w:rPr>
        <w:t>تنقسم</w:t>
      </w:r>
      <w:r w:rsidRPr="00977A67">
        <w:rPr>
          <w:rtl/>
        </w:rPr>
        <w:t xml:space="preserve"> أرصدة السيولة إلى سيولة مقيّدة وسيولة غير مقيّدة. وتشمل الأموال المقيّدة الأموال المحتفظ بها للغير لأغراض تسجيل العلامات التجارية </w:t>
      </w:r>
      <w:r w:rsidRPr="00977A67">
        <w:rPr>
          <w:rFonts w:hint="cs"/>
          <w:rtl/>
        </w:rPr>
        <w:t xml:space="preserve">أو التصاميم </w:t>
      </w:r>
      <w:r w:rsidRPr="00977A67">
        <w:rPr>
          <w:rtl/>
        </w:rPr>
        <w:t xml:space="preserve">الصناعية والاشتراك في دوريات الويبو. وتشمل أيضا الرسوم المحصلة باسم الأطراف المتعاقدة في اتفاق مدريد وبروتوكوله واتفاق لاهاي، وباسم إدارات البحث الدولي في إطار معاهدة التعاون بشأن البراءات، </w:t>
      </w:r>
      <w:r w:rsidRPr="00977A67">
        <w:rPr>
          <w:rFonts w:hint="cs"/>
          <w:rtl/>
        </w:rPr>
        <w:t>من قِبل</w:t>
      </w:r>
      <w:r w:rsidRPr="00977A67">
        <w:rPr>
          <w:rtl/>
        </w:rPr>
        <w:t xml:space="preserve"> المكتب الدولي </w:t>
      </w:r>
      <w:proofErr w:type="spellStart"/>
      <w:r w:rsidRPr="00977A67">
        <w:rPr>
          <w:rtl/>
        </w:rPr>
        <w:t>للويبو</w:t>
      </w:r>
      <w:proofErr w:type="spellEnd"/>
      <w:r w:rsidRPr="00977A67">
        <w:rPr>
          <w:rtl/>
        </w:rPr>
        <w:t xml:space="preserve"> كمكتب لتسلم الطلبات. وت</w:t>
      </w:r>
      <w:r w:rsidRPr="00977A67">
        <w:rPr>
          <w:rFonts w:hint="cs"/>
          <w:rtl/>
        </w:rPr>
        <w:t>ُ</w:t>
      </w:r>
      <w:r w:rsidRPr="00977A67">
        <w:rPr>
          <w:rtl/>
        </w:rPr>
        <w:t>ضاف إلى ذلك</w:t>
      </w:r>
      <w:r w:rsidRPr="00977A67">
        <w:rPr>
          <w:rFonts w:hint="cs"/>
          <w:rtl/>
        </w:rPr>
        <w:t xml:space="preserve"> </w:t>
      </w:r>
      <w:r w:rsidRPr="00977A67">
        <w:rPr>
          <w:rtl/>
        </w:rPr>
        <w:t>الودائع المستلمة في إطار الإجراءات الجارية بشأن العلامات التجارية، خلاف القسط الذي يقدر كمبالغ استلمتها المنظمة قبل استحقاقها، وهي تمثل أموالاً محصلة باسم الغير وتعتبر أموالا مقيّدة.</w:t>
      </w:r>
    </w:p>
    <w:p w:rsidR="006715D6" w:rsidRPr="00977A67" w:rsidRDefault="006715D6" w:rsidP="006715D6">
      <w:pPr>
        <w:pStyle w:val="NormalParaAR"/>
        <w:keepNext/>
        <w:rPr>
          <w:b/>
          <w:bCs/>
          <w:rtl/>
        </w:rPr>
      </w:pPr>
      <w:r w:rsidRPr="00977A67">
        <w:rPr>
          <w:b/>
          <w:bCs/>
          <w:rtl/>
        </w:rPr>
        <w:t>الأصول الثابتة</w:t>
      </w:r>
    </w:p>
    <w:p w:rsidR="006715D6" w:rsidRPr="00977A67" w:rsidRDefault="006715D6" w:rsidP="006715D6">
      <w:pPr>
        <w:pStyle w:val="NormalParaAR"/>
        <w:spacing w:line="240" w:lineRule="auto"/>
        <w:jc w:val="center"/>
        <w:rPr>
          <w:rtl/>
        </w:rPr>
      </w:pPr>
      <w:r w:rsidRPr="00977A67">
        <w:rPr>
          <w:rFonts w:hint="cs"/>
          <w:noProof/>
          <w:rtl/>
        </w:rPr>
        <w:drawing>
          <wp:inline distT="0" distB="0" distL="0" distR="0" wp14:anchorId="394238B9" wp14:editId="3C86E859">
            <wp:extent cx="5940425" cy="2995717"/>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2995717"/>
                    </a:xfrm>
                    <a:prstGeom prst="rect">
                      <a:avLst/>
                    </a:prstGeom>
                    <a:noFill/>
                    <a:ln>
                      <a:noFill/>
                    </a:ln>
                  </pic:spPr>
                </pic:pic>
              </a:graphicData>
            </a:graphic>
          </wp:inline>
        </w:drawing>
      </w:r>
    </w:p>
    <w:p w:rsidR="006715D6" w:rsidRPr="00977A67" w:rsidRDefault="006715D6" w:rsidP="006715D6">
      <w:pPr>
        <w:pStyle w:val="NormalParaAR"/>
        <w:rPr>
          <w:rtl/>
        </w:rPr>
      </w:pPr>
      <w:r w:rsidRPr="00977A67">
        <w:rPr>
          <w:rtl/>
        </w:rPr>
        <w:t>تقي</w:t>
      </w:r>
      <w:r w:rsidRPr="00977A67">
        <w:rPr>
          <w:rFonts w:hint="cs"/>
          <w:rtl/>
        </w:rPr>
        <w:t>ّ</w:t>
      </w:r>
      <w:r w:rsidRPr="00977A67">
        <w:rPr>
          <w:rtl/>
        </w:rPr>
        <w:t xml:space="preserve">د المنظمة </w:t>
      </w:r>
      <w:r w:rsidRPr="00977A67">
        <w:rPr>
          <w:rFonts w:hint="cs"/>
          <w:rtl/>
        </w:rPr>
        <w:t xml:space="preserve">المشتريات من </w:t>
      </w:r>
      <w:r w:rsidRPr="00977A67">
        <w:rPr>
          <w:rtl/>
        </w:rPr>
        <w:t>المعدات كأصول إذا تجاوز إجمالي تكلفتها</w:t>
      </w:r>
      <w:r w:rsidRPr="00977A67">
        <w:rPr>
          <w:rFonts w:hint="cs"/>
          <w:rtl/>
        </w:rPr>
        <w:t xml:space="preserve"> عتبة 000</w:t>
      </w:r>
      <w:r w:rsidRPr="00977A67">
        <w:rPr>
          <w:rFonts w:hint="eastAsia"/>
          <w:rtl/>
        </w:rPr>
        <w:t> </w:t>
      </w:r>
      <w:r w:rsidRPr="00977A67">
        <w:rPr>
          <w:rFonts w:hint="cs"/>
          <w:rtl/>
        </w:rPr>
        <w:t>5 فرنك سويسري</w:t>
      </w:r>
      <w:r w:rsidRPr="00977A67">
        <w:rPr>
          <w:rtl/>
        </w:rPr>
        <w:t>.</w:t>
      </w:r>
    </w:p>
    <w:p w:rsidR="006715D6" w:rsidRPr="00977A67" w:rsidRDefault="006715D6" w:rsidP="006715D6">
      <w:pPr>
        <w:pStyle w:val="NormalParaAR"/>
        <w:rPr>
          <w:rtl/>
        </w:rPr>
      </w:pPr>
      <w:r w:rsidRPr="00977A67">
        <w:rPr>
          <w:rFonts w:hint="cs"/>
          <w:rtl/>
        </w:rPr>
        <w:t>وخضع مبنى اتحاد مدريد، المُدرج في صنف الملكية الاستثمارية وفقا للمعايير المحاسبية الدولية للقطاع العام، لإعادة تقييم خلال عام 2012 أسفرت عن زيادة قيمته بمبلغ قدره 0,5</w:t>
      </w:r>
      <w:r w:rsidRPr="00977A67">
        <w:rPr>
          <w:rFonts w:hint="eastAsia"/>
          <w:rtl/>
        </w:rPr>
        <w:t> </w:t>
      </w:r>
      <w:r w:rsidRPr="00977A67">
        <w:rPr>
          <w:rFonts w:hint="cs"/>
          <w:rtl/>
        </w:rPr>
        <w:t>مليون فرنك سويسري.</w:t>
      </w:r>
    </w:p>
    <w:p w:rsidR="006715D6" w:rsidRPr="00977A67" w:rsidRDefault="006715D6" w:rsidP="006715D6">
      <w:pPr>
        <w:pStyle w:val="NormalParaAR"/>
        <w:rPr>
          <w:rtl/>
        </w:rPr>
      </w:pPr>
      <w:r w:rsidRPr="00977A67">
        <w:rPr>
          <w:rFonts w:hint="cs"/>
          <w:rtl/>
        </w:rPr>
        <w:t>و</w:t>
      </w:r>
      <w:r w:rsidRPr="00977A67">
        <w:rPr>
          <w:rtl/>
        </w:rPr>
        <w:t xml:space="preserve">واصلت قيمة حقوق </w:t>
      </w:r>
      <w:r w:rsidRPr="00977A67">
        <w:rPr>
          <w:rFonts w:hint="cs"/>
          <w:rtl/>
        </w:rPr>
        <w:t xml:space="preserve">استغلال </w:t>
      </w:r>
      <w:r w:rsidRPr="00977A67">
        <w:rPr>
          <w:rtl/>
        </w:rPr>
        <w:t xml:space="preserve">الأراضي تراجعها بمعدل سنوي يبلغ 0,4 مليون فرنك سويسري إذ </w:t>
      </w:r>
      <w:r w:rsidRPr="00977A67">
        <w:rPr>
          <w:rFonts w:hint="cs"/>
          <w:rtl/>
        </w:rPr>
        <w:t>تُستهلك</w:t>
      </w:r>
      <w:r w:rsidRPr="00977A67">
        <w:rPr>
          <w:rtl/>
        </w:rPr>
        <w:t xml:space="preserve"> على مدار 78</w:t>
      </w:r>
      <w:r w:rsidRPr="00977A67">
        <w:rPr>
          <w:rFonts w:hint="cs"/>
          <w:rtl/>
        </w:rPr>
        <w:t> </w:t>
      </w:r>
      <w:r w:rsidRPr="00977A67">
        <w:rPr>
          <w:rtl/>
        </w:rPr>
        <w:t>عاماً.</w:t>
      </w:r>
      <w:r w:rsidRPr="00977A67">
        <w:rPr>
          <w:rFonts w:hint="cs"/>
          <w:rtl/>
        </w:rPr>
        <w:t xml:space="preserve"> </w:t>
      </w:r>
      <w:r w:rsidRPr="00977A67">
        <w:rPr>
          <w:rtl/>
        </w:rPr>
        <w:t>و</w:t>
      </w:r>
      <w:r w:rsidRPr="00977A67">
        <w:rPr>
          <w:rFonts w:hint="cs"/>
          <w:rtl/>
        </w:rPr>
        <w:t xml:space="preserve">بدأت الويبو، اعتبارا </w:t>
      </w:r>
      <w:r w:rsidRPr="00977A67">
        <w:rPr>
          <w:rtl/>
        </w:rPr>
        <w:t>من 1 يناير 2012</w:t>
      </w:r>
      <w:r w:rsidRPr="00977A67">
        <w:rPr>
          <w:rFonts w:hint="cs"/>
          <w:rtl/>
        </w:rPr>
        <w:t>، تطبيق</w:t>
      </w:r>
      <w:r w:rsidRPr="00977A67">
        <w:rPr>
          <w:rtl/>
        </w:rPr>
        <w:t xml:space="preserve"> المعيار 31 من المعايير المحاسبية الدولية المتعلق بالأصول غير</w:t>
      </w:r>
      <w:r w:rsidRPr="00977A67">
        <w:rPr>
          <w:rFonts w:hint="cs"/>
          <w:rtl/>
        </w:rPr>
        <w:t> </w:t>
      </w:r>
      <w:r w:rsidRPr="00977A67">
        <w:rPr>
          <w:rtl/>
        </w:rPr>
        <w:t>المادية</w:t>
      </w:r>
      <w:r w:rsidRPr="00977A67">
        <w:rPr>
          <w:rFonts w:hint="cs"/>
          <w:rtl/>
        </w:rPr>
        <w:t xml:space="preserve">. </w:t>
      </w:r>
      <w:r w:rsidRPr="00977A67">
        <w:rPr>
          <w:rtl/>
        </w:rPr>
        <w:t>و</w:t>
      </w:r>
      <w:r w:rsidRPr="00977A67">
        <w:rPr>
          <w:rFonts w:hint="cs"/>
          <w:rtl/>
        </w:rPr>
        <w:t>قد أدّى</w:t>
      </w:r>
      <w:r w:rsidRPr="00977A67">
        <w:rPr>
          <w:rtl/>
        </w:rPr>
        <w:t xml:space="preserve"> ذلك إلى رسملة </w:t>
      </w:r>
      <w:r w:rsidRPr="00977A67">
        <w:rPr>
          <w:rFonts w:hint="cs"/>
          <w:rtl/>
        </w:rPr>
        <w:t>البرمجيات</w:t>
      </w:r>
      <w:r w:rsidRPr="00977A67">
        <w:rPr>
          <w:rtl/>
        </w:rPr>
        <w:t xml:space="preserve"> </w:t>
      </w:r>
      <w:r w:rsidRPr="00977A67">
        <w:rPr>
          <w:rFonts w:hint="cs"/>
          <w:rtl/>
        </w:rPr>
        <w:t>المُكتسبة</w:t>
      </w:r>
      <w:r w:rsidRPr="00977A67">
        <w:rPr>
          <w:rtl/>
        </w:rPr>
        <w:t xml:space="preserve"> من الخارج وتلك المطورة داخلياً في البيانات المالية</w:t>
      </w:r>
      <w:r w:rsidRPr="00977A67">
        <w:rPr>
          <w:rFonts w:hint="cs"/>
          <w:rtl/>
        </w:rPr>
        <w:t xml:space="preserve"> بقيمة إجمالية بلغت 2,7 مليون فرنك سويسري في 31 ديسمبر 2013.</w:t>
      </w:r>
    </w:p>
    <w:p w:rsidR="006715D6" w:rsidRPr="00977A67" w:rsidRDefault="006715D6" w:rsidP="006715D6">
      <w:pPr>
        <w:pStyle w:val="NormalParaAR"/>
      </w:pPr>
      <w:r w:rsidRPr="00977A67">
        <w:rPr>
          <w:rtl/>
        </w:rPr>
        <w:t xml:space="preserve">وزادت قيمة الأراضي والمباني خلال الثنائية لتصل إلى </w:t>
      </w:r>
      <w:r w:rsidRPr="00977A67">
        <w:rPr>
          <w:rFonts w:hint="cs"/>
          <w:rtl/>
        </w:rPr>
        <w:t>360</w:t>
      </w:r>
      <w:r w:rsidRPr="00977A67">
        <w:rPr>
          <w:rtl/>
        </w:rPr>
        <w:t>,</w:t>
      </w:r>
      <w:r w:rsidRPr="00977A67">
        <w:rPr>
          <w:rFonts w:hint="cs"/>
          <w:rtl/>
        </w:rPr>
        <w:t>1 </w:t>
      </w:r>
      <w:r w:rsidRPr="00977A67">
        <w:rPr>
          <w:rtl/>
        </w:rPr>
        <w:t>مليون فرنك سويسري في 31 ديسمبر</w:t>
      </w:r>
      <w:r w:rsidRPr="00977A67">
        <w:rPr>
          <w:rFonts w:hint="cs"/>
          <w:rtl/>
        </w:rPr>
        <w:t> 2013</w:t>
      </w:r>
      <w:r w:rsidRPr="00977A67">
        <w:rPr>
          <w:rtl/>
        </w:rPr>
        <w:t xml:space="preserve">. وفي </w:t>
      </w:r>
      <w:r w:rsidRPr="00977A67">
        <w:rPr>
          <w:rFonts w:hint="cs"/>
          <w:rtl/>
        </w:rPr>
        <w:t>عامي</w:t>
      </w:r>
      <w:r w:rsidRPr="00977A67">
        <w:rPr>
          <w:rFonts w:hint="eastAsia"/>
          <w:rtl/>
        </w:rPr>
        <w:t> </w:t>
      </w:r>
      <w:r w:rsidRPr="00977A67">
        <w:rPr>
          <w:rFonts w:hint="cs"/>
          <w:rtl/>
        </w:rPr>
        <w:t>2012 و2013</w:t>
      </w:r>
      <w:r w:rsidRPr="00977A67">
        <w:rPr>
          <w:rtl/>
        </w:rPr>
        <w:t xml:space="preserve">، </w:t>
      </w:r>
      <w:r w:rsidRPr="00977A67">
        <w:rPr>
          <w:rFonts w:hint="cs"/>
          <w:rtl/>
        </w:rPr>
        <w:t>سجّلت المنظمة تكاليف ضخمة نتيجة استمرار الأشغال الخاصة بقاعة المؤتمرات الجديدة والإنشاءات الأمنية، فضلا عن التكاليف المرتبطة بتحسين المباني المشغولة. وعُوّض جزء من تلك الزيادات المُسجّلة في قيمة المباني باهتلاك على مدى الثنائية قدره 12,6 مليون فرنك سويسري.</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الأصول الأخرى</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1E8C81B0" wp14:editId="0F58113C">
            <wp:extent cx="5940425" cy="2049925"/>
            <wp:effectExtent l="0" t="0" r="3175"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204992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تتألف </w:t>
      </w:r>
      <w:r w:rsidRPr="00977A67">
        <w:rPr>
          <w:rFonts w:ascii="Arabic Typesetting" w:hAnsi="Arabic Typesetting" w:cs="Arabic Typesetting"/>
          <w:sz w:val="36"/>
          <w:szCs w:val="36"/>
          <w:rtl/>
        </w:rPr>
        <w:t xml:space="preserve">الأصول الأخرى أساسا </w:t>
      </w:r>
      <w:r w:rsidRPr="00977A67">
        <w:rPr>
          <w:rFonts w:ascii="Arabic Typesetting" w:hAnsi="Arabic Typesetting" w:cs="Arabic Typesetting" w:hint="cs"/>
          <w:sz w:val="36"/>
          <w:szCs w:val="36"/>
          <w:rtl/>
        </w:rPr>
        <w:t xml:space="preserve">من حسابات مدينة لنظام </w:t>
      </w:r>
      <w:r w:rsidRPr="00977A67">
        <w:rPr>
          <w:rFonts w:ascii="Arabic Typesetting" w:hAnsi="Arabic Typesetting" w:cs="Arabic Typesetting"/>
          <w:sz w:val="36"/>
          <w:szCs w:val="36"/>
          <w:rtl/>
        </w:rPr>
        <w:t>معاهدة التعاون بشأن البراءات</w:t>
      </w:r>
      <w:r w:rsidRPr="00977A67">
        <w:rPr>
          <w:rFonts w:ascii="Arabic Typesetting" w:hAnsi="Arabic Typesetting" w:cs="Arabic Typesetting" w:hint="cs"/>
          <w:sz w:val="36"/>
          <w:szCs w:val="36"/>
          <w:rtl/>
        </w:rPr>
        <w:t xml:space="preserve"> برصيد يبلغ</w:t>
      </w:r>
      <w:r w:rsidRPr="00977A67">
        <w:rPr>
          <w:rFonts w:ascii="Arabic Typesetting" w:hAnsi="Arabic Typesetting" w:cs="Arabic Typesetting"/>
          <w:sz w:val="36"/>
          <w:szCs w:val="36"/>
          <w:rtl/>
        </w:rPr>
        <w:t xml:space="preserve"> 62</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4 مليون فرنك سويسري في 31 ديسمبر 2013</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ويمثل</w:t>
      </w:r>
      <w:r w:rsidRPr="00977A67">
        <w:rPr>
          <w:rFonts w:ascii="Arabic Typesetting" w:hAnsi="Arabic Typesetting" w:cs="Arabic Typesetting" w:hint="cs"/>
          <w:sz w:val="36"/>
          <w:szCs w:val="36"/>
          <w:rtl/>
        </w:rPr>
        <w:t xml:space="preserve"> ذلك طلبات </w:t>
      </w:r>
      <w:r w:rsidRPr="00977A67">
        <w:rPr>
          <w:rFonts w:ascii="Arabic Typesetting" w:hAnsi="Arabic Typesetting" w:cs="Arabic Typesetting"/>
          <w:sz w:val="36"/>
          <w:szCs w:val="36"/>
          <w:rtl/>
        </w:rPr>
        <w:t xml:space="preserve">معاهدة </w:t>
      </w:r>
      <w:r w:rsidRPr="00977A67">
        <w:rPr>
          <w:rFonts w:ascii="Arabic Typesetting" w:hAnsi="Arabic Typesetting" w:cs="Arabic Typesetting" w:hint="cs"/>
          <w:sz w:val="36"/>
          <w:szCs w:val="36"/>
          <w:rtl/>
        </w:rPr>
        <w:t>ا</w:t>
      </w:r>
      <w:r w:rsidRPr="00977A67">
        <w:rPr>
          <w:rFonts w:ascii="Arabic Typesetting" w:hAnsi="Arabic Typesetting" w:cs="Arabic Typesetting"/>
          <w:sz w:val="36"/>
          <w:szCs w:val="36"/>
          <w:rtl/>
        </w:rPr>
        <w:t>لبراءات ال</w:t>
      </w:r>
      <w:r w:rsidRPr="00977A67">
        <w:rPr>
          <w:rFonts w:ascii="Arabic Typesetting" w:hAnsi="Arabic Typesetting" w:cs="Arabic Typesetting" w:hint="cs"/>
          <w:sz w:val="36"/>
          <w:szCs w:val="36"/>
          <w:rtl/>
        </w:rPr>
        <w:t xml:space="preserve">مودعة لدى </w:t>
      </w:r>
      <w:r w:rsidRPr="00977A67">
        <w:rPr>
          <w:rFonts w:ascii="Arabic Typesetting" w:hAnsi="Arabic Typesetting" w:cs="Arabic Typesetting"/>
          <w:sz w:val="36"/>
          <w:szCs w:val="36"/>
          <w:rtl/>
        </w:rPr>
        <w:t xml:space="preserve">مكاتب </w:t>
      </w:r>
      <w:r w:rsidRPr="00977A67">
        <w:rPr>
          <w:rFonts w:ascii="Arabic Typesetting" w:hAnsi="Arabic Typesetting" w:cs="Arabic Typesetting" w:hint="cs"/>
          <w:sz w:val="36"/>
          <w:szCs w:val="36"/>
          <w:rtl/>
        </w:rPr>
        <w:t xml:space="preserve">تسلم الطلبات </w:t>
      </w:r>
      <w:r w:rsidRPr="00977A67">
        <w:rPr>
          <w:rFonts w:ascii="Arabic Typesetting" w:hAnsi="Arabic Typesetting" w:cs="Arabic Typesetting"/>
          <w:sz w:val="36"/>
          <w:szCs w:val="36"/>
          <w:rtl/>
        </w:rPr>
        <w:t xml:space="preserve">وربما تلقتها الويبو، ولكن لم </w:t>
      </w:r>
      <w:r w:rsidRPr="00977A67">
        <w:rPr>
          <w:rFonts w:ascii="Arabic Typesetting" w:hAnsi="Arabic Typesetting" w:cs="Arabic Typesetting" w:hint="cs"/>
          <w:sz w:val="36"/>
          <w:szCs w:val="36"/>
          <w:rtl/>
        </w:rPr>
        <w:t>ت</w:t>
      </w:r>
      <w:r w:rsidRPr="00977A67">
        <w:rPr>
          <w:rFonts w:ascii="Arabic Typesetting" w:hAnsi="Arabic Typesetting" w:cs="Arabic Typesetting"/>
          <w:sz w:val="36"/>
          <w:szCs w:val="36"/>
          <w:rtl/>
        </w:rPr>
        <w:t>تلق</w:t>
      </w:r>
      <w:r w:rsidRPr="00977A67">
        <w:rPr>
          <w:rFonts w:ascii="Arabic Typesetting" w:hAnsi="Arabic Typesetting" w:cs="Arabic Typesetting" w:hint="cs"/>
          <w:sz w:val="36"/>
          <w:szCs w:val="36"/>
          <w:rtl/>
        </w:rPr>
        <w:t xml:space="preserve"> المنظمة</w:t>
      </w:r>
      <w:r w:rsidRPr="00977A67">
        <w:rPr>
          <w:rFonts w:ascii="Arabic Typesetting" w:hAnsi="Arabic Typesetting" w:cs="Arabic Typesetting"/>
          <w:sz w:val="36"/>
          <w:szCs w:val="36"/>
          <w:rtl/>
        </w:rPr>
        <w:t xml:space="preserve"> أي</w:t>
      </w:r>
      <w:r w:rsidRPr="00977A67">
        <w:rPr>
          <w:rFonts w:ascii="Arabic Typesetting" w:hAnsi="Arabic Typesetting" w:cs="Arabic Typesetting" w:hint="cs"/>
          <w:sz w:val="36"/>
          <w:szCs w:val="36"/>
          <w:rtl/>
        </w:rPr>
        <w:t>ة</w:t>
      </w:r>
      <w:r w:rsidRPr="00977A67">
        <w:rPr>
          <w:rFonts w:ascii="Arabic Typesetting" w:hAnsi="Arabic Typesetting" w:cs="Arabic Typesetting"/>
          <w:sz w:val="36"/>
          <w:szCs w:val="36"/>
          <w:rtl/>
        </w:rPr>
        <w:t xml:space="preserve"> رسوم مقابلة</w:t>
      </w:r>
      <w:r w:rsidRPr="00977A67">
        <w:rPr>
          <w:rFonts w:ascii="Arabic Typesetting" w:hAnsi="Arabic Typesetting" w:cs="Arabic Typesetting" w:hint="cs"/>
          <w:sz w:val="36"/>
          <w:szCs w:val="36"/>
          <w:rtl/>
        </w:rPr>
        <w:t xml:space="preserve"> لها</w:t>
      </w:r>
      <w:r w:rsidRPr="00977A67">
        <w:rPr>
          <w:rFonts w:ascii="Arabic Typesetting" w:hAnsi="Arabic Typesetting" w:cs="Arabic Typesetting"/>
          <w:sz w:val="36"/>
          <w:szCs w:val="36"/>
          <w:rtl/>
        </w:rPr>
        <w:t>. وتتألف</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أساسا </w:t>
      </w:r>
      <w:r w:rsidRPr="00977A67">
        <w:rPr>
          <w:rFonts w:ascii="Arabic Typesetting" w:hAnsi="Arabic Typesetting" w:cs="Arabic Typesetting" w:hint="cs"/>
          <w:sz w:val="36"/>
          <w:szCs w:val="36"/>
          <w:rtl/>
        </w:rPr>
        <w:t>الحسابات</w:t>
      </w:r>
      <w:r w:rsidRPr="00977A67">
        <w:rPr>
          <w:rFonts w:ascii="Arabic Typesetting" w:hAnsi="Arabic Typesetting" w:cs="Arabic Typesetting"/>
          <w:sz w:val="36"/>
          <w:szCs w:val="36"/>
          <w:rtl/>
        </w:rPr>
        <w:t xml:space="preserve"> المدين</w:t>
      </w:r>
      <w:r w:rsidRPr="00977A67">
        <w:rPr>
          <w:rFonts w:ascii="Arabic Typesetting" w:hAnsi="Arabic Typesetting" w:cs="Arabic Typesetting" w:hint="cs"/>
          <w:sz w:val="36"/>
          <w:szCs w:val="36"/>
          <w:rtl/>
        </w:rPr>
        <w:t>ة</w:t>
      </w:r>
      <w:r w:rsidRPr="00977A67">
        <w:rPr>
          <w:rFonts w:ascii="Arabic Typesetting" w:hAnsi="Arabic Typesetting" w:cs="Arabic Typesetting"/>
          <w:sz w:val="36"/>
          <w:szCs w:val="36"/>
          <w:rtl/>
        </w:rPr>
        <w:t xml:space="preserve"> والمبالغ</w:t>
      </w:r>
      <w:r w:rsidRPr="00977A67">
        <w:rPr>
          <w:rFonts w:ascii="Arabic Typesetting" w:hAnsi="Arabic Typesetting" w:cs="Arabic Typesetting" w:hint="cs"/>
          <w:sz w:val="36"/>
          <w:szCs w:val="36"/>
          <w:rtl/>
        </w:rPr>
        <w:t xml:space="preserve"> الأخرى</w:t>
      </w:r>
      <w:r w:rsidRPr="00977A67">
        <w:rPr>
          <w:rFonts w:ascii="Arabic Typesetting" w:hAnsi="Arabic Typesetting" w:cs="Arabic Typesetting"/>
          <w:sz w:val="36"/>
          <w:szCs w:val="36"/>
          <w:rtl/>
        </w:rPr>
        <w:t xml:space="preserve"> المدفوعة مقدّما في 31 ديسمبر</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 xml:space="preserve">2013 </w:t>
      </w:r>
      <w:r w:rsidRPr="00977A67">
        <w:rPr>
          <w:rFonts w:ascii="Arabic Typesetting" w:hAnsi="Arabic Typesetting" w:cs="Arabic Typesetting" w:hint="cs"/>
          <w:sz w:val="36"/>
          <w:szCs w:val="36"/>
          <w:rtl/>
        </w:rPr>
        <w:t>من ا</w:t>
      </w:r>
      <w:r w:rsidRPr="00977A67">
        <w:rPr>
          <w:rFonts w:ascii="Arabic Typesetting" w:hAnsi="Arabic Typesetting" w:cs="Arabic Typesetting"/>
          <w:sz w:val="36"/>
          <w:szCs w:val="36"/>
          <w:rtl/>
        </w:rPr>
        <w:t>لنفقات المدفوعة م</w:t>
      </w:r>
      <w:r w:rsidRPr="00977A67">
        <w:rPr>
          <w:rFonts w:ascii="Arabic Typesetting" w:hAnsi="Arabic Typesetting" w:cs="Arabic Typesetting" w:hint="cs"/>
          <w:sz w:val="36"/>
          <w:szCs w:val="36"/>
          <w:rtl/>
        </w:rPr>
        <w:t>قدما بمبلغ</w:t>
      </w:r>
      <w:r w:rsidRPr="00977A67">
        <w:rPr>
          <w:rFonts w:ascii="Arabic Typesetting" w:hAnsi="Arabic Typesetting" w:cs="Arabic Typesetting"/>
          <w:sz w:val="36"/>
          <w:szCs w:val="36"/>
          <w:rtl/>
        </w:rPr>
        <w:t xml:space="preserve"> 4</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9 </w:t>
      </w:r>
      <w:r w:rsidRPr="00977A67">
        <w:rPr>
          <w:rFonts w:ascii="Arabic Typesetting" w:hAnsi="Arabic Typesetting" w:cs="Arabic Typesetting" w:hint="cs"/>
          <w:sz w:val="36"/>
          <w:szCs w:val="36"/>
          <w:rtl/>
        </w:rPr>
        <w:t>ملايين</w:t>
      </w:r>
      <w:r w:rsidRPr="00977A67">
        <w:rPr>
          <w:rFonts w:ascii="Arabic Typesetting" w:hAnsi="Arabic Typesetting" w:cs="Arabic Typesetting"/>
          <w:sz w:val="36"/>
          <w:szCs w:val="36"/>
          <w:rtl/>
        </w:rPr>
        <w:t xml:space="preserve"> فرنك سويسري، </w:t>
      </w:r>
      <w:r w:rsidRPr="00977A67">
        <w:rPr>
          <w:rFonts w:ascii="Arabic Typesetting" w:hAnsi="Arabic Typesetting" w:cs="Arabic Typesetting" w:hint="cs"/>
          <w:sz w:val="36"/>
          <w:szCs w:val="36"/>
          <w:rtl/>
        </w:rPr>
        <w:t>و</w:t>
      </w:r>
      <w:r w:rsidRPr="00977A67">
        <w:rPr>
          <w:rFonts w:ascii="Arabic Typesetting" w:hAnsi="Arabic Typesetting" w:cs="Arabic Typesetting"/>
          <w:sz w:val="36"/>
          <w:szCs w:val="36"/>
          <w:rtl/>
        </w:rPr>
        <w:t xml:space="preserve">الضرائب الأمريكية مستحقة الاسترداد </w:t>
      </w:r>
      <w:r w:rsidRPr="00977A67">
        <w:rPr>
          <w:rFonts w:ascii="Arabic Typesetting" w:hAnsi="Arabic Typesetting" w:cs="Arabic Typesetting" w:hint="cs"/>
          <w:sz w:val="36"/>
          <w:szCs w:val="36"/>
          <w:rtl/>
        </w:rPr>
        <w:t>بمبلغ </w:t>
      </w:r>
      <w:r w:rsidRPr="00977A67">
        <w:rPr>
          <w:rFonts w:ascii="Arabic Typesetting" w:hAnsi="Arabic Typesetting" w:cs="Arabic Typesetting"/>
          <w:sz w:val="36"/>
          <w:szCs w:val="36"/>
          <w:rtl/>
        </w:rPr>
        <w:t>3</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7 </w:t>
      </w:r>
      <w:r w:rsidRPr="00977A67">
        <w:rPr>
          <w:rFonts w:ascii="Arabic Typesetting" w:hAnsi="Arabic Typesetting" w:cs="Arabic Typesetting" w:hint="cs"/>
          <w:sz w:val="36"/>
          <w:szCs w:val="36"/>
          <w:rtl/>
        </w:rPr>
        <w:t>ملايين</w:t>
      </w:r>
      <w:r w:rsidRPr="00977A67">
        <w:rPr>
          <w:rFonts w:ascii="Arabic Typesetting" w:hAnsi="Arabic Typesetting" w:cs="Arabic Typesetting"/>
          <w:sz w:val="36"/>
          <w:szCs w:val="36"/>
          <w:rtl/>
        </w:rPr>
        <w:t xml:space="preserve"> فرنك سويسري. </w:t>
      </w:r>
      <w:r w:rsidRPr="00977A67">
        <w:rPr>
          <w:rFonts w:ascii="Arabic Typesetting" w:hAnsi="Arabic Typesetting" w:cs="Arabic Typesetting" w:hint="cs"/>
          <w:sz w:val="36"/>
          <w:szCs w:val="36"/>
          <w:rtl/>
        </w:rPr>
        <w:t>وتتكون المبالغ المدفوعة مقدما بال</w:t>
      </w:r>
      <w:r w:rsidRPr="00977A67">
        <w:rPr>
          <w:rFonts w:ascii="Arabic Typesetting" w:hAnsi="Arabic Typesetting" w:cs="Arabic Typesetting"/>
          <w:sz w:val="36"/>
          <w:szCs w:val="36"/>
          <w:rtl/>
        </w:rPr>
        <w:t xml:space="preserve">أساس </w:t>
      </w:r>
      <w:r w:rsidRPr="00977A67">
        <w:rPr>
          <w:rFonts w:ascii="Arabic Typesetting" w:hAnsi="Arabic Typesetting" w:cs="Arabic Typesetting" w:hint="cs"/>
          <w:sz w:val="36"/>
          <w:szCs w:val="36"/>
          <w:rtl/>
        </w:rPr>
        <w:t xml:space="preserve">من سلف </w:t>
      </w:r>
      <w:r w:rsidRPr="00977A67">
        <w:rPr>
          <w:rFonts w:ascii="Arabic Typesetting" w:hAnsi="Arabic Typesetting" w:cs="Arabic Typesetting"/>
          <w:sz w:val="36"/>
          <w:szCs w:val="36"/>
          <w:rtl/>
        </w:rPr>
        <w:t xml:space="preserve">للموظفين لأغراض منح التعليم </w:t>
      </w:r>
      <w:r w:rsidRPr="00977A67">
        <w:rPr>
          <w:rFonts w:ascii="Arabic Typesetting" w:hAnsi="Arabic Typesetting" w:cs="Arabic Typesetting" w:hint="cs"/>
          <w:sz w:val="36"/>
          <w:szCs w:val="36"/>
          <w:rtl/>
        </w:rPr>
        <w:t>بمبلغ</w:t>
      </w:r>
      <w:r w:rsidRPr="00977A67">
        <w:rPr>
          <w:rFonts w:ascii="Arabic Typesetting" w:hAnsi="Arabic Typesetting" w:cs="Arabic Typesetting"/>
          <w:sz w:val="36"/>
          <w:szCs w:val="36"/>
          <w:rtl/>
        </w:rPr>
        <w:t xml:space="preserve"> 4</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5 </w:t>
      </w:r>
      <w:r w:rsidRPr="00977A67">
        <w:rPr>
          <w:rFonts w:ascii="Arabic Typesetting" w:hAnsi="Arabic Typesetting" w:cs="Arabic Typesetting" w:hint="cs"/>
          <w:sz w:val="36"/>
          <w:szCs w:val="36"/>
          <w:rtl/>
        </w:rPr>
        <w:t>ملايين</w:t>
      </w:r>
      <w:r w:rsidRPr="00977A67">
        <w:rPr>
          <w:rFonts w:ascii="Arabic Typesetting" w:hAnsi="Arabic Typesetting" w:cs="Arabic Typesetting"/>
          <w:sz w:val="36"/>
          <w:szCs w:val="36"/>
          <w:rtl/>
        </w:rPr>
        <w:t xml:space="preserve"> فرنك سويسري</w:t>
      </w:r>
      <w:r w:rsidRPr="00977A67">
        <w:rPr>
          <w:rFonts w:ascii="Arabic Typesetting" w:hAnsi="Arabic Typesetting" w:cs="Arabic Typesetting" w:hint="cs"/>
          <w:sz w:val="36"/>
          <w:szCs w:val="36"/>
          <w:rtl/>
        </w:rPr>
        <w:t>.</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b/>
          <w:bCs/>
          <w:sz w:val="36"/>
          <w:szCs w:val="36"/>
          <w:rtl/>
        </w:rPr>
        <w:t>‏المبالغ مستحقة الدفع والمبالغ المستلمة قبل استحقاقها</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4099EB89" wp14:editId="6BEDBE35">
            <wp:extent cx="5940425" cy="2887323"/>
            <wp:effectExtent l="0" t="0" r="3175"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2887323"/>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تمثل التحويلات مستحقة الدفع رسوماً </w:t>
      </w:r>
      <w:r w:rsidRPr="00977A67">
        <w:rPr>
          <w:rFonts w:ascii="Arabic Typesetting" w:hAnsi="Arabic Typesetting" w:cs="Arabic Typesetting"/>
          <w:sz w:val="36"/>
          <w:szCs w:val="36"/>
          <w:rtl/>
        </w:rPr>
        <w:t>تحصّل</w:t>
      </w:r>
      <w:r w:rsidRPr="00977A67">
        <w:rPr>
          <w:rFonts w:ascii="Arabic Typesetting" w:hAnsi="Arabic Typesetting" w:cs="Arabic Typesetting" w:hint="cs"/>
          <w:sz w:val="36"/>
          <w:szCs w:val="36"/>
          <w:rtl/>
        </w:rPr>
        <w:t>ها</w:t>
      </w:r>
      <w:r w:rsidRPr="00977A67">
        <w:rPr>
          <w:rFonts w:ascii="Arabic Typesetting" w:hAnsi="Arabic Typesetting" w:cs="Arabic Typesetting"/>
          <w:sz w:val="36"/>
          <w:szCs w:val="36"/>
          <w:rtl/>
        </w:rPr>
        <w:t xml:space="preserve"> المنظمة بالنيابة عن الأطراف المتعاقدة بموجب اتفاق مدريد وبروتوكوله واللائحة التنفيذية</w:t>
      </w:r>
      <w:r w:rsidRPr="00977A67">
        <w:rPr>
          <w:rFonts w:ascii="Arabic Typesetting" w:hAnsi="Arabic Typesetting" w:cs="Arabic Typesetting"/>
          <w:sz w:val="36"/>
          <w:szCs w:val="36"/>
        </w:rPr>
        <w:t xml:space="preserve"> </w:t>
      </w:r>
      <w:r w:rsidRPr="00977A67">
        <w:rPr>
          <w:rFonts w:ascii="Arabic Typesetting" w:hAnsi="Arabic Typesetting" w:cs="Arabic Typesetting" w:hint="cs"/>
          <w:sz w:val="36"/>
          <w:szCs w:val="36"/>
          <w:rtl/>
        </w:rPr>
        <w:t>المشتركة</w:t>
      </w:r>
      <w:r w:rsidRPr="00977A67">
        <w:rPr>
          <w:rFonts w:ascii="Arabic Typesetting" w:hAnsi="Arabic Typesetting" w:cs="Arabic Typesetting"/>
          <w:sz w:val="36"/>
          <w:szCs w:val="36"/>
          <w:rtl/>
        </w:rPr>
        <w:t xml:space="preserve"> لاتفاق لاهاي. </w:t>
      </w:r>
      <w:r w:rsidRPr="00977A67">
        <w:rPr>
          <w:rFonts w:ascii="Arabic Typesetting" w:hAnsi="Arabic Typesetting" w:cs="Arabic Typesetting" w:hint="cs"/>
          <w:sz w:val="36"/>
          <w:szCs w:val="36"/>
          <w:rtl/>
        </w:rPr>
        <w:t xml:space="preserve">وبالإضافة إلى ذلك، </w:t>
      </w:r>
      <w:r w:rsidRPr="00977A67">
        <w:rPr>
          <w:rFonts w:ascii="Arabic Typesetting" w:hAnsi="Arabic Typesetting" w:cs="Arabic Typesetting"/>
          <w:sz w:val="36"/>
          <w:szCs w:val="36"/>
          <w:rtl/>
        </w:rPr>
        <w:t>يحصل المكتب الدولي للمنظمة بصفته مكتبا لتسلم الطلبات المودعة بناء على معاهدة التعاون بشأن البراءات أموال</w:t>
      </w:r>
      <w:r w:rsidRPr="00977A67">
        <w:rPr>
          <w:rFonts w:ascii="Arabic Typesetting" w:hAnsi="Arabic Typesetting" w:cs="Arabic Typesetting" w:hint="cs"/>
          <w:sz w:val="36"/>
          <w:szCs w:val="36"/>
          <w:rtl/>
        </w:rPr>
        <w:t>ا</w:t>
      </w:r>
      <w:r w:rsidRPr="00977A67">
        <w:rPr>
          <w:rFonts w:ascii="Arabic Typesetting" w:hAnsi="Arabic Typesetting" w:cs="Arabic Typesetting"/>
          <w:sz w:val="36"/>
          <w:szCs w:val="36"/>
          <w:rtl/>
        </w:rPr>
        <w:t xml:space="preserve"> من المودعين لتغطية تكلفة مدفوعات إدارات البحث الدولي. وتمسك المنظمة هذه الأموال مؤقتا إلى أن يتم تحويلها إلى المستفيد النهائي وفقا لأحكام مختلف المعاهدات</w:t>
      </w:r>
      <w:r w:rsidRPr="00977A67">
        <w:rPr>
          <w:rFonts w:ascii="Arabic Typesetting" w:hAnsi="Arabic Typesetting" w:cs="Arabic Typesetting" w:hint="cs"/>
          <w:sz w:val="36"/>
          <w:szCs w:val="36"/>
          <w:rtl/>
        </w:rPr>
        <w:t xml:space="preserve"> والاتفاقات</w:t>
      </w:r>
      <w:r w:rsidRPr="00977A67">
        <w:rPr>
          <w:rFonts w:ascii="Arabic Typesetting" w:hAnsi="Arabic Typesetting" w:cs="Arabic Typesetting"/>
          <w:sz w:val="36"/>
          <w:szCs w:val="36"/>
          <w:rtl/>
        </w:rPr>
        <w:t xml:space="preserve"> التي تديرها المنظمة.</w:t>
      </w:r>
      <w:r w:rsidRPr="00977A67">
        <w:rPr>
          <w:rFonts w:ascii="Arabic Typesetting" w:hAnsi="Arabic Typesetting" w:cs="Arabic Typesetting" w:hint="cs"/>
          <w:sz w:val="36"/>
          <w:szCs w:val="36"/>
          <w:rtl/>
        </w:rPr>
        <w:t xml:space="preserve"> وقد ارتفع إجمالي الرصيد أثناء الثنائية، إذ تحول من</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64,2 مليون فرنك سويسري في نهاية 2011 إلى</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xml:space="preserve">78,6 مليون فرنك سويسري في نهاية 2013. ويُعزى ذلك التغيير بالأساس إلى إعادة تصنيف جزء من ودائع اتحاد مدريد من </w:t>
      </w:r>
      <w:r w:rsidRPr="00977A67">
        <w:rPr>
          <w:rFonts w:ascii="Arabic Typesetting" w:hAnsi="Arabic Typesetting" w:cs="Arabic Typesetting"/>
          <w:sz w:val="36"/>
          <w:szCs w:val="36"/>
          <w:rtl/>
        </w:rPr>
        <w:t>المبالغ المستلمة قبل استحقاقها</w:t>
      </w:r>
      <w:r w:rsidRPr="00977A67">
        <w:rPr>
          <w:rFonts w:ascii="Arabic Typesetting" w:hAnsi="Arabic Typesetting" w:cs="Arabic Typesetting" w:hint="cs"/>
          <w:sz w:val="36"/>
          <w:szCs w:val="36"/>
          <w:rtl/>
        </w:rPr>
        <w:t xml:space="preserve"> ابتداء من 2012. وإلى غاية 2011، كانت جميع ودائع اتحاد مدريد تُدرج ضمن </w:t>
      </w:r>
      <w:r w:rsidRPr="00977A67">
        <w:rPr>
          <w:rFonts w:ascii="Arabic Typesetting" w:hAnsi="Arabic Typesetting" w:cs="Arabic Typesetting"/>
          <w:sz w:val="36"/>
          <w:szCs w:val="36"/>
          <w:rtl/>
        </w:rPr>
        <w:t>المبالغ المستلمة قبل استحقاقها</w:t>
      </w:r>
      <w:r w:rsidRPr="00977A67">
        <w:rPr>
          <w:rFonts w:ascii="Arabic Typesetting" w:hAnsi="Arabic Typesetting" w:cs="Arabic Typesetting" w:hint="cs"/>
          <w:sz w:val="36"/>
          <w:szCs w:val="36"/>
          <w:rtl/>
        </w:rPr>
        <w:t>، ولكن ابتداء من 2012 تمّ إجراء تقدير منفرد لرصيد المبالغ المحصلة باسم الغير والتي أعيد تصنيفها ضمن التحويلات المستحقة الدفع.</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وتُقّيد الإيرادات المرتبطة بمعالجة الطلبات الدولية (العلامات التجارية والتصاميم الصناعية والبراءات) عندما ينشر الطلب. وأما الرسوم والتكاليف المحصلة قبل النشر فتقيد ضمن الإيرادات المؤجلة في </w:t>
      </w:r>
      <w:r w:rsidRPr="00977A67">
        <w:rPr>
          <w:rFonts w:ascii="Arabic Typesetting" w:hAnsi="Arabic Typesetting" w:cs="Arabic Typesetting"/>
          <w:sz w:val="36"/>
          <w:szCs w:val="36"/>
          <w:rtl/>
        </w:rPr>
        <w:t>المبالغ المستلمة قبل استحقاقها</w:t>
      </w:r>
      <w:r w:rsidRPr="00977A67">
        <w:rPr>
          <w:rFonts w:ascii="Arabic Typesetting" w:hAnsi="Arabic Typesetting" w:cs="Arabic Typesetting" w:hint="cs"/>
          <w:sz w:val="36"/>
          <w:szCs w:val="36"/>
          <w:rtl/>
        </w:rPr>
        <w:t>. والمبالغ التي استلمتها المنظمة قبل استحقاقها، فيتعلق أغلبها بالإيرادات المؤجلة لمعاهدة التعاون بشأن البراءات التي وصل رصيدها إلى</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194,9 مليون فرنك سويسري في 31 ديسمبر 2013. وفي ذلك التاريخ يقدر عدد الطلبات المودعة التي ينتظر نشرها ما يقارب 700 145 طلب.</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مستحقات الموظفين</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1AA6F67C" wp14:editId="124AB6DC">
            <wp:extent cx="5940425" cy="2052506"/>
            <wp:effectExtent l="0" t="0" r="3175"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425" cy="2052506"/>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كما هو موضح في الجدول أعلاه، تحتل المستحقات الصحية لما بعد الخدمة (التأمين الصحي لما بعد الخدمة) نصيب الأسد في خصوم مستحقات الموظفين، فهي تمثل 79,4% من إجمالي الخصوم إلى غاية 31 ديسمبر 2013. وقد زادت الخصوم المتعلقة بالتأمين الصحي لما بعد الخدمة بمبلغ 16,2 مليون فرنك سويسري خلال الثنائي</w:t>
      </w:r>
      <w:r w:rsidRPr="00977A67">
        <w:rPr>
          <w:rFonts w:ascii="Arabic Typesetting" w:hAnsi="Arabic Typesetting" w:cs="Arabic Typesetting" w:hint="eastAsia"/>
          <w:sz w:val="36"/>
          <w:szCs w:val="36"/>
          <w:rtl/>
        </w:rPr>
        <w:t>ة</w:t>
      </w:r>
      <w:r w:rsidRPr="00977A67">
        <w:rPr>
          <w:rFonts w:ascii="Arabic Typesetting" w:hAnsi="Arabic Typesetting" w:cs="Arabic Typesetting" w:hint="cs"/>
          <w:sz w:val="36"/>
          <w:szCs w:val="36"/>
          <w:rtl/>
        </w:rPr>
        <w:t xml:space="preserve"> 2012/13 ويعبر الجدول التالي بالتفصيل عن هذا التغيير:</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5755D828" wp14:editId="13526641">
            <wp:extent cx="3994150" cy="1475105"/>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94150" cy="147510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يضطلع </w:t>
      </w:r>
      <w:proofErr w:type="spellStart"/>
      <w:r w:rsidRPr="00977A67">
        <w:rPr>
          <w:rFonts w:ascii="Arabic Typesetting" w:hAnsi="Arabic Typesetting" w:cs="Arabic Typesetting" w:hint="cs"/>
          <w:sz w:val="36"/>
          <w:szCs w:val="36"/>
          <w:rtl/>
        </w:rPr>
        <w:t>أكتوراي</w:t>
      </w:r>
      <w:proofErr w:type="spellEnd"/>
      <w:r w:rsidRPr="00977A67">
        <w:rPr>
          <w:rFonts w:ascii="Arabic Typesetting" w:hAnsi="Arabic Typesetting" w:cs="Arabic Typesetting" w:hint="cs"/>
          <w:sz w:val="36"/>
          <w:szCs w:val="36"/>
          <w:rtl/>
        </w:rPr>
        <w:t xml:space="preserve"> مستقل بحساب الخصوم ويسجل الكلفة المستقبلية لحصة الويبو في أقساط التأمين الصحي لمتقاعدي الويبو الحاليين والمتقاعدين المتوقعين في المستقبل. وتكلفة الخدمة الحالية في الجدول السابق هي الوقع الصافي  للفترة المتأتي من زيادة عمر الموظفين الحاليين ومعاليهم وعدد الأشخاص المتقاعدين والتعيينات الجديدة وحالات ترك الخدمة لأسباب أخرى غير التقاعد. وتمثل تكلفة الفائدة الوقع الناجم عن أن كل موظف عامل بالمنظمة تفصله سنة واحدة عن </w:t>
      </w:r>
      <w:r w:rsidRPr="00977A67">
        <w:rPr>
          <w:rFonts w:ascii="Arabic Typesetting" w:hAnsi="Arabic Typesetting" w:cs="Arabic Typesetting"/>
          <w:sz w:val="36"/>
          <w:szCs w:val="36"/>
          <w:rtl/>
        </w:rPr>
        <w:t>سن استحقاق التأمين الصحي في فترة ما بعد الخدمة عند التقاعد</w:t>
      </w:r>
      <w:r w:rsidRPr="00977A67">
        <w:rPr>
          <w:rFonts w:ascii="Arabic Typesetting" w:hAnsi="Arabic Typesetting" w:cs="Arabic Typesetting" w:hint="cs"/>
          <w:sz w:val="36"/>
          <w:szCs w:val="36"/>
          <w:rtl/>
        </w:rPr>
        <w:t>.</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القروض</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5B29786B" wp14:editId="60FD9289">
            <wp:extent cx="5788025" cy="1198880"/>
            <wp:effectExtent l="0" t="0" r="317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88025" cy="119888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اقترضت المنظمة </w:t>
      </w:r>
      <w:r w:rsidRPr="00977A67">
        <w:rPr>
          <w:rFonts w:ascii="Arabic Typesetting" w:hAnsi="Arabic Typesetting" w:cs="Arabic Typesetting" w:hint="cs"/>
          <w:sz w:val="36"/>
          <w:szCs w:val="36"/>
          <w:rtl/>
        </w:rPr>
        <w:t>مبلغين من المال</w:t>
      </w:r>
      <w:r w:rsidRPr="00977A67">
        <w:rPr>
          <w:rFonts w:ascii="Arabic Typesetting" w:hAnsi="Arabic Typesetting" w:cs="Arabic Typesetting"/>
          <w:sz w:val="36"/>
          <w:szCs w:val="36"/>
          <w:rtl/>
        </w:rPr>
        <w:t xml:space="preserve"> من مؤسسة مباني المنظمات الدولية</w:t>
      </w:r>
      <w:r w:rsidRPr="00977A67">
        <w:rPr>
          <w:rFonts w:ascii="Arabic Typesetting" w:hAnsi="Arabic Typesetting" w:cs="Arabic Typesetting" w:hint="cs"/>
          <w:sz w:val="36"/>
          <w:szCs w:val="36"/>
          <w:rtl/>
        </w:rPr>
        <w:t xml:space="preserve"> (50,8 مليون فرنك سويسري و8,41</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مليون فرنك سويسري اعتمدا في 1977 و1987 على التوالي) بغية</w:t>
      </w:r>
      <w:r w:rsidRPr="00977A67">
        <w:rPr>
          <w:rFonts w:ascii="Arabic Typesetting" w:hAnsi="Arabic Typesetting" w:cs="Arabic Typesetting"/>
          <w:sz w:val="36"/>
          <w:szCs w:val="36"/>
          <w:rtl/>
        </w:rPr>
        <w:t xml:space="preserve"> تشييد مقرها في جنيف بسويسرا. وكانت تلك القروض في الأصل خاضعة لفوائد لكن وافقت الإدارة الفدرالية للعلاقات الخارجية في سنة 1996 على التخلي عن تحصيل أية مدفوعات</w:t>
      </w:r>
      <w:r w:rsidRPr="00977A67">
        <w:rPr>
          <w:rFonts w:ascii="Arabic Typesetting" w:hAnsi="Arabic Typesetting" w:cs="Arabic Typesetting" w:hint="cs"/>
          <w:sz w:val="36"/>
          <w:szCs w:val="36"/>
          <w:rtl/>
        </w:rPr>
        <w:t xml:space="preserve"> إضافية</w:t>
      </w:r>
      <w:r w:rsidRPr="00977A67">
        <w:rPr>
          <w:rFonts w:ascii="Arabic Typesetting" w:hAnsi="Arabic Typesetting" w:cs="Arabic Typesetting"/>
          <w:sz w:val="36"/>
          <w:szCs w:val="36"/>
          <w:rtl/>
        </w:rPr>
        <w:t xml:space="preserve"> من الفوائد فلم تعد القروض تتطلب حاليا سوى تسديد </w:t>
      </w:r>
      <w:r w:rsidRPr="00977A67">
        <w:rPr>
          <w:rFonts w:ascii="Arabic Typesetting" w:hAnsi="Arabic Typesetting" w:cs="Arabic Typesetting" w:hint="cs"/>
          <w:sz w:val="36"/>
          <w:szCs w:val="36"/>
          <w:rtl/>
        </w:rPr>
        <w:t>أصل الدين فقط</w:t>
      </w:r>
      <w:r w:rsidRPr="00977A67">
        <w:rPr>
          <w:rFonts w:ascii="Arabic Typesetting" w:hAnsi="Arabic Typesetting" w:cs="Arabic Typesetting"/>
          <w:sz w:val="36"/>
          <w:szCs w:val="36"/>
          <w:rtl/>
        </w:rPr>
        <w:t>.</w:t>
      </w:r>
    </w:p>
    <w:p w:rsidR="006715D6" w:rsidRPr="00977A67" w:rsidRDefault="006715D6" w:rsidP="006715D6">
      <w:pPr>
        <w:bidi/>
        <w:spacing w:after="240" w:line="360" w:lineRule="exact"/>
        <w:rPr>
          <w:rFonts w:ascii="Arabic Typesetting" w:hAnsi="Arabic Typesetting" w:cs="Arabic Typesetting"/>
          <w:sz w:val="36"/>
          <w:szCs w:val="36"/>
        </w:rPr>
      </w:pPr>
      <w:r w:rsidRPr="00977A67">
        <w:rPr>
          <w:rFonts w:ascii="Arabic Typesetting" w:hAnsi="Arabic Typesetting" w:cs="Arabic Typesetting"/>
          <w:sz w:val="36"/>
          <w:szCs w:val="36"/>
          <w:rtl/>
        </w:rPr>
        <w:t xml:space="preserve">وفي فبراير 2008، أبرمت المنظمة عقدا مع بنك </w:t>
      </w:r>
      <w:proofErr w:type="spellStart"/>
      <w:r w:rsidRPr="00977A67">
        <w:rPr>
          <w:rFonts w:ascii="Arabic Typesetting" w:hAnsi="Arabic Typesetting" w:cs="Arabic Typesetting"/>
          <w:sz w:val="36"/>
          <w:szCs w:val="36"/>
          <w:rtl/>
        </w:rPr>
        <w:t>كنتون</w:t>
      </w:r>
      <w:proofErr w:type="spellEnd"/>
      <w:r w:rsidRPr="00977A67">
        <w:rPr>
          <w:rFonts w:ascii="Arabic Typesetting" w:hAnsi="Arabic Typesetting" w:cs="Arabic Typesetting"/>
          <w:sz w:val="36"/>
          <w:szCs w:val="36"/>
          <w:rtl/>
        </w:rPr>
        <w:t xml:space="preserve"> جنيف وبنك </w:t>
      </w:r>
      <w:proofErr w:type="spellStart"/>
      <w:r w:rsidRPr="00977A67">
        <w:rPr>
          <w:rFonts w:ascii="Arabic Typesetting" w:hAnsi="Arabic Typesetting" w:cs="Arabic Typesetting"/>
          <w:sz w:val="36"/>
          <w:szCs w:val="36"/>
          <w:rtl/>
        </w:rPr>
        <w:t>كنتون</w:t>
      </w:r>
      <w:proofErr w:type="spellEnd"/>
      <w:r w:rsidRPr="00977A67">
        <w:rPr>
          <w:rFonts w:ascii="Arabic Typesetting" w:hAnsi="Arabic Typesetting" w:cs="Arabic Typesetting"/>
          <w:sz w:val="36"/>
          <w:szCs w:val="36"/>
          <w:rtl/>
        </w:rPr>
        <w:t xml:space="preserve"> فو لاقتراض مبلغ</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 xml:space="preserve">114,0 مليون فرنك سويسري زائد </w:t>
      </w:r>
      <w:r w:rsidRPr="00977A67">
        <w:rPr>
          <w:rFonts w:ascii="Arabic Typesetting" w:hAnsi="Arabic Typesetting" w:cs="Arabic Typesetting" w:hint="cs"/>
          <w:sz w:val="36"/>
          <w:szCs w:val="36"/>
          <w:rtl/>
        </w:rPr>
        <w:t>مبلغ إضافي محتمل</w:t>
      </w:r>
      <w:r w:rsidRPr="00977A67">
        <w:rPr>
          <w:rFonts w:ascii="Arabic Typesetting" w:hAnsi="Arabic Typesetting" w:cs="Arabic Typesetting"/>
          <w:sz w:val="36"/>
          <w:szCs w:val="36"/>
          <w:rtl/>
        </w:rPr>
        <w:t xml:space="preserve"> قدره 16,0 مليون فرنك سويسري لتمويل جزء من تكلفة تشييد المبنى الإداري الجديد والمتاح إلى غاية 28 فبراير 2011.</w:t>
      </w:r>
      <w:r w:rsidRPr="00977A67">
        <w:rPr>
          <w:rFonts w:ascii="Arabic Typesetting" w:hAnsi="Arabic Typesetting" w:cs="Arabic Typesetting" w:hint="cs"/>
          <w:sz w:val="36"/>
          <w:szCs w:val="36"/>
          <w:rtl/>
        </w:rPr>
        <w:t xml:space="preserve"> وأما المبلغ الإضافي وقيمته 16 مليون فرنك سويسري فأنفق بتاريخ 27 يناير</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2011.</w:t>
      </w:r>
      <w:r w:rsidRPr="00977A67">
        <w:rPr>
          <w:rFonts w:ascii="Arabic Typesetting" w:hAnsi="Arabic Typesetting" w:cs="Arabic Typesetting"/>
          <w:sz w:val="36"/>
          <w:szCs w:val="36"/>
          <w:rtl/>
        </w:rPr>
        <w:t>وحدد سعر الفائدة بالفرنك السويسري وفقا لمؤشر سواب ليبور</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Pr>
        <w:t>Swap LIBOR</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لمدة 15 سنة زائد هامش يتراوح بين 0,30 بالمائة و0,70 بالمائة حسب مدة القرض ال</w:t>
      </w:r>
      <w:r w:rsidRPr="00977A67">
        <w:rPr>
          <w:rFonts w:ascii="Arabic Typesetting" w:hAnsi="Arabic Typesetting" w:cs="Arabic Typesetting" w:hint="cs"/>
          <w:sz w:val="36"/>
          <w:szCs w:val="36"/>
          <w:rtl/>
        </w:rPr>
        <w:t>ت</w:t>
      </w:r>
      <w:r w:rsidRPr="00977A67">
        <w:rPr>
          <w:rFonts w:ascii="Arabic Typesetting" w:hAnsi="Arabic Typesetting" w:cs="Arabic Typesetting"/>
          <w:sz w:val="36"/>
          <w:szCs w:val="36"/>
          <w:rtl/>
        </w:rPr>
        <w:t>ي حدد</w:t>
      </w:r>
      <w:r w:rsidRPr="00977A67">
        <w:rPr>
          <w:rFonts w:ascii="Arabic Typesetting" w:hAnsi="Arabic Typesetting" w:cs="Arabic Typesetting" w:hint="cs"/>
          <w:sz w:val="36"/>
          <w:szCs w:val="36"/>
          <w:rtl/>
        </w:rPr>
        <w:t>تها</w:t>
      </w:r>
      <w:r w:rsidRPr="00977A67">
        <w:rPr>
          <w:rFonts w:ascii="Arabic Typesetting" w:hAnsi="Arabic Typesetting" w:cs="Arabic Typesetting"/>
          <w:sz w:val="36"/>
          <w:szCs w:val="36"/>
          <w:rtl/>
        </w:rPr>
        <w:t xml:space="preserve"> المنظمة. </w:t>
      </w:r>
      <w:r w:rsidRPr="00977A67">
        <w:rPr>
          <w:rFonts w:ascii="Arabic Typesetting" w:hAnsi="Arabic Typesetting" w:cs="Arabic Typesetting" w:hint="cs"/>
          <w:sz w:val="36"/>
          <w:szCs w:val="36"/>
          <w:rtl/>
        </w:rPr>
        <w:t xml:space="preserve">وبلغت مدفوعات الفوائد في سنة 2013 ما قدره 3,2 ملايين فرنك سويسري. </w:t>
      </w:r>
      <w:r w:rsidRPr="00977A67">
        <w:rPr>
          <w:rFonts w:ascii="Arabic Typesetting" w:hAnsi="Arabic Typesetting" w:cs="Arabic Typesetting"/>
          <w:sz w:val="36"/>
          <w:szCs w:val="36"/>
          <w:rtl/>
        </w:rPr>
        <w:t xml:space="preserve">وبالإضافة إلى تسديد الفوائد، يقتضى العقد تسديد دفعات من </w:t>
      </w:r>
      <w:r w:rsidRPr="00977A67">
        <w:rPr>
          <w:rFonts w:ascii="Arabic Typesetting" w:hAnsi="Arabic Typesetting" w:cs="Arabic Typesetting" w:hint="cs"/>
          <w:sz w:val="36"/>
          <w:szCs w:val="36"/>
          <w:rtl/>
        </w:rPr>
        <w:t>أصل الدين</w:t>
      </w:r>
      <w:r w:rsidRPr="00977A67">
        <w:rPr>
          <w:rFonts w:ascii="Arabic Typesetting" w:hAnsi="Arabic Typesetting" w:cs="Arabic Typesetting"/>
          <w:sz w:val="36"/>
          <w:szCs w:val="36"/>
          <w:rtl/>
        </w:rPr>
        <w:t xml:space="preserve"> سنويا بنسبة 3</w:t>
      </w:r>
      <w:r w:rsidRPr="00977A67">
        <w:rPr>
          <w:rFonts w:ascii="Arabic Typesetting" w:hAnsi="Arabic Typesetting" w:cs="Arabic Typesetting" w:hint="cs"/>
          <w:sz w:val="36"/>
          <w:szCs w:val="36"/>
          <w:rtl/>
        </w:rPr>
        <w:t>,0</w:t>
      </w:r>
      <w:r w:rsidRPr="00977A67">
        <w:rPr>
          <w:rFonts w:ascii="Arabic Typesetting" w:hAnsi="Arabic Typesetting" w:cs="Arabic Typesetting"/>
          <w:sz w:val="36"/>
          <w:szCs w:val="36"/>
          <w:rtl/>
        </w:rPr>
        <w:t xml:space="preserve"> بالمائة من المبلغ الإجمالي المقترض ابتداء من 28 فبراير 2012 بالنسبة إلى القرض الأصلي البالغ</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 xml:space="preserve">114,0 مليون فرنك سويسري زائد القرض </w:t>
      </w:r>
      <w:r w:rsidRPr="00977A67">
        <w:rPr>
          <w:rFonts w:ascii="Arabic Typesetting" w:hAnsi="Arabic Typesetting" w:cs="Arabic Typesetting" w:hint="cs"/>
          <w:sz w:val="36"/>
          <w:szCs w:val="36"/>
          <w:rtl/>
        </w:rPr>
        <w:t>الإضافي</w:t>
      </w:r>
      <w:r w:rsidRPr="00977A67">
        <w:rPr>
          <w:rFonts w:ascii="Arabic Typesetting" w:hAnsi="Arabic Typesetting" w:cs="Arabic Typesetting"/>
          <w:sz w:val="36"/>
          <w:szCs w:val="36"/>
          <w:rtl/>
        </w:rPr>
        <w:t xml:space="preserve"> البالغ 16,0 مليون فرنك سويسري.</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وفي أكتوبر 2010، أقر كل من بنك </w:t>
      </w:r>
      <w:proofErr w:type="spellStart"/>
      <w:r w:rsidRPr="00977A67">
        <w:rPr>
          <w:rFonts w:ascii="Arabic Typesetting" w:hAnsi="Arabic Typesetting" w:cs="Arabic Typesetting"/>
          <w:sz w:val="36"/>
          <w:szCs w:val="36"/>
          <w:rtl/>
        </w:rPr>
        <w:t>كنتون</w:t>
      </w:r>
      <w:proofErr w:type="spellEnd"/>
      <w:r w:rsidRPr="00977A67">
        <w:rPr>
          <w:rFonts w:ascii="Arabic Typesetting" w:hAnsi="Arabic Typesetting" w:cs="Arabic Typesetting"/>
          <w:sz w:val="36"/>
          <w:szCs w:val="36"/>
          <w:rtl/>
        </w:rPr>
        <w:t xml:space="preserve"> جنيف وبنك </w:t>
      </w:r>
      <w:proofErr w:type="spellStart"/>
      <w:r w:rsidRPr="00977A67">
        <w:rPr>
          <w:rFonts w:ascii="Arabic Typesetting" w:hAnsi="Arabic Typesetting" w:cs="Arabic Typesetting"/>
          <w:sz w:val="36"/>
          <w:szCs w:val="36"/>
          <w:rtl/>
        </w:rPr>
        <w:t>كنتون</w:t>
      </w:r>
      <w:proofErr w:type="spellEnd"/>
      <w:r w:rsidRPr="00977A67">
        <w:rPr>
          <w:rFonts w:ascii="Arabic Typesetting" w:hAnsi="Arabic Typesetting" w:cs="Arabic Typesetting"/>
          <w:sz w:val="36"/>
          <w:szCs w:val="36"/>
          <w:rtl/>
        </w:rPr>
        <w:t xml:space="preserve"> فو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التعديلات على اتفاق القرض لإضافة مبلغ</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40,0</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مليون فرنك سويسري يستخدم لتمويل جزء من تكلفة تشييد قاعة المؤتمرات الجديدة و</w:t>
      </w:r>
      <w:r w:rsidRPr="00977A67">
        <w:rPr>
          <w:rFonts w:ascii="Arabic Typesetting" w:hAnsi="Arabic Typesetting" w:cs="Arabic Typesetting" w:hint="cs"/>
          <w:sz w:val="36"/>
          <w:szCs w:val="36"/>
          <w:rtl/>
        </w:rPr>
        <w:t>مت</w:t>
      </w:r>
      <w:r w:rsidRPr="00977A67">
        <w:rPr>
          <w:rFonts w:ascii="Arabic Typesetting" w:hAnsi="Arabic Typesetting" w:cs="Arabic Typesetting"/>
          <w:sz w:val="36"/>
          <w:szCs w:val="36"/>
          <w:rtl/>
        </w:rPr>
        <w:t xml:space="preserve">اح للاستعمال خلال الفترة الممتدة من 31 مارس 2011 إلى 31 مارس 2014. </w:t>
      </w:r>
      <w:r w:rsidRPr="00977A67">
        <w:rPr>
          <w:rFonts w:ascii="Arabic Typesetting" w:hAnsi="Arabic Typesetting" w:cs="Arabic Typesetting" w:hint="cs"/>
          <w:sz w:val="36"/>
          <w:szCs w:val="36"/>
          <w:rtl/>
        </w:rPr>
        <w:t xml:space="preserve">وتم تمديد تلك الفترة إلى 31 مارس 2015 في بداية 2015. </w:t>
      </w:r>
      <w:r w:rsidRPr="00977A67">
        <w:rPr>
          <w:rFonts w:ascii="Arabic Typesetting" w:hAnsi="Arabic Typesetting" w:cs="Arabic Typesetting"/>
          <w:sz w:val="36"/>
          <w:szCs w:val="36"/>
          <w:rtl/>
        </w:rPr>
        <w:t>وحدد سعر الفائدة بالفرنك السويسري وفقا لمؤشر سواب ليبور</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Pr>
        <w:t>Swap LIBOR</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لمدة 15 سنة زائد هامش يتراوح بين 0,30 بالمائة و0,70 بالمائة حسب مدة القرض </w:t>
      </w:r>
      <w:r w:rsidRPr="00977A67">
        <w:rPr>
          <w:rFonts w:ascii="Arabic Typesetting" w:hAnsi="Arabic Typesetting" w:cs="Arabic Typesetting" w:hint="cs"/>
          <w:sz w:val="36"/>
          <w:szCs w:val="36"/>
          <w:rtl/>
        </w:rPr>
        <w:t>التي</w:t>
      </w:r>
      <w:r w:rsidRPr="00977A67">
        <w:rPr>
          <w:rFonts w:ascii="Arabic Typesetting" w:hAnsi="Arabic Typesetting" w:cs="Arabic Typesetting"/>
          <w:sz w:val="36"/>
          <w:szCs w:val="36"/>
          <w:rtl/>
        </w:rPr>
        <w:t xml:space="preserve"> حدد</w:t>
      </w:r>
      <w:r w:rsidRPr="00977A67">
        <w:rPr>
          <w:rFonts w:ascii="Arabic Typesetting" w:hAnsi="Arabic Typesetting" w:cs="Arabic Typesetting" w:hint="cs"/>
          <w:sz w:val="36"/>
          <w:szCs w:val="36"/>
          <w:rtl/>
        </w:rPr>
        <w:t>تها</w:t>
      </w:r>
      <w:r w:rsidRPr="00977A67">
        <w:rPr>
          <w:rFonts w:ascii="Arabic Typesetting" w:hAnsi="Arabic Typesetting" w:cs="Arabic Typesetting"/>
          <w:sz w:val="36"/>
          <w:szCs w:val="36"/>
          <w:rtl/>
        </w:rPr>
        <w:t xml:space="preserve"> المنظمة. </w:t>
      </w:r>
      <w:r w:rsidRPr="00977A67">
        <w:rPr>
          <w:rFonts w:ascii="Arabic Typesetting" w:hAnsi="Arabic Typesetting" w:cs="Arabic Typesetting" w:hint="cs"/>
          <w:sz w:val="36"/>
          <w:szCs w:val="36"/>
          <w:rtl/>
        </w:rPr>
        <w:t>وينص العقد على ت</w:t>
      </w:r>
      <w:r w:rsidRPr="00977A67">
        <w:rPr>
          <w:rFonts w:ascii="Arabic Typesetting" w:hAnsi="Arabic Typesetting" w:cs="Arabic Typesetting"/>
          <w:sz w:val="36"/>
          <w:szCs w:val="36"/>
          <w:rtl/>
        </w:rPr>
        <w:t>سد</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 xml:space="preserve">د </w:t>
      </w:r>
      <w:r w:rsidRPr="00977A67">
        <w:rPr>
          <w:rFonts w:ascii="Arabic Typesetting" w:hAnsi="Arabic Typesetting" w:cs="Arabic Typesetting" w:hint="cs"/>
          <w:sz w:val="36"/>
          <w:szCs w:val="36"/>
          <w:rtl/>
        </w:rPr>
        <w:t>أصل الدين</w:t>
      </w:r>
      <w:r w:rsidRPr="00977A67">
        <w:rPr>
          <w:rFonts w:ascii="Arabic Typesetting" w:hAnsi="Arabic Typesetting" w:cs="Arabic Typesetting"/>
          <w:sz w:val="36"/>
          <w:szCs w:val="36"/>
          <w:rtl/>
        </w:rPr>
        <w:t xml:space="preserve"> بنسبة 3 بالمائة من المبلغ الإجمالي المقترض سنويا ابتداء من 31</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مارس</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2015 بالنسبة إلى القرض البالغ 40,0 مليون فرنك سويسري.</w:t>
      </w:r>
      <w:r w:rsidRPr="00977A67">
        <w:rPr>
          <w:rFonts w:ascii="Arabic Typesetting" w:hAnsi="Arabic Typesetting" w:cs="Arabic Typesetting" w:hint="cs"/>
          <w:sz w:val="36"/>
          <w:szCs w:val="36"/>
          <w:rtl/>
        </w:rPr>
        <w:t xml:space="preserve"> ولم تنفق المنظمة هذا القرض البالغ 40,0 مليون فرنك سويسري إلى غاية 31 ديسمبر 2013. وجدير بالذكر أن المنظمة تدفع عمولة سنوية بنسبة 0,15 بالمائة على قيمة القروض غير المستخدمة خلال فترة توفرها.</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الوضع المالي بحسب كل قطاع</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تقضي المعايير المحاسبية الدولية أن تكشف الويبو عن أصولها وخصومها في كل قطاع بالمنظمة. و</w:t>
      </w:r>
      <w:r w:rsidRPr="00977A67">
        <w:rPr>
          <w:rFonts w:ascii="Arabic Typesetting" w:hAnsi="Arabic Typesetting" w:cs="Arabic Typesetting"/>
          <w:sz w:val="36"/>
          <w:szCs w:val="36"/>
          <w:rtl/>
        </w:rPr>
        <w:t xml:space="preserve">تعرض تقارير القطاعات في شكل يمثل مختلف الاتحادات </w:t>
      </w:r>
      <w:r w:rsidRPr="00977A67">
        <w:rPr>
          <w:rFonts w:ascii="Arabic Typesetting" w:hAnsi="Arabic Typesetting" w:cs="Arabic Typesetting" w:hint="cs"/>
          <w:sz w:val="36"/>
          <w:szCs w:val="36"/>
          <w:rtl/>
        </w:rPr>
        <w:t xml:space="preserve">باعتبارها </w:t>
      </w:r>
      <w:r w:rsidRPr="00977A67">
        <w:rPr>
          <w:rFonts w:ascii="Arabic Typesetting" w:hAnsi="Arabic Typesetting" w:cs="Arabic Typesetting"/>
          <w:sz w:val="36"/>
          <w:szCs w:val="36"/>
          <w:rtl/>
        </w:rPr>
        <w:t>القطاعات التي تتألف منها المنظمة. وخصص جزء منفصل للإسهامات الطوعية وهي أموال تديرها الويبو نيابة عن الجهات المانحة لتنفيذ برامج تتعلق بولاية الويبو.</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وتملك المنظمة ككل الأصول والخصوم، خلاف الأموال الاحتياطية التي تكون صافي الأصول، وهي مسؤولة عنها، وليس لاتحادات أو قطاعات بعينها أصول أو خصوم. وتدعم الأصول والخصوم عامة عددا كبيرا من أنشطة </w:t>
      </w:r>
      <w:r w:rsidRPr="00977A67">
        <w:rPr>
          <w:rFonts w:ascii="Arabic Typesetting" w:hAnsi="Arabic Typesetting" w:cs="Arabic Typesetting" w:hint="cs"/>
          <w:sz w:val="36"/>
          <w:szCs w:val="36"/>
          <w:rtl/>
        </w:rPr>
        <w:t xml:space="preserve">تقديم </w:t>
      </w:r>
      <w:r w:rsidRPr="00977A67">
        <w:rPr>
          <w:rFonts w:ascii="Arabic Typesetting" w:hAnsi="Arabic Typesetting" w:cs="Arabic Typesetting"/>
          <w:sz w:val="36"/>
          <w:szCs w:val="36"/>
          <w:rtl/>
        </w:rPr>
        <w:t>الخدم</w:t>
      </w:r>
      <w:r w:rsidRPr="00977A67">
        <w:rPr>
          <w:rFonts w:ascii="Arabic Typesetting" w:hAnsi="Arabic Typesetting" w:cs="Arabic Typesetting" w:hint="cs"/>
          <w:sz w:val="36"/>
          <w:szCs w:val="36"/>
          <w:rtl/>
        </w:rPr>
        <w:t>ات</w:t>
      </w:r>
      <w:r w:rsidRPr="00977A67">
        <w:rPr>
          <w:rFonts w:ascii="Arabic Typesetting" w:hAnsi="Arabic Typesetting" w:cs="Arabic Typesetting"/>
          <w:sz w:val="36"/>
          <w:szCs w:val="36"/>
          <w:rtl/>
        </w:rPr>
        <w:t xml:space="preserve"> في إطار الاتحادات المتعددة. ويتعلق الاستثناء الوحيد بالملكية الاستثمارية في ميران ال</w:t>
      </w:r>
      <w:r w:rsidRPr="00977A67">
        <w:rPr>
          <w:rFonts w:ascii="Arabic Typesetting" w:hAnsi="Arabic Typesetting" w:cs="Arabic Typesetting" w:hint="cs"/>
          <w:sz w:val="36"/>
          <w:szCs w:val="36"/>
          <w:rtl/>
        </w:rPr>
        <w:t>ت</w:t>
      </w:r>
      <w:r w:rsidRPr="00977A67">
        <w:rPr>
          <w:rFonts w:ascii="Arabic Typesetting" w:hAnsi="Arabic Typesetting" w:cs="Arabic Typesetting"/>
          <w:sz w:val="36"/>
          <w:szCs w:val="36"/>
          <w:rtl/>
        </w:rPr>
        <w:t>ي ترجع ملكيته</w:t>
      </w:r>
      <w:r w:rsidRPr="00977A67">
        <w:rPr>
          <w:rFonts w:ascii="Arabic Typesetting" w:hAnsi="Arabic Typesetting" w:cs="Arabic Typesetting" w:hint="cs"/>
          <w:sz w:val="36"/>
          <w:szCs w:val="36"/>
          <w:rtl/>
        </w:rPr>
        <w:t>ا</w:t>
      </w:r>
      <w:r w:rsidRPr="00977A67">
        <w:rPr>
          <w:rFonts w:ascii="Arabic Typesetting" w:hAnsi="Arabic Typesetting" w:cs="Arabic Typesetting"/>
          <w:sz w:val="36"/>
          <w:szCs w:val="36"/>
          <w:rtl/>
        </w:rPr>
        <w:t xml:space="preserve"> إلى اتحاد مدريد. وبناء على ذلك، فإن الأصول والخصوم الفردية لا تذكر عند الكشف عن المعلومات المتعلقة بالقطاعات أو الاتحادات الفردية ولكنها تبين بشكل منفصل بوصفها أصولا وخصوما غير مخصصة. ولا تبين القطاعات الفردية إلا صافي الأصول</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بما في ذلك صناديق رؤوس الأموال العاملة</w:t>
      </w:r>
      <w:r w:rsidRPr="00977A67">
        <w:rPr>
          <w:rFonts w:ascii="Arabic Typesetting" w:hAnsi="Arabic Typesetting" w:cs="Arabic Typesetting" w:hint="cs"/>
          <w:sz w:val="36"/>
          <w:szCs w:val="36"/>
          <w:rtl/>
        </w:rPr>
        <w:t xml:space="preserve"> والاحتياطي، كما هو موضح في الجدول أدناه:</w:t>
      </w:r>
    </w:p>
    <w:p w:rsidR="006715D6" w:rsidRPr="00977A67" w:rsidRDefault="006715D6" w:rsidP="006715D6">
      <w:pPr>
        <w:bidi/>
        <w:jc w:val="center"/>
        <w:rPr>
          <w:rFonts w:ascii="Arabic Typesetting" w:hAnsi="Arabic Typesetting" w:cs="Arabic Typesetting"/>
          <w:sz w:val="36"/>
          <w:szCs w:val="36"/>
          <w:rtl/>
        </w:rPr>
      </w:pPr>
      <w:r w:rsidRPr="00977A67">
        <w:rPr>
          <w:rFonts w:hint="cs"/>
          <w:noProof/>
          <w:szCs w:val="22"/>
          <w:rtl/>
        </w:rPr>
        <w:drawing>
          <wp:inline distT="0" distB="0" distL="0" distR="0" wp14:anchorId="7AEB80A9" wp14:editId="37B3CD01">
            <wp:extent cx="5940425" cy="1621126"/>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425" cy="1621126"/>
                    </a:xfrm>
                    <a:prstGeom prst="rect">
                      <a:avLst/>
                    </a:prstGeom>
                    <a:noFill/>
                    <a:ln>
                      <a:noFill/>
                    </a:ln>
                  </pic:spPr>
                </pic:pic>
              </a:graphicData>
            </a:graphic>
          </wp:inline>
        </w:drawing>
      </w:r>
    </w:p>
    <w:p w:rsidR="006715D6" w:rsidRPr="00977A67" w:rsidRDefault="006715D6" w:rsidP="006715D6">
      <w:pPr>
        <w:pStyle w:val="Heading2AR"/>
        <w:outlineLvl w:val="1"/>
        <w:rPr>
          <w:b/>
          <w:bCs/>
          <w:rtl/>
        </w:rPr>
      </w:pPr>
      <w:bookmarkStart w:id="106" w:name="_Toc331497768"/>
      <w:bookmarkStart w:id="107" w:name="_Toc381088584"/>
      <w:bookmarkStart w:id="108" w:name="_Toc394905518"/>
      <w:bookmarkStart w:id="109" w:name="_Toc394911950"/>
      <w:bookmarkStart w:id="110" w:name="_Toc394914281"/>
      <w:r w:rsidRPr="00977A67">
        <w:rPr>
          <w:rFonts w:hint="cs"/>
          <w:b/>
          <w:bCs/>
          <w:rtl/>
        </w:rPr>
        <w:t>تحليل بيان الأداء المالي</w:t>
      </w:r>
      <w:bookmarkEnd w:id="106"/>
      <w:bookmarkEnd w:id="107"/>
      <w:bookmarkEnd w:id="108"/>
      <w:bookmarkEnd w:id="109"/>
      <w:bookmarkEnd w:id="110"/>
    </w:p>
    <w:p w:rsidR="006715D6" w:rsidRPr="00977A67" w:rsidRDefault="006715D6" w:rsidP="006715D6">
      <w:pPr>
        <w:keepNext/>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b/>
          <w:bCs/>
          <w:sz w:val="36"/>
          <w:szCs w:val="36"/>
          <w:rtl/>
        </w:rPr>
        <w:t>التوفيق بين النتيجة بناء على الميزانية والنتيجة بناء على المعايير المحاسبية الدولية 2012/13</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تحقق فائض قدره 68,9 مليون فرنك سويسري، بحسب نتيجة ميزانية الثنائية</w:t>
      </w:r>
      <w:r w:rsidRPr="00977A67" w:rsidDel="00A36DD7">
        <w:rPr>
          <w:rFonts w:ascii="Arabic Typesetting" w:hAnsi="Arabic Typesetting" w:cs="Arabic Typesetting" w:hint="cs"/>
          <w:sz w:val="36"/>
          <w:szCs w:val="36"/>
          <w:rtl/>
        </w:rPr>
        <w:t xml:space="preserve"> </w:t>
      </w:r>
      <w:r w:rsidRPr="00977A67">
        <w:rPr>
          <w:rFonts w:ascii="Arabic Typesetting" w:hAnsi="Arabic Typesetting" w:cs="Arabic Typesetting" w:hint="cs"/>
          <w:sz w:val="36"/>
          <w:szCs w:val="36"/>
          <w:rtl/>
        </w:rPr>
        <w:t>2012/13، مقارنة بفائض قدره 34,6</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xml:space="preserve">مليون فرنك سويسري بحسب البيانات المالية المعدة بناء على المعايير المحاسبية الدولية. ويبين الرسم البياني الوارد أدناه الفوارق الرئيسية بين النتيجتين: </w:t>
      </w:r>
    </w:p>
    <w:p w:rsidR="006715D6" w:rsidRPr="00977A67" w:rsidRDefault="006715D6" w:rsidP="006715D6">
      <w:pPr>
        <w:bidi/>
        <w:spacing w:after="240" w:line="360" w:lineRule="exact"/>
        <w:jc w:val="center"/>
        <w:rPr>
          <w:rFonts w:ascii="Arabic Typesetting" w:hAnsi="Arabic Typesetting" w:cs="Arabic Typesetting"/>
          <w:sz w:val="36"/>
          <w:szCs w:val="36"/>
          <w:rtl/>
        </w:rPr>
      </w:pPr>
      <w:r w:rsidRPr="00977A67">
        <w:rPr>
          <w:rFonts w:ascii="Arabic Typesetting" w:hAnsi="Arabic Typesetting" w:cs="Arabic Typesetting" w:hint="cs"/>
          <w:sz w:val="36"/>
          <w:szCs w:val="36"/>
          <w:rtl/>
        </w:rPr>
        <w:t>الانتقال من النتيجة بناء على الميزانية إلى النتيجة بناء على المعايير المحاسبية الدولية 2012/13</w:t>
      </w:r>
    </w:p>
    <w:p w:rsidR="006715D6" w:rsidRPr="00977A67" w:rsidRDefault="006715D6" w:rsidP="006715D6">
      <w:pPr>
        <w:bidi/>
        <w:spacing w:after="240"/>
        <w:jc w:val="center"/>
        <w:rPr>
          <w:rFonts w:ascii="Arabic Typesetting" w:hAnsi="Arabic Typesetting" w:cs="Arabic Typesetting"/>
          <w:sz w:val="36"/>
          <w:szCs w:val="36"/>
          <w:rtl/>
        </w:rPr>
      </w:pPr>
      <w:r w:rsidRPr="00977A67">
        <w:rPr>
          <w:rFonts w:hint="cs"/>
          <w:noProof/>
          <w:szCs w:val="22"/>
          <w:rtl/>
        </w:rPr>
        <w:drawing>
          <wp:inline distT="0" distB="0" distL="0" distR="0" wp14:anchorId="07CC71B7" wp14:editId="49331E7F">
            <wp:extent cx="5940425" cy="3973358"/>
            <wp:effectExtent l="0" t="0" r="3175"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3973358"/>
                    </a:xfrm>
                    <a:prstGeom prst="rect">
                      <a:avLst/>
                    </a:prstGeom>
                    <a:noFill/>
                    <a:ln>
                      <a:noFill/>
                    </a:ln>
                  </pic:spPr>
                </pic:pic>
              </a:graphicData>
            </a:graphic>
          </wp:inline>
        </w:drawing>
      </w:r>
    </w:p>
    <w:p w:rsidR="006715D6" w:rsidRPr="00977A67" w:rsidRDefault="006715D6" w:rsidP="006715D6">
      <w:pPr>
        <w:keepNext/>
        <w:bidi/>
        <w:spacing w:after="240" w:line="360" w:lineRule="exact"/>
        <w:rPr>
          <w:rFonts w:ascii="Arabic Typesetting" w:hAnsi="Arabic Typesetting" w:cs="Arabic Typesetting"/>
          <w:i/>
          <w:iCs/>
          <w:sz w:val="36"/>
          <w:szCs w:val="36"/>
          <w:rtl/>
        </w:rPr>
      </w:pPr>
      <w:r w:rsidRPr="00977A67">
        <w:rPr>
          <w:rFonts w:ascii="Arabic Typesetting" w:hAnsi="Arabic Typesetting" w:cs="Arabic Typesetting"/>
          <w:i/>
          <w:iCs/>
          <w:sz w:val="36"/>
          <w:szCs w:val="36"/>
          <w:rtl/>
        </w:rPr>
        <w:t>الفوارق بحسب الجهة المعنية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تشمل بيانات الويبو المالية المعدّة على أساس المعايير المحاسبية الدولية جميع مجالات المنظمة وأنشطتها. ويمثل إدراج النتائج قبل إجراء تسويات المعايير المحاسبية الدولية على الحسابات الخاصة (فائض قدره 3,7 ملايين فرنك سويسري) والمشروعات الممولة من الأموال الاحتياطية (عجز قدره 45,3 مليون فرنك سويسري) "الفوارق بحسب الجهة المعنية" بين نتيجة الميزانية والفائض بحسب البيانات المالية.</w:t>
      </w:r>
    </w:p>
    <w:p w:rsidR="006715D6" w:rsidRPr="00977A67" w:rsidRDefault="006715D6" w:rsidP="006715D6">
      <w:pPr>
        <w:keepNext/>
        <w:bidi/>
        <w:spacing w:after="240" w:line="360" w:lineRule="exact"/>
        <w:rPr>
          <w:rFonts w:ascii="Arabic Typesetting" w:hAnsi="Arabic Typesetting" w:cs="Arabic Typesetting"/>
          <w:i/>
          <w:iCs/>
          <w:sz w:val="36"/>
          <w:szCs w:val="36"/>
          <w:rtl/>
        </w:rPr>
      </w:pPr>
      <w:r w:rsidRPr="00977A67">
        <w:rPr>
          <w:rFonts w:ascii="Arabic Typesetting" w:hAnsi="Arabic Typesetting" w:cs="Arabic Typesetting" w:hint="cs"/>
          <w:i/>
          <w:iCs/>
          <w:sz w:val="36"/>
          <w:szCs w:val="36"/>
          <w:rtl/>
        </w:rPr>
        <w:t>الفوارق على أساس محاسبي</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يؤدي تطبيق المحاسبة على أساس الاستحقاق الكامل وفقا للمعايير المحاسبية الدولية للقطاع العام إلى عدد من الفوارق المحاسبية التي تؤثر في نتيجة السنة. والأثر الصافي لتلك التسويات في الثنائية كما وردت في الجدول أعلاه بالنسبة إلى الميزانية هو تسجيل عجز قدره 7,3 مليون فرنك سويسري.</w:t>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hint="cs"/>
          <w:sz w:val="36"/>
          <w:szCs w:val="36"/>
          <w:rtl/>
        </w:rPr>
        <w:t>ووفقا</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ل</w:t>
      </w:r>
      <w:r w:rsidRPr="00977A67">
        <w:rPr>
          <w:rFonts w:ascii="Arabic Typesetting" w:hAnsi="Arabic Typesetting" w:cs="Arabic Typesetting"/>
          <w:sz w:val="36"/>
          <w:szCs w:val="36"/>
          <w:rtl/>
        </w:rPr>
        <w:t xml:space="preserve">لمعايير المحاسبية الدولية، </w:t>
      </w:r>
      <w:r w:rsidRPr="00977A67">
        <w:rPr>
          <w:rFonts w:ascii="Arabic Typesetting" w:hAnsi="Arabic Typesetting" w:cs="Arabic Typesetting" w:hint="cs"/>
          <w:sz w:val="36"/>
          <w:szCs w:val="36"/>
          <w:rtl/>
        </w:rPr>
        <w:t>تقيّد</w:t>
      </w:r>
      <w:r w:rsidRPr="00977A67">
        <w:rPr>
          <w:rFonts w:ascii="Arabic Typesetting" w:hAnsi="Arabic Typesetting" w:cs="Arabic Typesetting"/>
          <w:sz w:val="36"/>
          <w:szCs w:val="36"/>
          <w:rtl/>
        </w:rPr>
        <w:t xml:space="preserve"> إيرادات الإسهامات الطوعية تحت الحسابات الخاصة </w:t>
      </w:r>
      <w:r w:rsidRPr="00977A67">
        <w:rPr>
          <w:rFonts w:ascii="Arabic Typesetting" w:hAnsi="Arabic Typesetting" w:cs="Arabic Typesetting" w:hint="cs"/>
          <w:sz w:val="36"/>
          <w:szCs w:val="36"/>
          <w:rtl/>
        </w:rPr>
        <w:t xml:space="preserve">عند </w:t>
      </w:r>
      <w:r w:rsidRPr="00977A67">
        <w:rPr>
          <w:rFonts w:ascii="Arabic Typesetting" w:hAnsi="Arabic Typesetting" w:cs="Arabic Typesetting"/>
          <w:sz w:val="36"/>
          <w:szCs w:val="36"/>
          <w:rtl/>
        </w:rPr>
        <w:t>توفر</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شروط الاتفاقات مع المانحين </w:t>
      </w:r>
      <w:r w:rsidRPr="00977A67">
        <w:rPr>
          <w:rFonts w:ascii="Arabic Typesetting" w:hAnsi="Arabic Typesetting" w:cs="Arabic Typesetting" w:hint="cs"/>
          <w:sz w:val="36"/>
          <w:szCs w:val="36"/>
          <w:rtl/>
        </w:rPr>
        <w:t>وتحمل ال</w:t>
      </w:r>
      <w:r w:rsidRPr="00977A67">
        <w:rPr>
          <w:rFonts w:ascii="Arabic Typesetting" w:hAnsi="Arabic Typesetting" w:cs="Arabic Typesetting"/>
          <w:sz w:val="36"/>
          <w:szCs w:val="36"/>
          <w:rtl/>
        </w:rPr>
        <w:t xml:space="preserve">مصاريف تمشيا مع برنامج العمل. </w:t>
      </w:r>
      <w:r w:rsidRPr="00977A67">
        <w:rPr>
          <w:rFonts w:ascii="Arabic Typesetting" w:hAnsi="Arabic Typesetting" w:cs="Arabic Typesetting" w:hint="cs"/>
          <w:sz w:val="36"/>
          <w:szCs w:val="36"/>
          <w:rtl/>
        </w:rPr>
        <w:t>وعندما تتجاوز الإسهامات الطوعية</w:t>
      </w:r>
      <w:r w:rsidRPr="00977A67">
        <w:rPr>
          <w:rFonts w:ascii="Arabic Typesetting" w:hAnsi="Arabic Typesetting" w:cs="Arabic Typesetting"/>
          <w:sz w:val="36"/>
          <w:szCs w:val="36"/>
          <w:rtl/>
        </w:rPr>
        <w:t xml:space="preserve"> الواردة تكلفة العمل المنجز، تعامل </w:t>
      </w:r>
      <w:r w:rsidRPr="00977A67">
        <w:rPr>
          <w:rFonts w:ascii="Arabic Typesetting" w:hAnsi="Arabic Typesetting" w:cs="Arabic Typesetting" w:hint="cs"/>
          <w:sz w:val="36"/>
          <w:szCs w:val="36"/>
          <w:rtl/>
        </w:rPr>
        <w:t>الإسهامات الطوعية</w:t>
      </w:r>
      <w:r w:rsidRPr="00977A67">
        <w:rPr>
          <w:rFonts w:ascii="Arabic Typesetting" w:hAnsi="Arabic Typesetting" w:cs="Arabic Typesetting"/>
          <w:sz w:val="36"/>
          <w:szCs w:val="36"/>
          <w:rtl/>
        </w:rPr>
        <w:t xml:space="preserve"> كخصوم </w:t>
      </w:r>
      <w:r w:rsidRPr="00977A67">
        <w:rPr>
          <w:rFonts w:ascii="Arabic Typesetting" w:hAnsi="Arabic Typesetting" w:cs="Arabic Typesetting" w:hint="cs"/>
          <w:sz w:val="36"/>
          <w:szCs w:val="36"/>
          <w:rtl/>
        </w:rPr>
        <w:t>ل</w:t>
      </w:r>
      <w:r w:rsidRPr="00977A67">
        <w:rPr>
          <w:rFonts w:ascii="Arabic Typesetting" w:hAnsi="Arabic Typesetting" w:cs="Arabic Typesetting"/>
          <w:sz w:val="36"/>
          <w:szCs w:val="36"/>
          <w:rtl/>
        </w:rPr>
        <w:t xml:space="preserve">لإيرادات المؤجلة، مما </w:t>
      </w:r>
      <w:r w:rsidRPr="00977A67">
        <w:rPr>
          <w:rFonts w:ascii="Arabic Typesetting" w:hAnsi="Arabic Typesetting" w:cs="Arabic Typesetting" w:hint="cs"/>
          <w:sz w:val="36"/>
          <w:szCs w:val="36"/>
          <w:rtl/>
        </w:rPr>
        <w:t xml:space="preserve">يؤدي </w:t>
      </w:r>
      <w:r w:rsidRPr="00977A67">
        <w:rPr>
          <w:rFonts w:ascii="Arabic Typesetting" w:hAnsi="Arabic Typesetting" w:cs="Arabic Typesetting"/>
          <w:sz w:val="36"/>
          <w:szCs w:val="36"/>
          <w:rtl/>
        </w:rPr>
        <w:t>إلى انخفاض في نت</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ج</w:t>
      </w:r>
      <w:r w:rsidRPr="00977A67">
        <w:rPr>
          <w:rFonts w:ascii="Arabic Typesetting" w:hAnsi="Arabic Typesetting" w:cs="Arabic Typesetting" w:hint="cs"/>
          <w:sz w:val="36"/>
          <w:szCs w:val="36"/>
          <w:rtl/>
        </w:rPr>
        <w:t>ة</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الثنائية</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يبلغ </w:t>
      </w:r>
      <w:r w:rsidRPr="00977A67">
        <w:rPr>
          <w:rFonts w:ascii="Arabic Typesetting" w:hAnsi="Arabic Typesetting" w:cs="Arabic Typesetting"/>
          <w:sz w:val="36"/>
          <w:szCs w:val="36"/>
          <w:rtl/>
        </w:rPr>
        <w:t>3</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7 مليون فرنك سويسري.</w:t>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sz w:val="36"/>
          <w:szCs w:val="36"/>
          <w:rtl/>
        </w:rPr>
        <w:t>وعند تطبيق المعايير المحاسبية الدولية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تؤجل </w:t>
      </w:r>
      <w:r w:rsidRPr="00977A67">
        <w:rPr>
          <w:rFonts w:ascii="Arabic Typesetting" w:hAnsi="Arabic Typesetting" w:cs="Arabic Typesetting"/>
          <w:sz w:val="36"/>
          <w:szCs w:val="36"/>
          <w:rtl/>
        </w:rPr>
        <w:t xml:space="preserve">إيرادات الرسوم إلى حين تحصيلها، وذلك في حالة الطلبات الدولية عند النشر النهائي للطلب. </w:t>
      </w:r>
      <w:r w:rsidRPr="00977A67">
        <w:rPr>
          <w:rFonts w:ascii="Arabic Typesetting" w:hAnsi="Arabic Typesetting" w:cs="Arabic Typesetting" w:hint="cs"/>
          <w:sz w:val="36"/>
          <w:szCs w:val="36"/>
          <w:rtl/>
        </w:rPr>
        <w:t xml:space="preserve">وبالنسبة للطلبات المودعة بناء على معاهدة البراءات، تُقيد </w:t>
      </w:r>
      <w:r w:rsidRPr="00977A67">
        <w:rPr>
          <w:rFonts w:ascii="Arabic Typesetting" w:hAnsi="Arabic Typesetting" w:cs="Arabic Typesetting"/>
          <w:sz w:val="36"/>
          <w:szCs w:val="36"/>
          <w:rtl/>
        </w:rPr>
        <w:t>الحسابات المدينة</w:t>
      </w:r>
      <w:r w:rsidRPr="00977A67">
        <w:rPr>
          <w:rFonts w:ascii="Arabic Typesetting" w:hAnsi="Arabic Typesetting" w:cs="Arabic Typesetting" w:hint="cs"/>
          <w:sz w:val="36"/>
          <w:szCs w:val="36"/>
          <w:rtl/>
        </w:rPr>
        <w:t xml:space="preserve"> أيضا عندما يودع طلب ولم تحصل المنظمة أي رسم. </w:t>
      </w:r>
      <w:r w:rsidRPr="00977A67">
        <w:rPr>
          <w:rFonts w:ascii="Arabic Typesetting" w:hAnsi="Arabic Typesetting" w:cs="Arabic Typesetting"/>
          <w:sz w:val="36"/>
          <w:szCs w:val="36"/>
          <w:rtl/>
        </w:rPr>
        <w:t>وزاد رصيد إيرادات الرسوم المؤجلة (معاهدة البراءات والعلامات التجارية وال</w:t>
      </w:r>
      <w:r w:rsidRPr="00977A67">
        <w:rPr>
          <w:rFonts w:ascii="Arabic Typesetting" w:hAnsi="Arabic Typesetting" w:cs="Arabic Typesetting" w:hint="cs"/>
          <w:sz w:val="36"/>
          <w:szCs w:val="36"/>
          <w:rtl/>
        </w:rPr>
        <w:t>تصاميم</w:t>
      </w:r>
      <w:r w:rsidRPr="00977A67">
        <w:rPr>
          <w:rFonts w:ascii="Arabic Typesetting" w:hAnsi="Arabic Typesetting" w:cs="Arabic Typesetting"/>
          <w:sz w:val="36"/>
          <w:szCs w:val="36"/>
          <w:rtl/>
        </w:rPr>
        <w:t xml:space="preserve"> الصناعية) من </w:t>
      </w:r>
      <w:r w:rsidRPr="00977A67">
        <w:rPr>
          <w:rFonts w:ascii="Arabic Typesetting" w:hAnsi="Arabic Typesetting" w:cs="Arabic Typesetting" w:hint="cs"/>
          <w:sz w:val="36"/>
          <w:szCs w:val="36"/>
          <w:rtl/>
        </w:rPr>
        <w:t>185</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8</w:t>
      </w:r>
      <w:r w:rsidRPr="00977A67">
        <w:rPr>
          <w:rFonts w:ascii="Arabic Typesetting" w:hAnsi="Arabic Typesetting" w:cs="Arabic Typesetting"/>
          <w:sz w:val="36"/>
          <w:szCs w:val="36"/>
          <w:rtl/>
        </w:rPr>
        <w:t xml:space="preserve"> مليون فرنك سويسري في </w:t>
      </w:r>
      <w:r w:rsidRPr="00977A67">
        <w:rPr>
          <w:rFonts w:ascii="Arabic Typesetting" w:hAnsi="Arabic Typesetting" w:cs="Arabic Typesetting" w:hint="cs"/>
          <w:sz w:val="36"/>
          <w:szCs w:val="36"/>
          <w:rtl/>
        </w:rPr>
        <w:t>31</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ديسمبر 2011</w:t>
      </w:r>
      <w:r w:rsidRPr="00977A67">
        <w:rPr>
          <w:rFonts w:ascii="Arabic Typesetting" w:hAnsi="Arabic Typesetting" w:cs="Arabic Typesetting"/>
          <w:sz w:val="36"/>
          <w:szCs w:val="36"/>
          <w:rtl/>
        </w:rPr>
        <w:t xml:space="preserve"> إلى</w:t>
      </w:r>
      <w:r w:rsidRPr="00977A67">
        <w:rPr>
          <w:rFonts w:ascii="Arabic Typesetting" w:hAnsi="Arabic Typesetting" w:cs="Arabic Typesetting" w:hint="cs"/>
          <w:sz w:val="36"/>
          <w:szCs w:val="36"/>
          <w:rtl/>
        </w:rPr>
        <w:t> 198</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5</w:t>
      </w:r>
      <w:r w:rsidRPr="00977A67">
        <w:rPr>
          <w:rFonts w:ascii="Arabic Typesetting" w:hAnsi="Arabic Typesetting" w:cs="Arabic Typesetting"/>
          <w:sz w:val="36"/>
          <w:szCs w:val="36"/>
          <w:rtl/>
        </w:rPr>
        <w:t xml:space="preserve"> مليون فرنك سويسري في 31 ديسمبر </w:t>
      </w:r>
      <w:r w:rsidRPr="00977A67">
        <w:rPr>
          <w:rFonts w:ascii="Arabic Typesetting" w:hAnsi="Arabic Typesetting" w:cs="Arabic Typesetting" w:hint="cs"/>
          <w:sz w:val="36"/>
          <w:szCs w:val="36"/>
          <w:rtl/>
        </w:rPr>
        <w:t>2013</w:t>
      </w:r>
      <w:r w:rsidRPr="00977A67">
        <w:rPr>
          <w:rFonts w:ascii="Arabic Typesetting" w:hAnsi="Arabic Typesetting" w:cs="Arabic Typesetting"/>
          <w:sz w:val="36"/>
          <w:szCs w:val="36"/>
          <w:rtl/>
        </w:rPr>
        <w:t xml:space="preserve">. وفي الفترة ذاتها زادت مبالغ الرسوم المستحقة بناء على معاهدة البراءات من </w:t>
      </w:r>
      <w:r w:rsidRPr="00977A67">
        <w:rPr>
          <w:rFonts w:ascii="Arabic Typesetting" w:hAnsi="Arabic Typesetting" w:cs="Arabic Typesetting" w:hint="cs"/>
          <w:sz w:val="36"/>
          <w:szCs w:val="36"/>
          <w:rtl/>
        </w:rPr>
        <w:t>56</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3</w:t>
      </w:r>
      <w:r w:rsidRPr="00977A67">
        <w:rPr>
          <w:rFonts w:ascii="Arabic Typesetting" w:hAnsi="Arabic Typesetting" w:cs="Arabic Typesetting"/>
          <w:sz w:val="36"/>
          <w:szCs w:val="36"/>
          <w:rtl/>
        </w:rPr>
        <w:t xml:space="preserve"> مليون فرنك سويسري إلى </w:t>
      </w:r>
      <w:r w:rsidRPr="00977A67">
        <w:rPr>
          <w:rFonts w:ascii="Arabic Typesetting" w:hAnsi="Arabic Typesetting" w:cs="Arabic Typesetting" w:hint="cs"/>
          <w:sz w:val="36"/>
          <w:szCs w:val="36"/>
          <w:rtl/>
        </w:rPr>
        <w:t>62</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4</w:t>
      </w:r>
      <w:r w:rsidRPr="00977A67">
        <w:rPr>
          <w:rFonts w:ascii="Arabic Typesetting" w:hAnsi="Arabic Typesetting" w:cs="Arabic Typesetting"/>
          <w:sz w:val="36"/>
          <w:szCs w:val="36"/>
          <w:rtl/>
        </w:rPr>
        <w:t xml:space="preserve"> مليون فرنك سويسري. وكان التأثير الصافي لهذه الزيادة هو انخفاض الإيرادات بمبلغ </w:t>
      </w:r>
      <w:r w:rsidRPr="00977A67">
        <w:rPr>
          <w:rFonts w:ascii="Arabic Typesetting" w:hAnsi="Arabic Typesetting" w:cs="Arabic Typesetting" w:hint="cs"/>
          <w:sz w:val="36"/>
          <w:szCs w:val="36"/>
          <w:rtl/>
        </w:rPr>
        <w:t>6</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6</w:t>
      </w:r>
      <w:r w:rsidRPr="00977A67">
        <w:rPr>
          <w:rFonts w:ascii="Arabic Typesetting" w:hAnsi="Arabic Typesetting" w:cs="Arabic Typesetting"/>
          <w:sz w:val="36"/>
          <w:szCs w:val="36"/>
          <w:rtl/>
        </w:rPr>
        <w:t xml:space="preserve"> مليون فرنك سويسري.</w:t>
      </w:r>
      <w:r w:rsidRPr="00977A67">
        <w:rPr>
          <w:rFonts w:ascii="Arabic Typesetting" w:hAnsi="Arabic Typesetting" w:cs="Arabic Typesetting" w:hint="cs"/>
          <w:sz w:val="36"/>
          <w:szCs w:val="36"/>
          <w:rtl/>
        </w:rPr>
        <w:t xml:space="preserve"> وأثناء الثنائية 2012/13، قُيدت أيضا الإيرادات المؤجلة بمبلغ 1,8 مليون فرنك سويسري فيما يتعلق بتسديد قرض مؤسسة </w:t>
      </w:r>
      <w:r w:rsidRPr="00977A67">
        <w:rPr>
          <w:rFonts w:ascii="Arabic Typesetting" w:hAnsi="Arabic Typesetting" w:cs="Arabic Typesetting"/>
          <w:sz w:val="36"/>
          <w:szCs w:val="36"/>
        </w:rPr>
        <w:t>FIPOI</w:t>
      </w:r>
      <w:r w:rsidRPr="00977A67">
        <w:rPr>
          <w:rFonts w:ascii="Arabic Typesetting" w:hAnsi="Arabic Typesetting" w:cs="Arabic Typesetting" w:hint="cs"/>
          <w:sz w:val="36"/>
          <w:szCs w:val="36"/>
          <w:rtl/>
        </w:rPr>
        <w:t xml:space="preserve"> لتمويل بناء المحيط الأمني. وباختصار، تتألف تسويات الإيرادات المؤجلة البالغ قدرها 8,4 ملايين فرنك سويسري كما يلي:</w:t>
      </w:r>
    </w:p>
    <w:p w:rsidR="006715D6" w:rsidRPr="00977A67" w:rsidRDefault="006715D6" w:rsidP="006715D6">
      <w:pPr>
        <w:bidi/>
        <w:spacing w:after="240"/>
        <w:ind w:left="720"/>
        <w:jc w:val="center"/>
        <w:rPr>
          <w:rFonts w:ascii="Arabic Typesetting" w:hAnsi="Arabic Typesetting" w:cs="Arabic Typesetting"/>
          <w:sz w:val="36"/>
          <w:szCs w:val="36"/>
          <w:rtl/>
        </w:rPr>
      </w:pPr>
      <w:r w:rsidRPr="00977A67">
        <w:rPr>
          <w:rFonts w:hint="cs"/>
          <w:noProof/>
          <w:szCs w:val="22"/>
          <w:rtl/>
        </w:rPr>
        <w:drawing>
          <wp:inline distT="0" distB="0" distL="0" distR="0" wp14:anchorId="0C103781" wp14:editId="652E0EE0">
            <wp:extent cx="2726055" cy="98361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26055" cy="983615"/>
                    </a:xfrm>
                    <a:prstGeom prst="rect">
                      <a:avLst/>
                    </a:prstGeom>
                    <a:noFill/>
                    <a:ln>
                      <a:noFill/>
                    </a:ln>
                  </pic:spPr>
                </pic:pic>
              </a:graphicData>
            </a:graphic>
          </wp:inline>
        </w:drawing>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hint="cs"/>
          <w:sz w:val="36"/>
          <w:szCs w:val="36"/>
          <w:rtl/>
        </w:rPr>
        <w:t xml:space="preserve">وتشمل نتيجة الثنائية بناء على المعايير المحاسبية الدولية مصروفات اهتلاك المباني والمعدات ومصروفات استهلاك الأصول غير الملموسة نظرا لأن تكاليف هذه الأصول موزعة على عمرها الإنتاجي. وبلغ مجموع تكاليف </w:t>
      </w:r>
      <w:proofErr w:type="spellStart"/>
      <w:r w:rsidRPr="00977A67">
        <w:rPr>
          <w:rFonts w:ascii="Arabic Typesetting" w:hAnsi="Arabic Typesetting" w:cs="Arabic Typesetting" w:hint="cs"/>
          <w:sz w:val="36"/>
          <w:szCs w:val="36"/>
          <w:rtl/>
        </w:rPr>
        <w:t>الاهتلاك</w:t>
      </w:r>
      <w:proofErr w:type="spellEnd"/>
      <w:r w:rsidRPr="00977A67">
        <w:rPr>
          <w:rFonts w:ascii="Arabic Typesetting" w:hAnsi="Arabic Typesetting" w:cs="Arabic Typesetting" w:hint="cs"/>
          <w:sz w:val="36"/>
          <w:szCs w:val="36"/>
          <w:rtl/>
        </w:rPr>
        <w:t xml:space="preserve"> والاستهلاك للثنائية 16,0 مليون فرنك سويسري.</w:t>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hint="cs"/>
          <w:sz w:val="36"/>
          <w:szCs w:val="36"/>
          <w:rtl/>
        </w:rPr>
        <w:t>وتستلزم المعايير المحاسبية الدولية قيد مستحقات الموظفين التي يحصل عليها الموظفون ولكنها لم تسدد بعد باعتبارها خصوما على المنظمة. وتجعل تسويات</w:t>
      </w:r>
      <w:r w:rsidRPr="00977A67">
        <w:rPr>
          <w:rFonts w:ascii="Arabic Typesetting" w:hAnsi="Arabic Typesetting" w:cs="Arabic Typesetting"/>
          <w:sz w:val="36"/>
          <w:szCs w:val="36"/>
          <w:rtl/>
        </w:rPr>
        <w:t xml:space="preserve"> المعايير المحاسبية الدولية </w:t>
      </w:r>
      <w:r w:rsidRPr="00977A67">
        <w:rPr>
          <w:rFonts w:ascii="Arabic Typesetting" w:hAnsi="Arabic Typesetting" w:cs="Arabic Typesetting" w:hint="cs"/>
          <w:sz w:val="36"/>
          <w:szCs w:val="36"/>
          <w:rtl/>
        </w:rPr>
        <w:t>إ</w:t>
      </w:r>
      <w:r w:rsidRPr="00977A67">
        <w:rPr>
          <w:rFonts w:ascii="Arabic Typesetting" w:hAnsi="Arabic Typesetting" w:cs="Arabic Typesetting"/>
          <w:sz w:val="36"/>
          <w:szCs w:val="36"/>
          <w:rtl/>
        </w:rPr>
        <w:t xml:space="preserve">جمالي </w:t>
      </w:r>
      <w:r w:rsidRPr="00977A67">
        <w:rPr>
          <w:rFonts w:ascii="Arabic Typesetting" w:hAnsi="Arabic Typesetting" w:cs="Arabic Typesetting" w:hint="cs"/>
          <w:sz w:val="36"/>
          <w:szCs w:val="36"/>
          <w:rtl/>
        </w:rPr>
        <w:t>الخصوم</w:t>
      </w:r>
      <w:r w:rsidRPr="00977A67">
        <w:rPr>
          <w:rFonts w:ascii="Arabic Typesetting" w:hAnsi="Arabic Typesetting" w:cs="Arabic Typesetting"/>
          <w:sz w:val="36"/>
          <w:szCs w:val="36"/>
          <w:rtl/>
        </w:rPr>
        <w:t xml:space="preserve"> ال</w:t>
      </w:r>
      <w:r w:rsidRPr="00977A67">
        <w:rPr>
          <w:rFonts w:ascii="Arabic Typesetting" w:hAnsi="Arabic Typesetting" w:cs="Arabic Typesetting" w:hint="cs"/>
          <w:sz w:val="36"/>
          <w:szCs w:val="36"/>
          <w:rtl/>
        </w:rPr>
        <w:t>مقيدة</w:t>
      </w:r>
      <w:r w:rsidRPr="00977A67">
        <w:rPr>
          <w:rFonts w:ascii="Arabic Typesetting" w:hAnsi="Arabic Typesetting" w:cs="Arabic Typesetting"/>
          <w:sz w:val="36"/>
          <w:szCs w:val="36"/>
          <w:rtl/>
        </w:rPr>
        <w:t xml:space="preserve"> في البيانات المالية </w:t>
      </w:r>
      <w:r w:rsidRPr="00977A67">
        <w:rPr>
          <w:rFonts w:ascii="Arabic Typesetting" w:hAnsi="Arabic Typesetting" w:cs="Arabic Typesetting" w:hint="cs"/>
          <w:sz w:val="36"/>
          <w:szCs w:val="36"/>
          <w:rtl/>
        </w:rPr>
        <w:t>موائمة</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لطريقة حساب</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تلك الخصوم بما يتفق وا</w:t>
      </w:r>
      <w:r w:rsidRPr="00977A67">
        <w:rPr>
          <w:rFonts w:ascii="Arabic Typesetting" w:hAnsi="Arabic Typesetting" w:cs="Arabic Typesetting"/>
          <w:sz w:val="36"/>
          <w:szCs w:val="36"/>
          <w:rtl/>
        </w:rPr>
        <w:t xml:space="preserve">لمعايير </w:t>
      </w:r>
      <w:r w:rsidRPr="00977A67">
        <w:rPr>
          <w:rFonts w:ascii="Arabic Typesetting" w:hAnsi="Arabic Typesetting" w:cs="Arabic Typesetting" w:hint="cs"/>
          <w:sz w:val="36"/>
          <w:szCs w:val="36"/>
          <w:rtl/>
        </w:rPr>
        <w:t>المحاسبية الدولية،</w:t>
      </w:r>
      <w:r w:rsidRPr="00977A67">
        <w:rPr>
          <w:rFonts w:ascii="Arabic Typesetting" w:hAnsi="Arabic Typesetting" w:cs="Arabic Typesetting"/>
          <w:sz w:val="36"/>
          <w:szCs w:val="36"/>
          <w:rtl/>
        </w:rPr>
        <w:t xml:space="preserve"> بما فيها تلك التي أعد</w:t>
      </w:r>
      <w:r w:rsidRPr="00977A67">
        <w:rPr>
          <w:rFonts w:ascii="Arabic Typesetting" w:hAnsi="Arabic Typesetting" w:cs="Arabic Typesetting" w:hint="cs"/>
          <w:sz w:val="36"/>
          <w:szCs w:val="36"/>
          <w:rtl/>
        </w:rPr>
        <w:t xml:space="preserve">ها </w:t>
      </w:r>
      <w:proofErr w:type="spellStart"/>
      <w:r w:rsidRPr="00977A67">
        <w:rPr>
          <w:rFonts w:ascii="Arabic Typesetting" w:hAnsi="Arabic Typesetting" w:cs="Arabic Typesetting"/>
          <w:sz w:val="36"/>
          <w:szCs w:val="36"/>
          <w:rtl/>
        </w:rPr>
        <w:t>ال</w:t>
      </w:r>
      <w:r w:rsidRPr="00977A67">
        <w:rPr>
          <w:rFonts w:ascii="Arabic Typesetting" w:hAnsi="Arabic Typesetting" w:cs="Arabic Typesetting" w:hint="cs"/>
          <w:sz w:val="36"/>
          <w:szCs w:val="36"/>
          <w:rtl/>
        </w:rPr>
        <w:t>أ</w:t>
      </w:r>
      <w:r w:rsidRPr="00977A67">
        <w:rPr>
          <w:rFonts w:ascii="Arabic Typesetting" w:hAnsi="Arabic Typesetting" w:cs="Arabic Typesetting"/>
          <w:sz w:val="36"/>
          <w:szCs w:val="36"/>
          <w:rtl/>
        </w:rPr>
        <w:t>كتواري</w:t>
      </w:r>
      <w:r w:rsidRPr="00977A67">
        <w:rPr>
          <w:rFonts w:ascii="Arabic Typesetting" w:hAnsi="Arabic Typesetting" w:cs="Arabic Typesetting" w:hint="cs"/>
          <w:sz w:val="36"/>
          <w:szCs w:val="36"/>
          <w:rtl/>
        </w:rPr>
        <w:t>و</w:t>
      </w:r>
      <w:r w:rsidRPr="00977A67">
        <w:rPr>
          <w:rFonts w:ascii="Arabic Typesetting" w:hAnsi="Arabic Typesetting" w:cs="Arabic Typesetting"/>
          <w:sz w:val="36"/>
          <w:szCs w:val="36"/>
          <w:rtl/>
        </w:rPr>
        <w:t>ن</w:t>
      </w:r>
      <w:proofErr w:type="spellEnd"/>
      <w:r w:rsidRPr="00977A67">
        <w:rPr>
          <w:rFonts w:ascii="Arabic Typesetting" w:hAnsi="Arabic Typesetting" w:cs="Arabic Typesetting"/>
          <w:sz w:val="36"/>
          <w:szCs w:val="36"/>
          <w:rtl/>
        </w:rPr>
        <w:t xml:space="preserve"> الخارجي</w:t>
      </w:r>
      <w:r w:rsidRPr="00977A67">
        <w:rPr>
          <w:rFonts w:ascii="Arabic Typesetting" w:hAnsi="Arabic Typesetting" w:cs="Arabic Typesetting" w:hint="cs"/>
          <w:sz w:val="36"/>
          <w:szCs w:val="36"/>
          <w:rtl/>
        </w:rPr>
        <w:t>ون. و</w:t>
      </w:r>
      <w:r w:rsidRPr="00977A67">
        <w:rPr>
          <w:rFonts w:ascii="Arabic Typesetting" w:hAnsi="Arabic Typesetting" w:cs="Arabic Typesetting"/>
          <w:sz w:val="36"/>
          <w:szCs w:val="36"/>
          <w:rtl/>
        </w:rPr>
        <w:t xml:space="preserve">في </w:t>
      </w:r>
      <w:r w:rsidRPr="00977A67">
        <w:rPr>
          <w:rFonts w:ascii="Arabic Typesetting" w:hAnsi="Arabic Typesetting" w:cs="Arabic Typesetting" w:hint="cs"/>
          <w:sz w:val="36"/>
          <w:szCs w:val="36"/>
          <w:rtl/>
        </w:rPr>
        <w:t xml:space="preserve">الثنائية </w:t>
      </w:r>
      <w:r w:rsidRPr="00977A67">
        <w:rPr>
          <w:rFonts w:ascii="Arabic Typesetting" w:hAnsi="Arabic Typesetting" w:cs="Arabic Typesetting"/>
          <w:sz w:val="36"/>
          <w:szCs w:val="36"/>
          <w:rtl/>
        </w:rPr>
        <w:t xml:space="preserve">2012/13، زادت </w:t>
      </w:r>
      <w:r w:rsidRPr="00977A67">
        <w:rPr>
          <w:rFonts w:ascii="Arabic Typesetting" w:hAnsi="Arabic Typesetting" w:cs="Arabic Typesetting" w:hint="cs"/>
          <w:sz w:val="36"/>
          <w:szCs w:val="36"/>
          <w:rtl/>
        </w:rPr>
        <w:t xml:space="preserve">تلك التسويات التي أجريت بناء على </w:t>
      </w:r>
      <w:r w:rsidRPr="00977A67">
        <w:rPr>
          <w:rFonts w:ascii="Arabic Typesetting" w:hAnsi="Arabic Typesetting" w:cs="Arabic Typesetting"/>
          <w:sz w:val="36"/>
          <w:szCs w:val="36"/>
          <w:rtl/>
        </w:rPr>
        <w:t xml:space="preserve">المعايير المحاسبية الدولية </w:t>
      </w:r>
      <w:r w:rsidRPr="00977A67">
        <w:rPr>
          <w:rFonts w:ascii="Arabic Typesetting" w:hAnsi="Arabic Typesetting" w:cs="Arabic Typesetting" w:hint="cs"/>
          <w:sz w:val="36"/>
          <w:szCs w:val="36"/>
          <w:rtl/>
        </w:rPr>
        <w:t xml:space="preserve">من </w:t>
      </w:r>
      <w:r w:rsidRPr="00977A67">
        <w:rPr>
          <w:rFonts w:ascii="Arabic Typesetting" w:hAnsi="Arabic Typesetting" w:cs="Arabic Typesetting"/>
          <w:sz w:val="36"/>
          <w:szCs w:val="36"/>
          <w:rtl/>
        </w:rPr>
        <w:t>نفقات الموظفين بما مجموعه 2</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7</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 xml:space="preserve">مليون فرنك سويسري. </w:t>
      </w:r>
      <w:r w:rsidRPr="00977A67">
        <w:rPr>
          <w:rFonts w:ascii="Arabic Typesetting" w:hAnsi="Arabic Typesetting" w:cs="Arabic Typesetting" w:hint="cs"/>
          <w:sz w:val="36"/>
          <w:szCs w:val="36"/>
          <w:rtl/>
        </w:rPr>
        <w:t>و</w:t>
      </w:r>
      <w:r w:rsidRPr="00977A67">
        <w:rPr>
          <w:rFonts w:ascii="Arabic Typesetting" w:hAnsi="Arabic Typesetting" w:cs="Arabic Typesetting"/>
          <w:sz w:val="36"/>
          <w:szCs w:val="36"/>
          <w:rtl/>
        </w:rPr>
        <w:t>تأثر</w:t>
      </w:r>
      <w:r w:rsidRPr="00977A67">
        <w:rPr>
          <w:rFonts w:ascii="Arabic Typesetting" w:hAnsi="Arabic Typesetting" w:cs="Arabic Typesetting" w:hint="cs"/>
          <w:sz w:val="36"/>
          <w:szCs w:val="36"/>
          <w:rtl/>
        </w:rPr>
        <w:t>ت تلك التسويات</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اللازمة</w:t>
      </w:r>
      <w:r w:rsidRPr="00977A67">
        <w:rPr>
          <w:rFonts w:ascii="Arabic Typesetting" w:hAnsi="Arabic Typesetting" w:cs="Arabic Typesetting"/>
          <w:sz w:val="36"/>
          <w:szCs w:val="36"/>
          <w:rtl/>
        </w:rPr>
        <w:t xml:space="preserve"> في </w:t>
      </w:r>
      <w:r w:rsidRPr="00977A67">
        <w:rPr>
          <w:rFonts w:ascii="Arabic Typesetting" w:hAnsi="Arabic Typesetting" w:cs="Arabic Typesetting" w:hint="cs"/>
          <w:sz w:val="36"/>
          <w:szCs w:val="36"/>
          <w:rtl/>
        </w:rPr>
        <w:t>الثنائية</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ب</w:t>
      </w:r>
      <w:r w:rsidRPr="00977A67">
        <w:rPr>
          <w:rFonts w:ascii="Arabic Typesetting" w:hAnsi="Arabic Typesetting" w:cs="Arabic Typesetting"/>
          <w:sz w:val="36"/>
          <w:szCs w:val="36"/>
          <w:rtl/>
        </w:rPr>
        <w:t xml:space="preserve">تطبيق </w:t>
      </w:r>
      <w:r w:rsidRPr="00977A67">
        <w:rPr>
          <w:rFonts w:ascii="Arabic Typesetting" w:hAnsi="Arabic Typesetting" w:cs="Arabic Typesetting" w:hint="cs"/>
          <w:sz w:val="36"/>
          <w:szCs w:val="36"/>
          <w:rtl/>
        </w:rPr>
        <w:t>مبدأ</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الحد من </w:t>
      </w:r>
      <w:r w:rsidRPr="00977A67">
        <w:rPr>
          <w:rFonts w:ascii="Arabic Typesetting" w:hAnsi="Arabic Typesetting" w:cs="Arabic Typesetting"/>
          <w:sz w:val="36"/>
          <w:szCs w:val="36"/>
          <w:rtl/>
        </w:rPr>
        <w:t xml:space="preserve">تكاليف </w:t>
      </w:r>
      <w:r w:rsidRPr="00977A67">
        <w:rPr>
          <w:rFonts w:ascii="Arabic Typesetting" w:hAnsi="Arabic Typesetting" w:cs="Arabic Typesetting" w:hint="cs"/>
          <w:sz w:val="36"/>
          <w:szCs w:val="36"/>
          <w:rtl/>
        </w:rPr>
        <w:t>الوظائف</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في الميزانية </w:t>
      </w:r>
      <w:r w:rsidRPr="00977A67">
        <w:rPr>
          <w:rFonts w:ascii="Arabic Typesetting" w:hAnsi="Arabic Typesetting" w:cs="Arabic Typesetting"/>
          <w:sz w:val="36"/>
          <w:szCs w:val="36"/>
          <w:rtl/>
        </w:rPr>
        <w:t xml:space="preserve">وفقا للفقرة 26 من </w:t>
      </w:r>
      <w:r w:rsidRPr="00977A67">
        <w:rPr>
          <w:rFonts w:ascii="Arabic Typesetting" w:hAnsi="Arabic Typesetting" w:cs="Arabic Typesetting" w:hint="cs"/>
          <w:sz w:val="36"/>
          <w:szCs w:val="36"/>
          <w:rtl/>
        </w:rPr>
        <w:t>وثيقة ال</w:t>
      </w:r>
      <w:r w:rsidRPr="00977A67">
        <w:rPr>
          <w:rFonts w:ascii="Arabic Typesetting" w:hAnsi="Arabic Typesetting" w:cs="Arabic Typesetting"/>
          <w:sz w:val="36"/>
          <w:szCs w:val="36"/>
          <w:rtl/>
        </w:rPr>
        <w:t>برنامج و</w:t>
      </w:r>
      <w:r w:rsidRPr="00977A67">
        <w:rPr>
          <w:rFonts w:ascii="Arabic Typesetting" w:hAnsi="Arabic Typesetting" w:cs="Arabic Typesetting" w:hint="cs"/>
          <w:sz w:val="36"/>
          <w:szCs w:val="36"/>
          <w:rtl/>
        </w:rPr>
        <w:t>ال</w:t>
      </w:r>
      <w:r w:rsidRPr="00977A67">
        <w:rPr>
          <w:rFonts w:ascii="Arabic Typesetting" w:hAnsi="Arabic Typesetting" w:cs="Arabic Typesetting"/>
          <w:sz w:val="36"/>
          <w:szCs w:val="36"/>
          <w:rtl/>
        </w:rPr>
        <w:t>ميزاني</w:t>
      </w:r>
      <w:r w:rsidRPr="00977A67">
        <w:rPr>
          <w:rFonts w:ascii="Arabic Typesetting" w:hAnsi="Arabic Typesetting" w:cs="Arabic Typesetting" w:hint="cs"/>
          <w:sz w:val="36"/>
          <w:szCs w:val="36"/>
          <w:rtl/>
        </w:rPr>
        <w:t>ة</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للثنائية</w:t>
      </w:r>
      <w:r w:rsidRPr="00977A67">
        <w:rPr>
          <w:rFonts w:ascii="Arabic Typesetting" w:hAnsi="Arabic Typesetting" w:cs="Arabic Typesetting"/>
          <w:sz w:val="36"/>
          <w:szCs w:val="36"/>
          <w:rtl/>
        </w:rPr>
        <w:t xml:space="preserve"> 2012/13. </w:t>
      </w:r>
      <w:r w:rsidRPr="00977A67">
        <w:rPr>
          <w:rFonts w:ascii="Arabic Typesetting" w:hAnsi="Arabic Typesetting" w:cs="Arabic Typesetting" w:hint="cs"/>
          <w:sz w:val="36"/>
          <w:szCs w:val="36"/>
          <w:rtl/>
        </w:rPr>
        <w:t xml:space="preserve">ويؤدي هذا الحد من التكاليف إلى توفير مخصصات تقلص </w:t>
      </w:r>
      <w:r w:rsidRPr="00977A67">
        <w:rPr>
          <w:rFonts w:ascii="Arabic Typesetting" w:hAnsi="Arabic Typesetting" w:cs="Arabic Typesetting"/>
          <w:sz w:val="36"/>
          <w:szCs w:val="36"/>
          <w:rtl/>
        </w:rPr>
        <w:t xml:space="preserve">من </w:t>
      </w:r>
      <w:r w:rsidRPr="00977A67">
        <w:rPr>
          <w:rFonts w:ascii="Arabic Typesetting" w:hAnsi="Arabic Typesetting" w:cs="Arabic Typesetting" w:hint="cs"/>
          <w:sz w:val="36"/>
          <w:szCs w:val="36"/>
          <w:rtl/>
        </w:rPr>
        <w:t>تسويات</w:t>
      </w:r>
      <w:r w:rsidRPr="00977A67">
        <w:rPr>
          <w:rFonts w:ascii="Arabic Typesetting" w:hAnsi="Arabic Typesetting" w:cs="Arabic Typesetting"/>
          <w:sz w:val="36"/>
          <w:szCs w:val="36"/>
          <w:rtl/>
        </w:rPr>
        <w:t xml:space="preserve"> المعايير المحاسبية الدولية ا</w:t>
      </w:r>
      <w:r w:rsidRPr="00977A67">
        <w:rPr>
          <w:rFonts w:ascii="Arabic Typesetting" w:hAnsi="Arabic Typesetting" w:cs="Arabic Typesetting" w:hint="cs"/>
          <w:sz w:val="36"/>
          <w:szCs w:val="36"/>
          <w:rtl/>
        </w:rPr>
        <w:t xml:space="preserve">للازم قيدها في خصوم مستحقات </w:t>
      </w:r>
      <w:r w:rsidRPr="00977A67">
        <w:rPr>
          <w:rFonts w:ascii="Arabic Typesetting" w:hAnsi="Arabic Typesetting" w:cs="Arabic Typesetting"/>
          <w:sz w:val="36"/>
          <w:szCs w:val="36"/>
          <w:rtl/>
        </w:rPr>
        <w:t>الموظف</w:t>
      </w:r>
      <w:r w:rsidRPr="00977A67">
        <w:rPr>
          <w:rFonts w:ascii="Arabic Typesetting" w:hAnsi="Arabic Typesetting" w:cs="Arabic Typesetting" w:hint="cs"/>
          <w:sz w:val="36"/>
          <w:szCs w:val="36"/>
          <w:rtl/>
        </w:rPr>
        <w:t>ين</w:t>
      </w:r>
      <w:r w:rsidRPr="00977A67">
        <w:rPr>
          <w:rFonts w:ascii="Arabic Typesetting" w:hAnsi="Arabic Typesetting" w:cs="Arabic Typesetting"/>
          <w:sz w:val="36"/>
          <w:szCs w:val="36"/>
          <w:rtl/>
        </w:rPr>
        <w:t xml:space="preserve"> بعد </w:t>
      </w:r>
      <w:r w:rsidRPr="00977A67">
        <w:rPr>
          <w:rFonts w:ascii="Arabic Typesetting" w:hAnsi="Arabic Typesetting" w:cs="Arabic Typesetting" w:hint="cs"/>
          <w:sz w:val="36"/>
          <w:szCs w:val="36"/>
          <w:rtl/>
        </w:rPr>
        <w:t>ال</w:t>
      </w:r>
      <w:r w:rsidRPr="00977A67">
        <w:rPr>
          <w:rFonts w:ascii="Arabic Typesetting" w:hAnsi="Arabic Typesetting" w:cs="Arabic Typesetting"/>
          <w:sz w:val="36"/>
          <w:szCs w:val="36"/>
          <w:rtl/>
        </w:rPr>
        <w:t xml:space="preserve">خدمة </w:t>
      </w:r>
      <w:r w:rsidRPr="00977A67">
        <w:rPr>
          <w:rFonts w:ascii="Arabic Typesetting" w:hAnsi="Arabic Typesetting" w:cs="Arabic Typesetting" w:hint="cs"/>
          <w:sz w:val="36"/>
          <w:szCs w:val="36"/>
          <w:rtl/>
        </w:rPr>
        <w:t>ف</w:t>
      </w:r>
      <w:r w:rsidRPr="00977A67">
        <w:rPr>
          <w:rFonts w:ascii="Arabic Typesetting" w:hAnsi="Arabic Typesetting" w:cs="Arabic Typesetting"/>
          <w:sz w:val="36"/>
          <w:szCs w:val="36"/>
          <w:rtl/>
        </w:rPr>
        <w:t xml:space="preserve">ي البيانات المالية </w:t>
      </w:r>
      <w:proofErr w:type="spellStart"/>
      <w:r w:rsidRPr="00977A67">
        <w:rPr>
          <w:rFonts w:ascii="Arabic Typesetting" w:hAnsi="Arabic Typesetting" w:cs="Arabic Typesetting"/>
          <w:sz w:val="36"/>
          <w:szCs w:val="36"/>
          <w:rtl/>
        </w:rPr>
        <w:t>للويبو</w:t>
      </w:r>
      <w:proofErr w:type="spellEnd"/>
      <w:r w:rsidRPr="00977A67">
        <w:rPr>
          <w:rFonts w:ascii="Arabic Typesetting" w:hAnsi="Arabic Typesetting" w:cs="Arabic Typesetting" w:hint="cs"/>
          <w:sz w:val="36"/>
          <w:szCs w:val="36"/>
          <w:rtl/>
        </w:rPr>
        <w:t>.</w:t>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sz w:val="36"/>
          <w:szCs w:val="36"/>
          <w:rtl/>
        </w:rPr>
        <w:t xml:space="preserve">وبموجب المعايير المحاسبية الدولية، </w:t>
      </w:r>
      <w:r w:rsidRPr="00977A67">
        <w:rPr>
          <w:rFonts w:ascii="Arabic Typesetting" w:hAnsi="Arabic Typesetting" w:cs="Arabic Typesetting" w:hint="cs"/>
          <w:sz w:val="36"/>
          <w:szCs w:val="36"/>
          <w:rtl/>
        </w:rPr>
        <w:t>ت</w:t>
      </w:r>
      <w:r w:rsidRPr="00977A67">
        <w:rPr>
          <w:rFonts w:ascii="Arabic Typesetting" w:hAnsi="Arabic Typesetting" w:cs="Arabic Typesetting"/>
          <w:sz w:val="36"/>
          <w:szCs w:val="36"/>
          <w:rtl/>
        </w:rPr>
        <w:t xml:space="preserve">تم رسملة التكاليف المتعلقة </w:t>
      </w:r>
      <w:r w:rsidRPr="00977A67">
        <w:rPr>
          <w:rFonts w:ascii="Arabic Typesetting" w:hAnsi="Arabic Typesetting" w:cs="Arabic Typesetting" w:hint="cs"/>
          <w:sz w:val="36"/>
          <w:szCs w:val="36"/>
          <w:rtl/>
        </w:rPr>
        <w:t>ب</w:t>
      </w:r>
      <w:r w:rsidRPr="00977A67">
        <w:rPr>
          <w:rFonts w:ascii="Arabic Typesetting" w:hAnsi="Arabic Typesetting" w:cs="Arabic Typesetting"/>
          <w:sz w:val="36"/>
          <w:szCs w:val="36"/>
          <w:rtl/>
        </w:rPr>
        <w:t xml:space="preserve">البناء وتحسين المباني. وهذا يقلل من نفقات </w:t>
      </w:r>
      <w:r w:rsidRPr="00977A67">
        <w:rPr>
          <w:rFonts w:ascii="Arabic Typesetting" w:hAnsi="Arabic Typesetting" w:cs="Arabic Typesetting" w:hint="cs"/>
          <w:sz w:val="36"/>
          <w:szCs w:val="36"/>
          <w:rtl/>
        </w:rPr>
        <w:t>الثنائية</w:t>
      </w:r>
      <w:r w:rsidRPr="00977A67">
        <w:rPr>
          <w:rFonts w:ascii="Arabic Typesetting" w:hAnsi="Arabic Typesetting" w:cs="Arabic Typesetting" w:hint="eastAsia"/>
          <w:sz w:val="36"/>
          <w:szCs w:val="36"/>
          <w:rtl/>
        </w:rPr>
        <w:t> </w:t>
      </w:r>
      <w:r w:rsidRPr="00977A67">
        <w:rPr>
          <w:rFonts w:ascii="Arabic Typesetting" w:hAnsi="Arabic Typesetting" w:cs="Arabic Typesetting"/>
          <w:sz w:val="36"/>
          <w:szCs w:val="36"/>
          <w:rtl/>
        </w:rPr>
        <w:t xml:space="preserve">2012/13 </w:t>
      </w:r>
      <w:r w:rsidRPr="00977A67">
        <w:rPr>
          <w:rFonts w:ascii="Arabic Typesetting" w:hAnsi="Arabic Typesetting" w:cs="Arabic Typesetting" w:hint="cs"/>
          <w:sz w:val="36"/>
          <w:szCs w:val="36"/>
          <w:rtl/>
        </w:rPr>
        <w:t xml:space="preserve">بمبلغ </w:t>
      </w:r>
      <w:r w:rsidRPr="00977A67">
        <w:rPr>
          <w:rFonts w:ascii="Arabic Typesetting" w:hAnsi="Arabic Typesetting" w:cs="Arabic Typesetting"/>
          <w:sz w:val="36"/>
          <w:szCs w:val="36"/>
          <w:rtl/>
        </w:rPr>
        <w:t>34</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0 مليون فرنك سويسري. </w:t>
      </w:r>
      <w:r w:rsidRPr="00977A67">
        <w:rPr>
          <w:rFonts w:ascii="Arabic Typesetting" w:hAnsi="Arabic Typesetting" w:cs="Arabic Typesetting" w:hint="cs"/>
          <w:sz w:val="36"/>
          <w:szCs w:val="36"/>
          <w:rtl/>
        </w:rPr>
        <w:t>وعلى نفس المنوال</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ت</w:t>
      </w:r>
      <w:r w:rsidRPr="00977A67">
        <w:rPr>
          <w:rFonts w:ascii="Arabic Typesetting" w:hAnsi="Arabic Typesetting" w:cs="Arabic Typesetting"/>
          <w:sz w:val="36"/>
          <w:szCs w:val="36"/>
          <w:rtl/>
        </w:rPr>
        <w:t xml:space="preserve">تم رسملة اقتناء </w:t>
      </w:r>
      <w:r w:rsidRPr="00977A67">
        <w:rPr>
          <w:rFonts w:ascii="Arabic Typesetting" w:hAnsi="Arabic Typesetting" w:cs="Arabic Typesetting" w:hint="cs"/>
          <w:sz w:val="36"/>
          <w:szCs w:val="36"/>
          <w:rtl/>
        </w:rPr>
        <w:t>بعض ال</w:t>
      </w:r>
      <w:r w:rsidRPr="00977A67">
        <w:rPr>
          <w:rFonts w:ascii="Arabic Typesetting" w:hAnsi="Arabic Typesetting" w:cs="Arabic Typesetting"/>
          <w:sz w:val="36"/>
          <w:szCs w:val="36"/>
          <w:rtl/>
        </w:rPr>
        <w:t>معدات و</w:t>
      </w:r>
      <w:r w:rsidRPr="00977A67">
        <w:rPr>
          <w:rFonts w:ascii="Arabic Typesetting" w:hAnsi="Arabic Typesetting" w:cs="Arabic Typesetting" w:hint="cs"/>
          <w:sz w:val="36"/>
          <w:szCs w:val="36"/>
          <w:rtl/>
        </w:rPr>
        <w:t>ال</w:t>
      </w:r>
      <w:r w:rsidRPr="00977A67">
        <w:rPr>
          <w:rFonts w:ascii="Arabic Typesetting" w:hAnsi="Arabic Typesetting" w:cs="Arabic Typesetting"/>
          <w:sz w:val="36"/>
          <w:szCs w:val="36"/>
          <w:rtl/>
        </w:rPr>
        <w:t>برمج</w:t>
      </w:r>
      <w:r w:rsidRPr="00977A67">
        <w:rPr>
          <w:rFonts w:ascii="Arabic Typesetting" w:hAnsi="Arabic Typesetting" w:cs="Arabic Typesetting" w:hint="cs"/>
          <w:sz w:val="36"/>
          <w:szCs w:val="36"/>
          <w:rtl/>
        </w:rPr>
        <w:t>يات</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بناء</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على </w:t>
      </w:r>
      <w:r w:rsidRPr="00977A67">
        <w:rPr>
          <w:rFonts w:ascii="Arabic Typesetting" w:hAnsi="Arabic Typesetting" w:cs="Arabic Typesetting"/>
          <w:sz w:val="36"/>
          <w:szCs w:val="36"/>
          <w:rtl/>
        </w:rPr>
        <w:t xml:space="preserve">المعايير المحاسبية الدولية، </w:t>
      </w:r>
      <w:r w:rsidRPr="00977A67">
        <w:rPr>
          <w:rFonts w:ascii="Arabic Typesetting" w:hAnsi="Arabic Typesetting" w:cs="Arabic Typesetting" w:hint="cs"/>
          <w:sz w:val="36"/>
          <w:szCs w:val="36"/>
          <w:rtl/>
        </w:rPr>
        <w:t>مما ي</w:t>
      </w:r>
      <w:r w:rsidRPr="00977A67">
        <w:rPr>
          <w:rFonts w:ascii="Arabic Typesetting" w:hAnsi="Arabic Typesetting" w:cs="Arabic Typesetting"/>
          <w:sz w:val="36"/>
          <w:szCs w:val="36"/>
          <w:rtl/>
        </w:rPr>
        <w:t xml:space="preserve">حد من نفقات </w:t>
      </w:r>
      <w:r w:rsidRPr="00977A67">
        <w:rPr>
          <w:rFonts w:ascii="Arabic Typesetting" w:hAnsi="Arabic Typesetting" w:cs="Arabic Typesetting" w:hint="cs"/>
          <w:sz w:val="36"/>
          <w:szCs w:val="36"/>
          <w:rtl/>
        </w:rPr>
        <w:t>الثنائية</w:t>
      </w:r>
      <w:r w:rsidRPr="00977A67">
        <w:rPr>
          <w:rFonts w:ascii="Arabic Typesetting" w:hAnsi="Arabic Typesetting" w:cs="Arabic Typesetting"/>
          <w:sz w:val="36"/>
          <w:szCs w:val="36"/>
          <w:rtl/>
        </w:rPr>
        <w:t xml:space="preserve"> بنسبة 3</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7 مليون فرنك سويسري</w:t>
      </w:r>
      <w:r w:rsidRPr="00977A67">
        <w:rPr>
          <w:rFonts w:ascii="Arabic Typesetting" w:hAnsi="Arabic Typesetting" w:cs="Arabic Typesetting" w:hint="cs"/>
          <w:sz w:val="36"/>
          <w:szCs w:val="36"/>
          <w:rtl/>
        </w:rPr>
        <w:t>.</w:t>
      </w:r>
    </w:p>
    <w:p w:rsidR="006715D6" w:rsidRPr="00977A67" w:rsidRDefault="006715D6" w:rsidP="006715D6">
      <w:pPr>
        <w:numPr>
          <w:ilvl w:val="0"/>
          <w:numId w:val="32"/>
        </w:numPr>
        <w:bidi/>
        <w:spacing w:after="240" w:line="360" w:lineRule="exact"/>
        <w:rPr>
          <w:rFonts w:ascii="Arabic Typesetting" w:hAnsi="Arabic Typesetting" w:cs="Arabic Typesetting"/>
          <w:sz w:val="36"/>
          <w:szCs w:val="36"/>
        </w:rPr>
      </w:pPr>
      <w:r w:rsidRPr="00977A67">
        <w:rPr>
          <w:rFonts w:ascii="Arabic Typesetting" w:hAnsi="Arabic Typesetting" w:cs="Arabic Typesetting" w:hint="cs"/>
          <w:sz w:val="36"/>
          <w:szCs w:val="36"/>
          <w:rtl/>
        </w:rPr>
        <w:t xml:space="preserve">وتتعلق بالأساس </w:t>
      </w:r>
      <w:r w:rsidRPr="00977A67">
        <w:rPr>
          <w:rFonts w:ascii="Arabic Typesetting" w:hAnsi="Arabic Typesetting" w:cs="Arabic Typesetting"/>
          <w:sz w:val="36"/>
          <w:szCs w:val="36"/>
          <w:rtl/>
        </w:rPr>
        <w:t>الفوارق</w:t>
      </w:r>
      <w:r w:rsidRPr="00977A67">
        <w:rPr>
          <w:rFonts w:ascii="Arabic Typesetting" w:hAnsi="Arabic Typesetting" w:cs="Arabic Typesetting" w:hint="cs"/>
          <w:sz w:val="36"/>
          <w:szCs w:val="36"/>
          <w:rtl/>
        </w:rPr>
        <w:t xml:space="preserve"> الأخرى</w:t>
      </w:r>
      <w:r w:rsidRPr="00977A67">
        <w:rPr>
          <w:rFonts w:ascii="Arabic Typesetting" w:hAnsi="Arabic Typesetting" w:cs="Arabic Typesetting"/>
          <w:sz w:val="36"/>
          <w:szCs w:val="36"/>
          <w:rtl/>
        </w:rPr>
        <w:t xml:space="preserve"> على أساس محاسبي </w:t>
      </w:r>
      <w:r w:rsidRPr="00977A67">
        <w:rPr>
          <w:rFonts w:ascii="Arabic Typesetting" w:hAnsi="Arabic Typesetting" w:cs="Arabic Typesetting" w:hint="cs"/>
          <w:sz w:val="36"/>
          <w:szCs w:val="36"/>
          <w:rtl/>
        </w:rPr>
        <w:t>ب</w:t>
      </w:r>
      <w:r w:rsidRPr="00977A67">
        <w:rPr>
          <w:rFonts w:ascii="Arabic Typesetting" w:hAnsi="Arabic Typesetting" w:cs="Arabic Typesetting"/>
          <w:sz w:val="36"/>
          <w:szCs w:val="36"/>
          <w:rtl/>
        </w:rPr>
        <w:t xml:space="preserve">العقار الاستثماري </w:t>
      </w:r>
      <w:r w:rsidRPr="00977A67">
        <w:rPr>
          <w:rFonts w:ascii="Arabic Typesetting" w:hAnsi="Arabic Typesetting" w:cs="Arabic Typesetting" w:hint="cs"/>
          <w:sz w:val="36"/>
          <w:szCs w:val="36"/>
          <w:rtl/>
        </w:rPr>
        <w:t>ل</w:t>
      </w:r>
      <w:r w:rsidRPr="00977A67">
        <w:rPr>
          <w:rFonts w:ascii="Arabic Typesetting" w:hAnsi="Arabic Typesetting" w:cs="Arabic Typesetting"/>
          <w:sz w:val="36"/>
          <w:szCs w:val="36"/>
          <w:rtl/>
        </w:rPr>
        <w:t>اتحاد مدريد ال</w:t>
      </w:r>
      <w:r w:rsidRPr="00977A67">
        <w:rPr>
          <w:rFonts w:ascii="Arabic Typesetting" w:hAnsi="Arabic Typesetting" w:cs="Arabic Typesetting" w:hint="cs"/>
          <w:sz w:val="36"/>
          <w:szCs w:val="36"/>
          <w:rtl/>
        </w:rPr>
        <w:t>ذ</w:t>
      </w:r>
      <w:r w:rsidRPr="00977A67">
        <w:rPr>
          <w:rFonts w:ascii="Arabic Typesetting" w:hAnsi="Arabic Typesetting" w:cs="Arabic Typesetting"/>
          <w:sz w:val="36"/>
          <w:szCs w:val="36"/>
          <w:rtl/>
        </w:rPr>
        <w:t xml:space="preserve">ي تملكه المنظمة، </w:t>
      </w:r>
      <w:r w:rsidRPr="00977A67">
        <w:rPr>
          <w:rFonts w:ascii="Arabic Typesetting" w:hAnsi="Arabic Typesetting" w:cs="Arabic Typesetting" w:hint="cs"/>
          <w:sz w:val="36"/>
          <w:szCs w:val="36"/>
          <w:rtl/>
        </w:rPr>
        <w:t>و</w:t>
      </w:r>
      <w:r w:rsidRPr="00977A67">
        <w:rPr>
          <w:rFonts w:ascii="Arabic Typesetting" w:hAnsi="Arabic Typesetting" w:cs="Arabic Typesetting"/>
          <w:sz w:val="36"/>
          <w:szCs w:val="36"/>
          <w:rtl/>
        </w:rPr>
        <w:t>ال</w:t>
      </w:r>
      <w:r w:rsidRPr="00977A67">
        <w:rPr>
          <w:rFonts w:ascii="Arabic Typesetting" w:hAnsi="Arabic Typesetting" w:cs="Arabic Typesetting" w:hint="cs"/>
          <w:sz w:val="36"/>
          <w:szCs w:val="36"/>
          <w:rtl/>
        </w:rPr>
        <w:t>ذ</w:t>
      </w:r>
      <w:r w:rsidRPr="00977A67">
        <w:rPr>
          <w:rFonts w:ascii="Arabic Typesetting" w:hAnsi="Arabic Typesetting" w:cs="Arabic Typesetting"/>
          <w:sz w:val="36"/>
          <w:szCs w:val="36"/>
          <w:rtl/>
        </w:rPr>
        <w:t xml:space="preserve">ي </w:t>
      </w:r>
      <w:r w:rsidRPr="00977A67">
        <w:rPr>
          <w:rFonts w:ascii="Arabic Typesetting" w:hAnsi="Arabic Typesetting" w:cs="Arabic Typesetting" w:hint="cs"/>
          <w:sz w:val="36"/>
          <w:szCs w:val="36"/>
          <w:rtl/>
        </w:rPr>
        <w:t xml:space="preserve">قُيّد </w:t>
      </w:r>
      <w:r w:rsidRPr="00977A67">
        <w:rPr>
          <w:rFonts w:ascii="Arabic Typesetting" w:hAnsi="Arabic Typesetting" w:cs="Arabic Typesetting"/>
          <w:sz w:val="36"/>
          <w:szCs w:val="36"/>
          <w:rtl/>
        </w:rPr>
        <w:t xml:space="preserve">في </w:t>
      </w:r>
      <w:r w:rsidRPr="00977A67">
        <w:rPr>
          <w:rFonts w:ascii="Arabic Typesetting" w:hAnsi="Arabic Typesetting" w:cs="Arabic Typesetting" w:hint="cs"/>
          <w:sz w:val="36"/>
          <w:szCs w:val="36"/>
          <w:rtl/>
        </w:rPr>
        <w:t>البيانات</w:t>
      </w:r>
      <w:r w:rsidRPr="00977A67">
        <w:rPr>
          <w:rFonts w:ascii="Arabic Typesetting" w:hAnsi="Arabic Typesetting" w:cs="Arabic Typesetting"/>
          <w:sz w:val="36"/>
          <w:szCs w:val="36"/>
          <w:rtl/>
        </w:rPr>
        <w:t xml:space="preserve"> المالية وفقا للمعايير المحاسبية الدولية بالقيمة العادلة. و</w:t>
      </w:r>
      <w:r w:rsidRPr="00977A67">
        <w:rPr>
          <w:rFonts w:ascii="Arabic Typesetting" w:hAnsi="Arabic Typesetting" w:cs="Arabic Typesetting" w:hint="cs"/>
          <w:sz w:val="36"/>
          <w:szCs w:val="36"/>
          <w:rtl/>
        </w:rPr>
        <w:t>أعيد</w:t>
      </w:r>
      <w:r w:rsidRPr="00977A67">
        <w:rPr>
          <w:rFonts w:ascii="Arabic Typesetting" w:hAnsi="Arabic Typesetting" w:cs="Arabic Typesetting"/>
          <w:sz w:val="36"/>
          <w:szCs w:val="36"/>
          <w:rtl/>
        </w:rPr>
        <w:t xml:space="preserve"> تقييم </w:t>
      </w:r>
      <w:r w:rsidRPr="00977A67">
        <w:rPr>
          <w:rFonts w:ascii="Arabic Typesetting" w:hAnsi="Arabic Typesetting" w:cs="Arabic Typesetting" w:hint="cs"/>
          <w:sz w:val="36"/>
          <w:szCs w:val="36"/>
          <w:rtl/>
        </w:rPr>
        <w:t>ذلك العقار</w:t>
      </w:r>
      <w:r w:rsidRPr="00977A67">
        <w:rPr>
          <w:rFonts w:ascii="Arabic Typesetting" w:hAnsi="Arabic Typesetting" w:cs="Arabic Typesetting"/>
          <w:sz w:val="36"/>
          <w:szCs w:val="36"/>
          <w:rtl/>
        </w:rPr>
        <w:t xml:space="preserve"> في 31 ديسمبر 2012 </w:t>
      </w:r>
      <w:r w:rsidRPr="00977A67">
        <w:rPr>
          <w:rFonts w:ascii="Arabic Typesetting" w:hAnsi="Arabic Typesetting" w:cs="Arabic Typesetting" w:hint="cs"/>
          <w:sz w:val="36"/>
          <w:szCs w:val="36"/>
          <w:rtl/>
        </w:rPr>
        <w:t xml:space="preserve">وأسفر ذلك عن </w:t>
      </w:r>
      <w:r w:rsidRPr="00977A67">
        <w:rPr>
          <w:rFonts w:ascii="Arabic Typesetting" w:hAnsi="Arabic Typesetting" w:cs="Arabic Typesetting"/>
          <w:sz w:val="36"/>
          <w:szCs w:val="36"/>
          <w:rtl/>
        </w:rPr>
        <w:t xml:space="preserve">زيادة في القيمة العادلة </w:t>
      </w:r>
      <w:r w:rsidRPr="00977A67">
        <w:rPr>
          <w:rFonts w:ascii="Arabic Typesetting" w:hAnsi="Arabic Typesetting" w:cs="Arabic Typesetting" w:hint="cs"/>
          <w:sz w:val="36"/>
          <w:szCs w:val="36"/>
          <w:rtl/>
        </w:rPr>
        <w:t>قدرها</w:t>
      </w:r>
      <w:r w:rsidRPr="00977A67">
        <w:rPr>
          <w:rFonts w:ascii="Arabic Typesetting" w:hAnsi="Arabic Typesetting" w:cs="Arabic Typesetting"/>
          <w:sz w:val="36"/>
          <w:szCs w:val="36"/>
          <w:rtl/>
        </w:rPr>
        <w:t xml:space="preserve"> 0</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5 مليون فرنك سويسري، مع تأثير مقابل على فائض </w:t>
      </w:r>
      <w:r w:rsidRPr="00977A67">
        <w:rPr>
          <w:rFonts w:ascii="Arabic Typesetting" w:hAnsi="Arabic Typesetting" w:cs="Arabic Typesetting" w:hint="cs"/>
          <w:sz w:val="36"/>
          <w:szCs w:val="36"/>
          <w:rtl/>
        </w:rPr>
        <w:t>الثنائية.</w:t>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الإيرادات</w:t>
      </w:r>
    </w:p>
    <w:p w:rsidR="006715D6" w:rsidRPr="00977A67" w:rsidRDefault="006715D6" w:rsidP="006715D6">
      <w:pPr>
        <w:keepNext/>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يحتوي الرسم البياني الوارد أدناه على تحليل للإيرادات في الثنائية 2012/13 على أساس المعايير المحاسبية الدولية: </w:t>
      </w:r>
    </w:p>
    <w:p w:rsidR="006715D6" w:rsidRPr="00977A67" w:rsidRDefault="006715D6" w:rsidP="006715D6">
      <w:pPr>
        <w:keepNext/>
        <w:bidi/>
        <w:spacing w:after="240" w:line="360" w:lineRule="exact"/>
        <w:jc w:val="center"/>
        <w:rPr>
          <w:rFonts w:ascii="Arabic Typesetting" w:hAnsi="Arabic Typesetting" w:cs="Arabic Typesetting"/>
          <w:sz w:val="36"/>
          <w:szCs w:val="36"/>
          <w:rtl/>
        </w:rPr>
      </w:pPr>
      <w:r w:rsidRPr="00977A67">
        <w:rPr>
          <w:rFonts w:ascii="Arabic Typesetting" w:hAnsi="Arabic Typesetting" w:cs="Arabic Typesetting" w:hint="cs"/>
          <w:sz w:val="36"/>
          <w:szCs w:val="36"/>
          <w:rtl/>
        </w:rPr>
        <w:t>مكونات الإيرادات في الثنائية 2012/13 على أساس المعايير المحاسبية الدولية</w:t>
      </w:r>
    </w:p>
    <w:p w:rsidR="006715D6" w:rsidRPr="00977A67" w:rsidRDefault="006715D6" w:rsidP="006715D6">
      <w:pPr>
        <w:bidi/>
        <w:spacing w:after="240"/>
        <w:ind w:left="720"/>
        <w:jc w:val="center"/>
        <w:rPr>
          <w:rFonts w:ascii="Arabic Typesetting" w:hAnsi="Arabic Typesetting" w:cs="Arabic Typesetting"/>
          <w:sz w:val="36"/>
          <w:szCs w:val="36"/>
          <w:rtl/>
        </w:rPr>
      </w:pPr>
      <w:r w:rsidRPr="00DB69B4">
        <w:rPr>
          <w:rFonts w:hint="cs"/>
          <w:noProof/>
          <w:szCs w:val="22"/>
          <w:rtl/>
        </w:rPr>
        <w:drawing>
          <wp:inline distT="0" distB="0" distL="0" distR="0" wp14:anchorId="04639DCF" wp14:editId="7CA9CCE9">
            <wp:extent cx="5940425" cy="3317741"/>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0425" cy="3317741"/>
                    </a:xfrm>
                    <a:prstGeom prst="rect">
                      <a:avLst/>
                    </a:prstGeom>
                    <a:noFill/>
                    <a:ln>
                      <a:noFill/>
                    </a:ln>
                  </pic:spPr>
                </pic:pic>
              </a:graphicData>
            </a:graphic>
          </wp:inline>
        </w:drawing>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وتؤثر التسويات بناء على المعايير المحاسبية الدولية أساسا في رسوم نظام معاهدة التعاون بشأن البراءات نظرا لزيادة الإيرادات المؤجلة وتأجيل إيرادات الإسهامات الطوعية.</w:t>
      </w:r>
    </w:p>
    <w:p w:rsidR="006715D6" w:rsidRPr="00977A67" w:rsidRDefault="006715D6" w:rsidP="006715D6">
      <w:pPr>
        <w:keepNext/>
        <w:bidi/>
        <w:spacing w:after="240" w:line="360" w:lineRule="exact"/>
        <w:jc w:val="center"/>
        <w:rPr>
          <w:rFonts w:ascii="Arabic Typesetting" w:hAnsi="Arabic Typesetting" w:cs="Arabic Typesetting"/>
          <w:sz w:val="36"/>
          <w:szCs w:val="36"/>
          <w:rtl/>
        </w:rPr>
      </w:pPr>
      <w:r w:rsidRPr="00977A67">
        <w:rPr>
          <w:rFonts w:ascii="Arabic Typesetting" w:hAnsi="Arabic Typesetting" w:cs="Arabic Typesetting" w:hint="cs"/>
          <w:sz w:val="36"/>
          <w:szCs w:val="36"/>
          <w:rtl/>
        </w:rPr>
        <w:t>تفاصيل الإيرادات على أساس المعايير المحاسبية الدولية للثنائية 2012/13</w:t>
      </w:r>
    </w:p>
    <w:p w:rsidR="006715D6" w:rsidRPr="00977A67" w:rsidRDefault="006715D6" w:rsidP="006715D6">
      <w:pPr>
        <w:bidi/>
        <w:spacing w:after="240"/>
        <w:ind w:left="720"/>
        <w:jc w:val="center"/>
        <w:rPr>
          <w:rFonts w:ascii="Arabic Typesetting" w:hAnsi="Arabic Typesetting" w:cs="Arabic Typesetting"/>
          <w:sz w:val="36"/>
          <w:szCs w:val="36"/>
          <w:rtl/>
        </w:rPr>
      </w:pPr>
      <w:r w:rsidRPr="00977A67">
        <w:rPr>
          <w:rFonts w:hint="cs"/>
          <w:noProof/>
          <w:szCs w:val="22"/>
          <w:rtl/>
        </w:rPr>
        <w:drawing>
          <wp:inline distT="0" distB="0" distL="0" distR="0" wp14:anchorId="19270820" wp14:editId="096F624F">
            <wp:extent cx="5349833" cy="3550723"/>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56860" cy="3555387"/>
                    </a:xfrm>
                    <a:prstGeom prst="rect">
                      <a:avLst/>
                    </a:prstGeom>
                    <a:noFill/>
                    <a:ln>
                      <a:noFill/>
                    </a:ln>
                  </pic:spPr>
                </pic:pic>
              </a:graphicData>
            </a:graphic>
          </wp:inline>
        </w:drawing>
      </w:r>
    </w:p>
    <w:p w:rsidR="006715D6" w:rsidRPr="00977A67" w:rsidRDefault="006715D6" w:rsidP="006715D6">
      <w:pPr>
        <w:keepNext/>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المصروفات</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يتضمن الرسم البياني الوارد أدناه تحليلا للمصروفات في الثنائية 2012/13 على أساس المعايير المحاسبية الدولية.</w:t>
      </w:r>
    </w:p>
    <w:p w:rsidR="006715D6" w:rsidRPr="00977A67" w:rsidRDefault="006715D6" w:rsidP="006715D6">
      <w:pPr>
        <w:keepNext/>
        <w:bidi/>
        <w:spacing w:after="240" w:line="360" w:lineRule="exact"/>
        <w:jc w:val="center"/>
        <w:rPr>
          <w:rFonts w:ascii="Arabic Typesetting" w:hAnsi="Arabic Typesetting" w:cs="Arabic Typesetting"/>
          <w:sz w:val="36"/>
          <w:szCs w:val="36"/>
          <w:rtl/>
        </w:rPr>
      </w:pPr>
      <w:r w:rsidRPr="00977A67">
        <w:rPr>
          <w:rFonts w:ascii="Arabic Typesetting" w:hAnsi="Arabic Typesetting" w:cs="Arabic Typesetting" w:hint="cs"/>
          <w:sz w:val="36"/>
          <w:szCs w:val="36"/>
          <w:rtl/>
        </w:rPr>
        <w:t>مكونات المصروفات في الثنائية 2012/13 على أساس المعايير المحاسبية الدولية</w:t>
      </w:r>
    </w:p>
    <w:p w:rsidR="006715D6" w:rsidRPr="00977A67" w:rsidRDefault="006715D6" w:rsidP="006715D6">
      <w:pPr>
        <w:bidi/>
        <w:spacing w:after="240"/>
        <w:ind w:left="720"/>
        <w:jc w:val="center"/>
        <w:rPr>
          <w:rFonts w:ascii="Arabic Typesetting" w:hAnsi="Arabic Typesetting" w:cs="Arabic Typesetting"/>
          <w:sz w:val="36"/>
          <w:szCs w:val="36"/>
          <w:rtl/>
        </w:rPr>
      </w:pPr>
      <w:r w:rsidRPr="007B1E06">
        <w:rPr>
          <w:noProof/>
          <w:szCs w:val="22"/>
          <w:rtl/>
        </w:rPr>
        <w:drawing>
          <wp:inline distT="0" distB="0" distL="0" distR="0" wp14:anchorId="111B2A66" wp14:editId="5A363949">
            <wp:extent cx="5940425" cy="3276845"/>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0425" cy="327684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والتسويات بناء على المعايير المحاسبية الدولية هي في الأساس عبارة عن رسملة مصروفات البناء (يرجى الالتفات إلى أن هذا الأمر يؤثر في العديد من فئات المصروفات ومنها البناء ومصروفات التشغيل ونفقات الموظفين والخدمات التعاقدية) وتكاليف </w:t>
      </w:r>
      <w:proofErr w:type="spellStart"/>
      <w:r w:rsidRPr="00977A67">
        <w:rPr>
          <w:rFonts w:ascii="Arabic Typesetting" w:hAnsi="Arabic Typesetting" w:cs="Arabic Typesetting" w:hint="cs"/>
          <w:sz w:val="36"/>
          <w:szCs w:val="36"/>
          <w:rtl/>
        </w:rPr>
        <w:t>الاهتلاك</w:t>
      </w:r>
      <w:proofErr w:type="spellEnd"/>
      <w:r w:rsidRPr="00977A67">
        <w:rPr>
          <w:rFonts w:ascii="Arabic Typesetting" w:hAnsi="Arabic Typesetting" w:cs="Arabic Typesetting" w:hint="cs"/>
          <w:sz w:val="36"/>
          <w:szCs w:val="36"/>
          <w:rtl/>
        </w:rPr>
        <w:t xml:space="preserve"> والاستهلاك والأضرار.</w:t>
      </w:r>
    </w:p>
    <w:p w:rsidR="006715D6" w:rsidRPr="00977A67" w:rsidRDefault="006715D6" w:rsidP="006715D6">
      <w:pPr>
        <w:bidi/>
        <w:spacing w:after="240" w:line="360" w:lineRule="exact"/>
        <w:jc w:val="center"/>
        <w:rPr>
          <w:rFonts w:ascii="Arabic Typesetting" w:hAnsi="Arabic Typesetting" w:cs="Arabic Typesetting"/>
          <w:sz w:val="36"/>
          <w:szCs w:val="36"/>
          <w:rtl/>
        </w:rPr>
      </w:pPr>
      <w:r w:rsidRPr="00977A67">
        <w:rPr>
          <w:rFonts w:ascii="Arabic Typesetting" w:hAnsi="Arabic Typesetting" w:cs="Arabic Typesetting" w:hint="cs"/>
          <w:sz w:val="36"/>
          <w:szCs w:val="36"/>
          <w:rtl/>
        </w:rPr>
        <w:t>تفاصيل المصروفات على أساس المعايير المحاسبية الدولية للثنائية 2012/13</w:t>
      </w:r>
    </w:p>
    <w:p w:rsidR="006715D6" w:rsidRPr="00977A67" w:rsidRDefault="006715D6" w:rsidP="006715D6">
      <w:pPr>
        <w:bidi/>
        <w:spacing w:after="240"/>
        <w:ind w:left="720"/>
        <w:jc w:val="center"/>
        <w:rPr>
          <w:rFonts w:ascii="Arabic Typesetting" w:hAnsi="Arabic Typesetting" w:cs="Arabic Typesetting"/>
          <w:sz w:val="36"/>
          <w:szCs w:val="36"/>
          <w:rtl/>
        </w:rPr>
      </w:pPr>
      <w:r w:rsidRPr="00977A67">
        <w:rPr>
          <w:rFonts w:hint="cs"/>
          <w:noProof/>
          <w:szCs w:val="22"/>
          <w:rtl/>
        </w:rPr>
        <w:drawing>
          <wp:inline distT="0" distB="0" distL="0" distR="0" wp14:anchorId="6D408221" wp14:editId="5ECD194F">
            <wp:extent cx="5356860" cy="30194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6860" cy="301942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الأداء المالي بحسب كل قطاع</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يحسب جل الإيرادات في حسابات الويبو بحسب كل اتحاد. وخصصت الإيرادات المتأتية من أرباح الفوائد إلى الاتحادات استنادا إلى مجموع الاحتياطي النقدي والإيرادات الجارية. وتحسب المصروفات بحسب كل برنامج ويعاد تخصيصها إلى مختلف الاتحادات بالاستناد إلى منهجية وافقت عليها الجمعية العامة </w:t>
      </w:r>
      <w:proofErr w:type="spellStart"/>
      <w:r w:rsidRPr="00977A67">
        <w:rPr>
          <w:rFonts w:ascii="Arabic Typesetting" w:hAnsi="Arabic Typesetting" w:cs="Arabic Typesetting" w:hint="cs"/>
          <w:sz w:val="36"/>
          <w:szCs w:val="36"/>
          <w:rtl/>
        </w:rPr>
        <w:t>للويبو</w:t>
      </w:r>
      <w:proofErr w:type="spellEnd"/>
      <w:r w:rsidRPr="00977A67">
        <w:rPr>
          <w:rFonts w:ascii="Arabic Typesetting" w:hAnsi="Arabic Typesetting" w:cs="Arabic Typesetting" w:hint="cs"/>
          <w:sz w:val="36"/>
          <w:szCs w:val="36"/>
          <w:rtl/>
        </w:rPr>
        <w:t xml:space="preserve"> كجزء من وثيقة الويبو للبرنامج والميزانية المعتمدة للثنائية 2012/13.</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وتخصص جميع المصروفات إلى الاتحادات بما يشكل القطاعات بالاستناد إلى منهجية التخصيص المتفق عليها. وتقيد مصروفات قطاع الحسابات الخاصة المتعلقة بالإسهامات الطوعية في المنظمة باعتبارها تكاليف فعلية. وتمثل التكاليف الوحيدة المشتركة بين القطاعات تكاليف دعم البرنامج التي </w:t>
      </w:r>
      <w:proofErr w:type="spellStart"/>
      <w:r w:rsidRPr="00977A67">
        <w:rPr>
          <w:rFonts w:ascii="Arabic Typesetting" w:hAnsi="Arabic Typesetting" w:cs="Arabic Typesetting" w:hint="cs"/>
          <w:sz w:val="36"/>
          <w:szCs w:val="36"/>
          <w:rtl/>
        </w:rPr>
        <w:t>تتكبدها</w:t>
      </w:r>
      <w:proofErr w:type="spellEnd"/>
      <w:r w:rsidRPr="00977A67">
        <w:rPr>
          <w:rFonts w:ascii="Arabic Typesetting" w:hAnsi="Arabic Typesetting" w:cs="Arabic Typesetting" w:hint="cs"/>
          <w:sz w:val="36"/>
          <w:szCs w:val="36"/>
          <w:rtl/>
        </w:rPr>
        <w:t xml:space="preserve"> الاتحادات لدعم الحسابات الخاصة. وتحسب تكاليف دعم البرنامج ضمن الحسابات الخاصة على أساس حساب نسبة مجموع النفقات المباشرة المحددة في الاتفاقات المبرمة مع المانحين الذين يقدمون الإسهامات الطوعية.</w:t>
      </w:r>
    </w:p>
    <w:p w:rsidR="006715D6" w:rsidRDefault="006715D6" w:rsidP="006715D6">
      <w:pPr>
        <w:bidi/>
        <w:spacing w:after="240"/>
        <w:ind w:left="-1"/>
        <w:jc w:val="center"/>
        <w:rPr>
          <w:rFonts w:ascii="Arabic Typesetting" w:hAnsi="Arabic Typesetting" w:cs="Arabic Typesetting"/>
          <w:sz w:val="36"/>
          <w:szCs w:val="36"/>
          <w:rtl/>
        </w:rPr>
        <w:sectPr w:rsidR="006715D6" w:rsidSect="00741BC4">
          <w:headerReference w:type="first" r:id="rId74"/>
          <w:pgSz w:w="11907" w:h="16840" w:code="9"/>
          <w:pgMar w:top="567" w:right="1418" w:bottom="550" w:left="1134" w:header="510" w:footer="1021" w:gutter="0"/>
          <w:cols w:space="720"/>
          <w:titlePg/>
          <w:docGrid w:linePitch="299"/>
        </w:sectPr>
      </w:pPr>
      <w:r w:rsidRPr="00977A67">
        <w:rPr>
          <w:rFonts w:hint="cs"/>
          <w:noProof/>
          <w:szCs w:val="22"/>
          <w:rtl/>
        </w:rPr>
        <w:drawing>
          <wp:inline distT="0" distB="0" distL="0" distR="0" wp14:anchorId="7D50C622" wp14:editId="1ECE0FC6">
            <wp:extent cx="5934011" cy="7519916"/>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0425" cy="7528044"/>
                    </a:xfrm>
                    <a:prstGeom prst="rect">
                      <a:avLst/>
                    </a:prstGeom>
                    <a:noFill/>
                    <a:ln>
                      <a:noFill/>
                    </a:ln>
                  </pic:spPr>
                </pic:pic>
              </a:graphicData>
            </a:graphic>
          </wp:inline>
        </w:drawing>
      </w:r>
    </w:p>
    <w:p w:rsidR="006715D6" w:rsidRPr="00977A67" w:rsidRDefault="006715D6" w:rsidP="006715D6">
      <w:pPr>
        <w:pStyle w:val="Heading2AR"/>
        <w:jc w:val="center"/>
        <w:outlineLvl w:val="1"/>
        <w:rPr>
          <w:b/>
          <w:bCs/>
          <w:rtl/>
        </w:rPr>
      </w:pPr>
      <w:bookmarkStart w:id="111" w:name="_Toc331497769"/>
      <w:bookmarkStart w:id="112" w:name="_Toc381088585"/>
      <w:bookmarkStart w:id="113" w:name="_Toc394905519"/>
      <w:bookmarkStart w:id="114" w:name="_Toc394911951"/>
      <w:bookmarkStart w:id="115" w:name="_Toc394914282"/>
      <w:r w:rsidRPr="00977A67">
        <w:rPr>
          <w:rFonts w:hint="cs"/>
          <w:b/>
          <w:bCs/>
          <w:rtl/>
        </w:rPr>
        <w:t xml:space="preserve">بيان الوضع المالي بحسب </w:t>
      </w:r>
      <w:bookmarkEnd w:id="111"/>
      <w:bookmarkEnd w:id="112"/>
      <w:r w:rsidRPr="00977A67">
        <w:rPr>
          <w:rFonts w:hint="cs"/>
          <w:b/>
          <w:bCs/>
          <w:rtl/>
        </w:rPr>
        <w:t>مصدر التمويل</w:t>
      </w:r>
      <w:bookmarkEnd w:id="113"/>
      <w:bookmarkEnd w:id="114"/>
      <w:bookmarkEnd w:id="115"/>
    </w:p>
    <w:p w:rsidR="006715D6" w:rsidRPr="00977A67" w:rsidRDefault="006715D6" w:rsidP="006715D6">
      <w:pPr>
        <w:bidi/>
        <w:spacing w:after="240" w:line="360" w:lineRule="exact"/>
        <w:jc w:val="center"/>
        <w:rPr>
          <w:rFonts w:ascii="Arabic Typesetting" w:hAnsi="Arabic Typesetting" w:cs="Arabic Typesetting"/>
          <w:sz w:val="28"/>
          <w:szCs w:val="28"/>
          <w:rtl/>
        </w:rPr>
      </w:pPr>
      <w:r w:rsidRPr="00977A67">
        <w:rPr>
          <w:rFonts w:ascii="Arabic Typesetting" w:hAnsi="Arabic Typesetting" w:cs="Arabic Typesetting" w:hint="cs"/>
          <w:sz w:val="28"/>
          <w:szCs w:val="28"/>
          <w:rtl/>
        </w:rPr>
        <w:t>(بآلاف الفرنكات السويسرية)</w:t>
      </w:r>
    </w:p>
    <w:p w:rsidR="006715D6" w:rsidRPr="00977A67" w:rsidRDefault="006715D6" w:rsidP="006715D6">
      <w:pPr>
        <w:bidi/>
        <w:spacing w:after="240"/>
        <w:ind w:left="-29"/>
        <w:jc w:val="center"/>
        <w:rPr>
          <w:rFonts w:ascii="Arabic Typesetting" w:hAnsi="Arabic Typesetting" w:cs="Arabic Typesetting"/>
          <w:sz w:val="36"/>
          <w:szCs w:val="36"/>
          <w:rtl/>
        </w:rPr>
      </w:pPr>
      <w:r w:rsidRPr="00977A67">
        <w:rPr>
          <w:rFonts w:hint="cs"/>
          <w:noProof/>
          <w:szCs w:val="22"/>
          <w:rtl/>
        </w:rPr>
        <w:drawing>
          <wp:inline distT="0" distB="0" distL="0" distR="0" wp14:anchorId="623FD759" wp14:editId="463568EB">
            <wp:extent cx="9427787" cy="5189517"/>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432925" cy="5192345"/>
                    </a:xfrm>
                    <a:prstGeom prst="rect">
                      <a:avLst/>
                    </a:prstGeom>
                    <a:noFill/>
                    <a:ln>
                      <a:noFill/>
                    </a:ln>
                  </pic:spPr>
                </pic:pic>
              </a:graphicData>
            </a:graphic>
          </wp:inline>
        </w:drawing>
      </w:r>
    </w:p>
    <w:p w:rsidR="006715D6" w:rsidRPr="00977A67" w:rsidRDefault="006715D6" w:rsidP="006715D6">
      <w:pPr>
        <w:bidi/>
        <w:spacing w:after="240"/>
        <w:jc w:val="center"/>
        <w:rPr>
          <w:rFonts w:ascii="Arabic Typesetting" w:hAnsi="Arabic Typesetting" w:cs="Arabic Typesetting"/>
          <w:color w:val="C00000"/>
          <w:sz w:val="36"/>
          <w:szCs w:val="36"/>
        </w:rPr>
        <w:sectPr w:rsidR="006715D6" w:rsidRPr="00977A67" w:rsidSect="00741BC4">
          <w:headerReference w:type="first" r:id="rId77"/>
          <w:pgSz w:w="16840" w:h="11907" w:orient="landscape" w:code="9"/>
          <w:pgMar w:top="1134" w:right="567" w:bottom="1418" w:left="1418" w:header="510" w:footer="1021" w:gutter="0"/>
          <w:cols w:space="720"/>
          <w:titlePg/>
          <w:docGrid w:linePitch="299"/>
        </w:sectPr>
      </w:pPr>
    </w:p>
    <w:p w:rsidR="006715D6" w:rsidRPr="00977A67" w:rsidRDefault="006715D6" w:rsidP="006715D6">
      <w:pPr>
        <w:pStyle w:val="Heading2AR"/>
        <w:jc w:val="center"/>
        <w:outlineLvl w:val="1"/>
        <w:rPr>
          <w:b/>
          <w:bCs/>
          <w:rtl/>
        </w:rPr>
      </w:pPr>
      <w:bookmarkStart w:id="116" w:name="_Toc394905520"/>
      <w:bookmarkStart w:id="117" w:name="_Toc394911952"/>
      <w:bookmarkStart w:id="118" w:name="_Toc394914283"/>
      <w:r w:rsidRPr="00977A67">
        <w:rPr>
          <w:rFonts w:hint="cs"/>
          <w:b/>
          <w:bCs/>
          <w:rtl/>
        </w:rPr>
        <w:t>بيان الأداء المالي بحسب مصدر التمويل</w:t>
      </w:r>
      <w:bookmarkEnd w:id="116"/>
      <w:bookmarkEnd w:id="117"/>
      <w:bookmarkEnd w:id="118"/>
    </w:p>
    <w:p w:rsidR="006715D6" w:rsidRPr="00977A67" w:rsidRDefault="006715D6" w:rsidP="006715D6">
      <w:pPr>
        <w:bidi/>
        <w:spacing w:after="240" w:line="360" w:lineRule="exact"/>
        <w:jc w:val="center"/>
        <w:rPr>
          <w:rFonts w:ascii="Arabic Typesetting" w:hAnsi="Arabic Typesetting" w:cs="Arabic Typesetting"/>
          <w:sz w:val="28"/>
          <w:szCs w:val="28"/>
          <w:rtl/>
        </w:rPr>
      </w:pPr>
      <w:r w:rsidRPr="00977A67">
        <w:rPr>
          <w:rFonts w:ascii="Arabic Typesetting" w:hAnsi="Arabic Typesetting" w:cs="Arabic Typesetting" w:hint="cs"/>
          <w:sz w:val="28"/>
          <w:szCs w:val="28"/>
          <w:rtl/>
        </w:rPr>
        <w:t>(بآلاف الفرنكات السويسرية)</w:t>
      </w:r>
    </w:p>
    <w:p w:rsidR="006715D6" w:rsidRPr="00977A67" w:rsidRDefault="006715D6" w:rsidP="006715D6">
      <w:pPr>
        <w:bidi/>
        <w:spacing w:after="240"/>
        <w:ind w:left="720"/>
        <w:jc w:val="center"/>
        <w:rPr>
          <w:rFonts w:ascii="Arabic Typesetting" w:hAnsi="Arabic Typesetting" w:cs="Arabic Typesetting"/>
          <w:sz w:val="36"/>
          <w:szCs w:val="36"/>
          <w:rtl/>
        </w:rPr>
      </w:pPr>
      <w:r w:rsidRPr="00977A67">
        <w:rPr>
          <w:rFonts w:hint="cs"/>
          <w:noProof/>
          <w:szCs w:val="22"/>
          <w:rtl/>
        </w:rPr>
        <w:drawing>
          <wp:inline distT="0" distB="0" distL="0" distR="0" wp14:anchorId="0A06D551" wp14:editId="43324504">
            <wp:extent cx="9428672" cy="4494363"/>
            <wp:effectExtent l="0" t="0" r="127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432925" cy="4496390"/>
                    </a:xfrm>
                    <a:prstGeom prst="rect">
                      <a:avLst/>
                    </a:prstGeom>
                    <a:noFill/>
                    <a:ln>
                      <a:noFill/>
                    </a:ln>
                  </pic:spPr>
                </pic:pic>
              </a:graphicData>
            </a:graphic>
          </wp:inline>
        </w:drawing>
      </w:r>
    </w:p>
    <w:p w:rsidR="006715D6" w:rsidRPr="00977A67" w:rsidRDefault="006715D6" w:rsidP="006715D6">
      <w:pPr>
        <w:bidi/>
        <w:spacing w:after="240"/>
        <w:jc w:val="center"/>
        <w:rPr>
          <w:rFonts w:ascii="Arabic Typesetting" w:hAnsi="Arabic Typesetting" w:cs="Arabic Typesetting"/>
          <w:color w:val="C00000"/>
          <w:sz w:val="36"/>
          <w:szCs w:val="36"/>
        </w:rPr>
        <w:sectPr w:rsidR="006715D6" w:rsidRPr="00977A67" w:rsidSect="00741BC4">
          <w:headerReference w:type="first" r:id="rId79"/>
          <w:pgSz w:w="16840" w:h="11907" w:orient="landscape" w:code="9"/>
          <w:pgMar w:top="1134" w:right="567" w:bottom="1418" w:left="1418" w:header="510" w:footer="1021" w:gutter="0"/>
          <w:cols w:space="720"/>
          <w:titlePg/>
          <w:docGrid w:linePitch="299"/>
        </w:sectPr>
      </w:pPr>
    </w:p>
    <w:p w:rsidR="006715D6" w:rsidRPr="00CB74F8" w:rsidRDefault="006715D6" w:rsidP="006715D6">
      <w:pPr>
        <w:pStyle w:val="NormalParaAR"/>
        <w:keepNext/>
        <w:rPr>
          <w:b/>
          <w:bCs/>
          <w:color w:val="595959" w:themeColor="text1" w:themeTint="A6"/>
          <w:sz w:val="40"/>
          <w:szCs w:val="40"/>
          <w:rtl/>
        </w:rPr>
      </w:pPr>
      <w:bookmarkStart w:id="119" w:name="_Toc331497770"/>
      <w:bookmarkStart w:id="120" w:name="_Toc381088587"/>
      <w:bookmarkStart w:id="121" w:name="_Toc394905521"/>
      <w:bookmarkStart w:id="122" w:name="_Toc394911953"/>
      <w:bookmarkStart w:id="123" w:name="_Toc394914284"/>
      <w:r w:rsidRPr="00CB74F8">
        <w:rPr>
          <w:rFonts w:hint="cs"/>
          <w:b/>
          <w:bCs/>
          <w:color w:val="595959" w:themeColor="text1" w:themeTint="A6"/>
          <w:sz w:val="40"/>
          <w:szCs w:val="40"/>
          <w:rtl/>
        </w:rPr>
        <w:t>الاشتراكات وصناديق رؤوس الأموال العاملة</w:t>
      </w:r>
      <w:bookmarkEnd w:id="119"/>
      <w:bookmarkEnd w:id="120"/>
      <w:bookmarkEnd w:id="121"/>
      <w:bookmarkEnd w:id="122"/>
      <w:bookmarkEnd w:id="123"/>
    </w:p>
    <w:p w:rsidR="006715D6" w:rsidRPr="00977A67" w:rsidRDefault="006715D6" w:rsidP="006715D6">
      <w:pPr>
        <w:pStyle w:val="Heading2"/>
        <w:tabs>
          <w:tab w:val="right" w:pos="1133"/>
        </w:tabs>
        <w:bidi/>
        <w:rPr>
          <w:rFonts w:ascii="Arabic Typesetting" w:hAnsi="Arabic Typesetting" w:cs="Arabic Typesetting"/>
          <w:i/>
          <w:iCs w:val="0"/>
          <w:sz w:val="36"/>
          <w:szCs w:val="36"/>
          <w:rtl/>
        </w:rPr>
      </w:pPr>
      <w:bookmarkStart w:id="124" w:name="_Toc331497771"/>
      <w:bookmarkStart w:id="125" w:name="_Toc381088588"/>
      <w:bookmarkStart w:id="126" w:name="_Toc394905522"/>
      <w:bookmarkStart w:id="127" w:name="_Toc394914285"/>
      <w:r>
        <w:rPr>
          <w:rFonts w:ascii="Arabic Typesetting" w:hAnsi="Arabic Typesetting" w:cs="Arabic Typesetting" w:hint="cs"/>
          <w:i/>
          <w:iCs w:val="0"/>
          <w:sz w:val="36"/>
          <w:szCs w:val="36"/>
          <w:rtl/>
        </w:rPr>
        <w:t xml:space="preserve">الجدول 8 </w:t>
      </w:r>
      <w:r w:rsidRPr="00977A67">
        <w:rPr>
          <w:rFonts w:ascii="Arabic Typesetting" w:hAnsi="Arabic Typesetting" w:cs="Arabic Typesetting" w:hint="cs"/>
          <w:i/>
          <w:iCs w:val="0"/>
          <w:sz w:val="36"/>
          <w:szCs w:val="36"/>
          <w:rtl/>
        </w:rPr>
        <w:tab/>
        <w:t>والجدول 8(ثانيا)</w:t>
      </w:r>
      <w:r>
        <w:rPr>
          <w:rFonts w:ascii="Arabic Typesetting" w:hAnsi="Arabic Typesetting" w:cs="Arabic Typesetting" w:hint="cs"/>
          <w:i/>
          <w:iCs w:val="0"/>
          <w:sz w:val="36"/>
          <w:szCs w:val="36"/>
          <w:rtl/>
        </w:rPr>
        <w:t xml:space="preserve"> </w:t>
      </w:r>
      <w:r w:rsidRPr="00977A67">
        <w:rPr>
          <w:rFonts w:ascii="Arabic Typesetting" w:hAnsi="Arabic Typesetting" w:cs="Arabic Typesetting" w:hint="cs"/>
          <w:i/>
          <w:iCs w:val="0"/>
          <w:sz w:val="36"/>
          <w:szCs w:val="36"/>
          <w:rtl/>
        </w:rPr>
        <w:t>الاشتراكات وفقا للنظام أحادي الاشتراكات</w:t>
      </w:r>
      <w:bookmarkEnd w:id="124"/>
      <w:bookmarkEnd w:id="125"/>
      <w:bookmarkEnd w:id="126"/>
      <w:bookmarkEnd w:id="127"/>
    </w:p>
    <w:p w:rsidR="006715D6" w:rsidRPr="00977A67" w:rsidRDefault="006715D6" w:rsidP="006715D6">
      <w:pPr>
        <w:bidi/>
        <w:spacing w:after="240" w:line="360" w:lineRule="exact"/>
        <w:rPr>
          <w:rFonts w:ascii="Arabic Typesetting" w:hAnsi="Arabic Typesetting" w:cs="Arabic Typesetting"/>
          <w:i/>
          <w:iCs/>
          <w:sz w:val="36"/>
          <w:szCs w:val="36"/>
          <w:rtl/>
        </w:rPr>
      </w:pPr>
      <w:r w:rsidRPr="00977A67">
        <w:rPr>
          <w:rFonts w:ascii="Arabic Typesetting" w:hAnsi="Arabic Typesetting" w:cs="Arabic Typesetting" w:hint="cs"/>
          <w:i/>
          <w:iCs/>
          <w:sz w:val="36"/>
          <w:szCs w:val="36"/>
          <w:rtl/>
        </w:rPr>
        <w:t>أسس تحديد الاشتراكات</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تحدد اشتراكات كل دولة عضو بناء على قرارات اتخذها في سنة 2003 كل من مؤتمر الويبو والجمعيات المختصة لبعض الاتحادات التي تديرها الويبو فيما يتعلق بالنظام أحادي الاشتراكات (الفقرتان 166 و167 من الوثيقة </w:t>
      </w:r>
      <w:r w:rsidRPr="00977A67">
        <w:rPr>
          <w:rFonts w:ascii="Arabic Typesetting" w:hAnsi="Arabic Typesetting" w:cs="Arabic Typesetting"/>
          <w:sz w:val="36"/>
          <w:szCs w:val="36"/>
        </w:rPr>
        <w:t>A/39/15</w:t>
      </w:r>
      <w:r w:rsidRPr="00977A67">
        <w:rPr>
          <w:rFonts w:ascii="Arabic Typesetting" w:hAnsi="Arabic Typesetting" w:cs="Arabic Typesetting" w:hint="cs"/>
          <w:sz w:val="36"/>
          <w:szCs w:val="36"/>
          <w:rtl/>
        </w:rPr>
        <w:t>).</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تحديد الاشتراكات</w:t>
      </w:r>
    </w:p>
    <w:p w:rsidR="006715D6"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وافقت جمعيات الدول الأعضاء في الويبو والاتحادات التي تديرها الويبو في 5 أكتوبر 2011 على مبالغ الاشتراكات للثنائية</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xml:space="preserve">2012/13 (الفقرة 207 من الوثيقة </w:t>
      </w:r>
      <w:r w:rsidRPr="00977A67">
        <w:rPr>
          <w:rFonts w:ascii="Arabic Typesetting" w:hAnsi="Arabic Typesetting" w:cs="Arabic Typesetting"/>
          <w:sz w:val="36"/>
          <w:szCs w:val="36"/>
        </w:rPr>
        <w:t>A/49/18</w:t>
      </w:r>
      <w:r w:rsidRPr="00977A67">
        <w:rPr>
          <w:rFonts w:ascii="Arabic Typesetting" w:hAnsi="Arabic Typesetting" w:cs="Arabic Typesetting" w:hint="cs"/>
          <w:sz w:val="36"/>
          <w:szCs w:val="36"/>
          <w:rtl/>
        </w:rPr>
        <w:t>).</w:t>
      </w:r>
    </w:p>
    <w:p w:rsidR="006715D6" w:rsidRDefault="006715D6" w:rsidP="006715D6">
      <w:pPr>
        <w:bidi/>
        <w:spacing w:after="240"/>
        <w:rPr>
          <w:rFonts w:ascii="Arabic Typesetting" w:hAnsi="Arabic Typesetting" w:cs="Arabic Typesetting"/>
          <w:sz w:val="36"/>
          <w:szCs w:val="36"/>
          <w:rtl/>
        </w:rPr>
      </w:pPr>
      <w:r w:rsidRPr="00F51055">
        <w:rPr>
          <w:noProof/>
          <w:szCs w:val="22"/>
          <w:rtl/>
        </w:rPr>
        <w:drawing>
          <wp:inline distT="0" distB="0" distL="0" distR="0" wp14:anchorId="7A8E73F4" wp14:editId="46035F1C">
            <wp:extent cx="5940425" cy="3493269"/>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0425" cy="3493269"/>
                    </a:xfrm>
                    <a:prstGeom prst="rect">
                      <a:avLst/>
                    </a:prstGeom>
                    <a:noFill/>
                    <a:ln>
                      <a:noFill/>
                    </a:ln>
                  </pic:spPr>
                </pic:pic>
              </a:graphicData>
            </a:graphic>
          </wp:inline>
        </w:drawing>
      </w:r>
    </w:p>
    <w:p w:rsidR="006715D6" w:rsidRPr="00977A67" w:rsidRDefault="006715D6" w:rsidP="006715D6">
      <w:pPr>
        <w:bidi/>
        <w:spacing w:after="240"/>
        <w:rPr>
          <w:rFonts w:ascii="Arabic Typesetting" w:hAnsi="Arabic Typesetting" w:cs="Arabic Typesetting"/>
          <w:sz w:val="36"/>
          <w:szCs w:val="36"/>
          <w:rtl/>
        </w:rPr>
      </w:pPr>
      <w:r w:rsidRPr="00045A84">
        <w:rPr>
          <w:noProof/>
          <w:szCs w:val="22"/>
          <w:rtl/>
        </w:rPr>
        <w:drawing>
          <wp:inline distT="0" distB="0" distL="0" distR="0" wp14:anchorId="0A649E99" wp14:editId="51251CDC">
            <wp:extent cx="5940425" cy="2549899"/>
            <wp:effectExtent l="0" t="0" r="317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0425" cy="2549899"/>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Pr>
      </w:pPr>
      <w:r w:rsidRPr="00D65782">
        <w:rPr>
          <w:noProof/>
          <w:szCs w:val="22"/>
          <w:rtl/>
        </w:rPr>
        <w:drawing>
          <wp:inline distT="0" distB="0" distL="0" distR="0" wp14:anchorId="17D1167D" wp14:editId="4B5888D5">
            <wp:extent cx="5940425" cy="8873276"/>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0425" cy="8873276"/>
                    </a:xfrm>
                    <a:prstGeom prst="rect">
                      <a:avLst/>
                    </a:prstGeom>
                    <a:noFill/>
                    <a:ln>
                      <a:noFill/>
                    </a:ln>
                  </pic:spPr>
                </pic:pic>
              </a:graphicData>
            </a:graphic>
          </wp:inline>
        </w:drawing>
      </w:r>
    </w:p>
    <w:p w:rsidR="006715D6" w:rsidRPr="00977A67" w:rsidRDefault="006715D6" w:rsidP="006715D6">
      <w:pPr>
        <w:bidi/>
        <w:rPr>
          <w:rFonts w:ascii="Arabic Typesetting" w:hAnsi="Arabic Typesetting" w:cs="Arabic Typesetting"/>
          <w:sz w:val="36"/>
          <w:szCs w:val="36"/>
        </w:rPr>
      </w:pPr>
      <w:r w:rsidRPr="00D65782">
        <w:rPr>
          <w:noProof/>
          <w:szCs w:val="22"/>
          <w:rtl/>
        </w:rPr>
        <w:drawing>
          <wp:inline distT="0" distB="0" distL="0" distR="0" wp14:anchorId="1E8641E7" wp14:editId="1F9AEB53">
            <wp:extent cx="5940425" cy="4520701"/>
            <wp:effectExtent l="0" t="0" r="317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425" cy="4520701"/>
                    </a:xfrm>
                    <a:prstGeom prst="rect">
                      <a:avLst/>
                    </a:prstGeom>
                    <a:noFill/>
                    <a:ln>
                      <a:noFill/>
                    </a:ln>
                  </pic:spPr>
                </pic:pic>
              </a:graphicData>
            </a:graphic>
          </wp:inline>
        </w:drawing>
      </w:r>
    </w:p>
    <w:p w:rsidR="006715D6" w:rsidRPr="00977A67" w:rsidRDefault="006715D6" w:rsidP="006715D6">
      <w:pPr>
        <w:pStyle w:val="Heading2"/>
        <w:tabs>
          <w:tab w:val="right" w:pos="1133"/>
        </w:tabs>
        <w:bidi/>
        <w:rPr>
          <w:rFonts w:ascii="Arabic Typesetting" w:hAnsi="Arabic Typesetting" w:cs="Arabic Typesetting"/>
          <w:i/>
          <w:iCs w:val="0"/>
          <w:sz w:val="36"/>
          <w:szCs w:val="36"/>
          <w:rtl/>
        </w:rPr>
      </w:pPr>
      <w:r w:rsidRPr="00977A67">
        <w:rPr>
          <w:rFonts w:ascii="Arabic Typesetting" w:hAnsi="Arabic Typesetting" w:cs="Arabic Typesetting"/>
          <w:i/>
          <w:iCs w:val="0"/>
          <w:sz w:val="36"/>
          <w:szCs w:val="36"/>
        </w:rPr>
        <w:br w:type="page"/>
      </w:r>
      <w:bookmarkStart w:id="128" w:name="_Toc331497772"/>
      <w:bookmarkStart w:id="129" w:name="_Toc381088589"/>
      <w:bookmarkStart w:id="130" w:name="_Toc394905523"/>
      <w:bookmarkStart w:id="131" w:name="_Toc394914286"/>
      <w:r w:rsidRPr="00977A67">
        <w:rPr>
          <w:rFonts w:ascii="Arabic Typesetting" w:hAnsi="Arabic Typesetting" w:cs="Arabic Typesetting" w:hint="cs"/>
          <w:i/>
          <w:iCs w:val="0"/>
          <w:sz w:val="36"/>
          <w:szCs w:val="36"/>
          <w:rtl/>
        </w:rPr>
        <w:t>الجدول 9</w:t>
      </w:r>
      <w:r w:rsidRPr="00977A67">
        <w:rPr>
          <w:rFonts w:ascii="Arabic Typesetting" w:hAnsi="Arabic Typesetting" w:cs="Arabic Typesetting" w:hint="cs"/>
          <w:i/>
          <w:iCs w:val="0"/>
          <w:sz w:val="36"/>
          <w:szCs w:val="36"/>
          <w:rtl/>
        </w:rPr>
        <w:tab/>
      </w:r>
      <w:r w:rsidRPr="00977A67">
        <w:rPr>
          <w:rFonts w:ascii="Arabic Typesetting" w:hAnsi="Arabic Typesetting" w:cs="Arabic Typesetting" w:hint="cs"/>
          <w:i/>
          <w:iCs w:val="0"/>
          <w:sz w:val="36"/>
          <w:szCs w:val="36"/>
          <w:rtl/>
        </w:rPr>
        <w:tab/>
        <w:t>الاشتراكات غير المسددة في 31 ديسمبر 2013 والاشتراكات المتأخرة للبلدان الأقل نموا التي لديها حساب خاص (مجمّد)</w:t>
      </w:r>
      <w:bookmarkEnd w:id="128"/>
      <w:bookmarkEnd w:id="129"/>
      <w:bookmarkEnd w:id="130"/>
      <w:bookmarkEnd w:id="131"/>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15428FAB" wp14:editId="358E55A9">
            <wp:extent cx="5917721" cy="798806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17721" cy="798806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3078F343" wp14:editId="2B191407">
            <wp:extent cx="5911702" cy="83445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17565" cy="8352835"/>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7C221D57" wp14:editId="43CC99C7">
            <wp:extent cx="5917565" cy="903160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17565" cy="9031605"/>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1B3434D9" wp14:editId="3CDC1C3C">
            <wp:extent cx="5917565" cy="835025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17565" cy="835025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6333F480" wp14:editId="5B37B002">
            <wp:extent cx="5917565" cy="8781415"/>
            <wp:effectExtent l="0" t="0" r="698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17565" cy="8781415"/>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026830F2" wp14:editId="722A5CD2">
            <wp:extent cx="5917565" cy="394208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17565" cy="394208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5E37EB3C" wp14:editId="224852D0">
            <wp:extent cx="5917565" cy="3407410"/>
            <wp:effectExtent l="0" t="0" r="698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17565" cy="3407410"/>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Fonts w:ascii="Arabic Typesetting" w:hAnsi="Arabic Typesetting" w:cs="Arabic Typesetting"/>
          <w:sz w:val="36"/>
          <w:szCs w:val="36"/>
          <w:rtl/>
        </w:rPr>
        <w:br w:type="page"/>
      </w:r>
    </w:p>
    <w:p w:rsidR="006715D6" w:rsidRPr="00977A67" w:rsidRDefault="006715D6" w:rsidP="006715D6">
      <w:pPr>
        <w:pStyle w:val="Heading2"/>
        <w:tabs>
          <w:tab w:val="right" w:pos="1133"/>
        </w:tabs>
        <w:bidi/>
        <w:rPr>
          <w:rFonts w:ascii="Arabic Typesetting" w:hAnsi="Arabic Typesetting" w:cs="Arabic Typesetting"/>
          <w:i/>
          <w:iCs w:val="0"/>
          <w:sz w:val="36"/>
          <w:szCs w:val="36"/>
          <w:rtl/>
        </w:rPr>
      </w:pPr>
      <w:bookmarkStart w:id="132" w:name="_Toc394905524"/>
      <w:bookmarkStart w:id="133" w:name="_Toc394914287"/>
      <w:r w:rsidRPr="00977A67">
        <w:rPr>
          <w:rFonts w:ascii="Arabic Typesetting" w:hAnsi="Arabic Typesetting" w:cs="Arabic Typesetting" w:hint="cs"/>
          <w:i/>
          <w:iCs w:val="0"/>
          <w:sz w:val="36"/>
          <w:szCs w:val="36"/>
          <w:rtl/>
        </w:rPr>
        <w:t>الجدول 10</w:t>
      </w:r>
      <w:r w:rsidRPr="00977A67">
        <w:rPr>
          <w:rFonts w:ascii="Arabic Typesetting" w:hAnsi="Arabic Typesetting" w:cs="Arabic Typesetting" w:hint="cs"/>
          <w:i/>
          <w:iCs w:val="0"/>
          <w:sz w:val="36"/>
          <w:szCs w:val="36"/>
          <w:rtl/>
        </w:rPr>
        <w:tab/>
      </w:r>
      <w:r w:rsidRPr="00977A67">
        <w:rPr>
          <w:rFonts w:ascii="Arabic Typesetting" w:hAnsi="Arabic Typesetting" w:cs="Arabic Typesetting" w:hint="cs"/>
          <w:i/>
          <w:iCs w:val="0"/>
          <w:sz w:val="36"/>
          <w:szCs w:val="36"/>
          <w:rtl/>
        </w:rPr>
        <w:tab/>
      </w:r>
      <w:r w:rsidRPr="00977A67">
        <w:rPr>
          <w:rFonts w:ascii="Arabic Typesetting" w:hAnsi="Arabic Typesetting" w:cs="Arabic Typesetting"/>
          <w:i/>
          <w:iCs w:val="0"/>
          <w:sz w:val="36"/>
          <w:szCs w:val="36"/>
          <w:rtl/>
        </w:rPr>
        <w:t>الاشتراكات المستلمة قبل استحقاقها</w:t>
      </w:r>
      <w:bookmarkEnd w:id="132"/>
      <w:bookmarkEnd w:id="133"/>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4B9DAC43" wp14:editId="7AE650BE">
            <wp:extent cx="5796915" cy="519303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96915" cy="5193030"/>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Fonts w:ascii="Arabic Typesetting" w:hAnsi="Arabic Typesetting" w:cs="Arabic Typesetting"/>
          <w:sz w:val="36"/>
          <w:szCs w:val="36"/>
          <w:rtl/>
        </w:rPr>
        <w:br w:type="page"/>
      </w:r>
    </w:p>
    <w:p w:rsidR="006715D6" w:rsidRPr="00977A67" w:rsidRDefault="006715D6" w:rsidP="006715D6">
      <w:pPr>
        <w:pStyle w:val="Heading2"/>
        <w:tabs>
          <w:tab w:val="right" w:pos="1133"/>
        </w:tabs>
        <w:bidi/>
        <w:rPr>
          <w:rFonts w:ascii="Arabic Typesetting" w:hAnsi="Arabic Typesetting" w:cs="Arabic Typesetting"/>
          <w:i/>
          <w:iCs w:val="0"/>
          <w:sz w:val="36"/>
          <w:szCs w:val="36"/>
          <w:rtl/>
        </w:rPr>
      </w:pPr>
      <w:bookmarkStart w:id="134" w:name="_Toc331497774"/>
      <w:bookmarkStart w:id="135" w:name="_Toc381088591"/>
      <w:bookmarkStart w:id="136" w:name="_Toc394905525"/>
      <w:bookmarkStart w:id="137" w:name="_Toc394914288"/>
      <w:r w:rsidRPr="00977A67">
        <w:rPr>
          <w:rFonts w:ascii="Arabic Typesetting" w:hAnsi="Arabic Typesetting" w:cs="Arabic Typesetting" w:hint="cs"/>
          <w:i/>
          <w:iCs w:val="0"/>
          <w:sz w:val="36"/>
          <w:szCs w:val="36"/>
          <w:rtl/>
        </w:rPr>
        <w:t>الجدول 11</w:t>
      </w:r>
      <w:r w:rsidRPr="00977A67">
        <w:rPr>
          <w:rFonts w:ascii="Arabic Typesetting" w:hAnsi="Arabic Typesetting" w:cs="Arabic Typesetting" w:hint="cs"/>
          <w:i/>
          <w:iCs w:val="0"/>
          <w:sz w:val="36"/>
          <w:szCs w:val="36"/>
          <w:rtl/>
        </w:rPr>
        <w:tab/>
      </w:r>
      <w:r w:rsidRPr="00977A67">
        <w:rPr>
          <w:rFonts w:ascii="Arabic Typesetting" w:hAnsi="Arabic Typesetting" w:cs="Arabic Typesetting" w:hint="cs"/>
          <w:i/>
          <w:iCs w:val="0"/>
          <w:sz w:val="36"/>
          <w:szCs w:val="36"/>
          <w:rtl/>
        </w:rPr>
        <w:tab/>
        <w:t xml:space="preserve">صناديق رؤوس الأموال العاملة في 31 ديسمبر </w:t>
      </w:r>
      <w:bookmarkEnd w:id="134"/>
      <w:bookmarkEnd w:id="135"/>
      <w:r w:rsidRPr="00977A67">
        <w:rPr>
          <w:rFonts w:ascii="Arabic Typesetting" w:hAnsi="Arabic Typesetting" w:cs="Arabic Typesetting" w:hint="cs"/>
          <w:i/>
          <w:iCs w:val="0"/>
          <w:sz w:val="36"/>
          <w:szCs w:val="36"/>
          <w:rtl/>
        </w:rPr>
        <w:t>2013</w:t>
      </w:r>
      <w:bookmarkEnd w:id="136"/>
      <w:bookmarkEnd w:id="137"/>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70B47105" wp14:editId="5560D183">
            <wp:extent cx="5814060" cy="86956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14060" cy="869569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7E5282CD" wp14:editId="3E70E81C">
            <wp:extent cx="5814060" cy="90233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14060" cy="902335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0C855AC2" wp14:editId="72F77D1F">
            <wp:extent cx="5814197" cy="88679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14060" cy="8867746"/>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1B87F464" wp14:editId="49B769FB">
            <wp:extent cx="5814060" cy="902335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14060" cy="9023350"/>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1C69B13B" wp14:editId="1DC0DF41">
            <wp:extent cx="5810250" cy="8991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14060" cy="8997496"/>
                    </a:xfrm>
                    <a:prstGeom prst="rect">
                      <a:avLst/>
                    </a:prstGeom>
                    <a:noFill/>
                    <a:ln>
                      <a:noFill/>
                    </a:ln>
                  </pic:spPr>
                </pic:pic>
              </a:graphicData>
            </a:graphic>
          </wp:inline>
        </w:drawing>
      </w:r>
    </w:p>
    <w:p w:rsidR="006715D6" w:rsidRPr="00977A67" w:rsidRDefault="006715D6" w:rsidP="006715D6">
      <w:pPr>
        <w:bidi/>
        <w:spacing w:after="240"/>
        <w:ind w:left="-1"/>
        <w:jc w:val="center"/>
        <w:rPr>
          <w:rFonts w:ascii="Arabic Typesetting" w:hAnsi="Arabic Typesetting" w:cs="Arabic Typesetting"/>
          <w:sz w:val="36"/>
          <w:szCs w:val="36"/>
          <w:rtl/>
        </w:rPr>
      </w:pPr>
      <w:r w:rsidRPr="00977A67">
        <w:rPr>
          <w:noProof/>
          <w:szCs w:val="22"/>
          <w:rtl/>
        </w:rPr>
        <w:drawing>
          <wp:inline distT="0" distB="0" distL="0" distR="0" wp14:anchorId="0B418AA5" wp14:editId="6C70A119">
            <wp:extent cx="5814060" cy="80486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14060" cy="8048625"/>
                    </a:xfrm>
                    <a:prstGeom prst="rect">
                      <a:avLst/>
                    </a:prstGeom>
                    <a:noFill/>
                    <a:ln>
                      <a:noFill/>
                    </a:ln>
                  </pic:spPr>
                </pic:pic>
              </a:graphicData>
            </a:graphic>
          </wp:inline>
        </w:drawing>
      </w:r>
    </w:p>
    <w:p w:rsidR="006715D6" w:rsidRPr="00977A67" w:rsidRDefault="006715D6" w:rsidP="006715D6">
      <w:pPr>
        <w:rPr>
          <w:rFonts w:ascii="Arabic Typesetting" w:hAnsi="Arabic Typesetting" w:cs="Arabic Typesetting"/>
          <w:sz w:val="36"/>
          <w:szCs w:val="36"/>
          <w:rtl/>
        </w:rPr>
      </w:pPr>
      <w:r w:rsidRPr="00977A67">
        <w:rPr>
          <w:rFonts w:ascii="Arabic Typesetting" w:hAnsi="Arabic Typesetting" w:cs="Arabic Typesetting"/>
          <w:sz w:val="36"/>
          <w:szCs w:val="36"/>
          <w:rtl/>
        </w:rPr>
        <w:br w:type="page"/>
      </w:r>
    </w:p>
    <w:p w:rsidR="006715D6" w:rsidRPr="00977A67" w:rsidRDefault="006715D6" w:rsidP="006715D6">
      <w:pPr>
        <w:keepNext/>
        <w:bidi/>
        <w:spacing w:after="240" w:line="360" w:lineRule="exact"/>
        <w:rPr>
          <w:rFonts w:ascii="Arabic Typesetting" w:hAnsi="Arabic Typesetting" w:cs="Arabic Typesetting"/>
          <w:i/>
          <w:iCs/>
          <w:sz w:val="36"/>
          <w:szCs w:val="36"/>
          <w:rtl/>
        </w:rPr>
      </w:pPr>
      <w:r w:rsidRPr="00977A67">
        <w:rPr>
          <w:rFonts w:ascii="Arabic Typesetting" w:hAnsi="Arabic Typesetting" w:cs="Arabic Typesetting"/>
          <w:i/>
          <w:iCs/>
          <w:sz w:val="36"/>
          <w:szCs w:val="36"/>
          <w:rtl/>
        </w:rPr>
        <w:t>إجمالي صناديق رؤوس الأموال العاملة</w:t>
      </w:r>
    </w:p>
    <w:p w:rsidR="006715D6" w:rsidRPr="00977A67" w:rsidRDefault="006715D6" w:rsidP="006715D6">
      <w:pPr>
        <w:bidi/>
        <w:spacing w:after="240"/>
        <w:ind w:left="-1"/>
        <w:jc w:val="center"/>
        <w:rPr>
          <w:rFonts w:ascii="Arabic Typesetting" w:hAnsi="Arabic Typesetting" w:cs="Arabic Typesetting"/>
          <w:sz w:val="36"/>
          <w:szCs w:val="36"/>
        </w:rPr>
      </w:pPr>
      <w:r w:rsidRPr="007953A9">
        <w:rPr>
          <w:noProof/>
          <w:szCs w:val="22"/>
          <w:rtl/>
        </w:rPr>
        <w:drawing>
          <wp:inline distT="0" distB="0" distL="0" distR="0" wp14:anchorId="37E12F06" wp14:editId="54D5C515">
            <wp:extent cx="5814060" cy="49517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14060" cy="4951730"/>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b/>
          <w:bCs/>
          <w:sz w:val="36"/>
          <w:szCs w:val="36"/>
          <w:rtl/>
        </w:rPr>
      </w:pPr>
      <w:r w:rsidRPr="00977A67">
        <w:rPr>
          <w:rFonts w:ascii="Arabic Typesetting" w:hAnsi="Arabic Typesetting" w:cs="Arabic Typesetting"/>
          <w:b/>
          <w:bCs/>
          <w:sz w:val="36"/>
          <w:szCs w:val="36"/>
          <w:rtl/>
        </w:rPr>
        <w:br w:type="page"/>
      </w:r>
    </w:p>
    <w:p w:rsidR="006715D6" w:rsidRPr="00977A67" w:rsidRDefault="006715D6" w:rsidP="006715D6">
      <w:pPr>
        <w:pStyle w:val="Heading1AR"/>
        <w:spacing w:before="0"/>
        <w:outlineLvl w:val="0"/>
        <w:rPr>
          <w:rtl/>
        </w:rPr>
      </w:pPr>
      <w:bookmarkStart w:id="138" w:name="_Toc394905526"/>
      <w:bookmarkStart w:id="139" w:name="_Toc394911954"/>
      <w:bookmarkStart w:id="140" w:name="_Toc394914289"/>
      <w:bookmarkStart w:id="141" w:name="_Toc331497776"/>
      <w:bookmarkStart w:id="142" w:name="_Toc381088593"/>
      <w:r w:rsidRPr="00977A67">
        <w:rPr>
          <w:rtl/>
        </w:rPr>
        <w:t>‏توزيع رسوم مدريد ولاهاي</w:t>
      </w:r>
      <w:bookmarkEnd w:id="138"/>
      <w:bookmarkEnd w:id="139"/>
      <w:bookmarkEnd w:id="140"/>
    </w:p>
    <w:p w:rsidR="006715D6" w:rsidRPr="00977A67" w:rsidRDefault="006715D6" w:rsidP="006715D6">
      <w:pPr>
        <w:pStyle w:val="Heading2"/>
        <w:bidi/>
        <w:rPr>
          <w:rFonts w:ascii="Arabic Typesetting" w:hAnsi="Arabic Typesetting" w:cs="Arabic Typesetting"/>
          <w:i/>
          <w:iCs w:val="0"/>
          <w:sz w:val="36"/>
          <w:szCs w:val="36"/>
          <w:rtl/>
        </w:rPr>
      </w:pPr>
      <w:bookmarkStart w:id="143" w:name="_Toc394905527"/>
      <w:bookmarkStart w:id="144" w:name="_Toc394914290"/>
      <w:r w:rsidRPr="00977A67">
        <w:rPr>
          <w:rFonts w:ascii="Arabic Typesetting" w:hAnsi="Arabic Typesetting" w:cs="Arabic Typesetting"/>
          <w:i/>
          <w:iCs w:val="0"/>
          <w:sz w:val="36"/>
          <w:szCs w:val="36"/>
          <w:rtl/>
        </w:rPr>
        <w:t xml:space="preserve">اتحاد مدريد - الرسوم الإضافية - سنة </w:t>
      </w:r>
      <w:bookmarkEnd w:id="141"/>
      <w:bookmarkEnd w:id="142"/>
      <w:r w:rsidRPr="00977A67">
        <w:rPr>
          <w:rFonts w:ascii="Arabic Typesetting" w:hAnsi="Arabic Typesetting" w:cs="Arabic Typesetting" w:hint="cs"/>
          <w:i/>
          <w:iCs w:val="0"/>
          <w:sz w:val="36"/>
          <w:szCs w:val="36"/>
          <w:rtl/>
        </w:rPr>
        <w:t>2012</w:t>
      </w:r>
      <w:bookmarkEnd w:id="143"/>
      <w:bookmarkEnd w:id="144"/>
    </w:p>
    <w:p w:rsidR="006715D6" w:rsidRPr="00977A67" w:rsidRDefault="006715D6" w:rsidP="006715D6">
      <w:pPr>
        <w:keepNext/>
        <w:bidi/>
        <w:spacing w:line="340" w:lineRule="exact"/>
        <w:jc w:val="both"/>
        <w:rPr>
          <w:rFonts w:ascii="Arabic Typesetting" w:hAnsi="Arabic Typesetting" w:cs="Arabic Typesetting"/>
          <w:b/>
          <w:bCs/>
          <w:sz w:val="36"/>
          <w:szCs w:val="36"/>
          <w:rtl/>
        </w:rPr>
      </w:pPr>
      <w:r>
        <w:rPr>
          <w:rFonts w:ascii="Arabic Typesetting" w:hAnsi="Arabic Typesetting" w:cs="Arabic Typesetting" w:hint="cs"/>
          <w:b/>
          <w:bCs/>
          <w:sz w:val="36"/>
          <w:szCs w:val="36"/>
          <w:rtl/>
        </w:rPr>
        <w:t>الرسوم المحصلة</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2012</w:t>
      </w:r>
      <w:r w:rsidRPr="00977A67">
        <w:rPr>
          <w:rFonts w:ascii="Arabic Typesetting" w:hAnsi="Arabic Typesetting" w:cs="Arabic Typesetting"/>
          <w:sz w:val="36"/>
          <w:szCs w:val="36"/>
          <w:rtl/>
        </w:rPr>
        <w:t xml:space="preserve"> على رسوم إضافية بلغ مجموعها </w:t>
      </w:r>
      <w:r w:rsidRPr="00977A67">
        <w:rPr>
          <w:rFonts w:ascii="Arabic Typesetting" w:hAnsi="Arabic Typesetting" w:cs="Arabic Typesetting" w:hint="cs"/>
          <w:sz w:val="36"/>
          <w:szCs w:val="36"/>
          <w:rtl/>
        </w:rPr>
        <w:t>900 240 3</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التسجيلات والتجديدات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 8(2)(ب) من اتفاق مدريد والمادة 8(2)"2" من بروتوكول اتفاق مدريد].</w:t>
      </w:r>
    </w:p>
    <w:p w:rsidR="006715D6" w:rsidRPr="00977A67" w:rsidRDefault="006715D6" w:rsidP="006715D6">
      <w:pPr>
        <w:keepNext/>
        <w:bidi/>
        <w:spacing w:line="34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تنص القاعدة 37 من اللائحة التنفيذية المشتركة بين اتفاق مدريد بشأن التسجيل الدولي للعلامات وبروتوكوله على أن المعامل المشار إليه في المادتين 8(5) و8(6) من الاتفاق وبروتوكوله، والذي تستفيد منه الدول الأطراف في الاتفاق أو في البروتوكول، حسب الحالة، لأغراض توزيع الرسوم الإضافية والرسوم التكميلية، هو كالآتي:</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t>بالنسبة إلى الأطراف المتعاقدة التي لا تجري أيًّا من الفحوص المذكورة أدناه؛</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t>بالنسبة إلى الأطراف المتعاقدة التي تفحص أسباب الرفض المطلقة فقط؛</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t>بالنسبة إلى الأطراف المتعاقدة التي تجري فحصا على الأسبقية أيضا</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بناء على اعتراض الغير؛</w:t>
      </w:r>
    </w:p>
    <w:p w:rsidR="006715D6" w:rsidRPr="00977A67" w:rsidRDefault="006715D6" w:rsidP="006715D6">
      <w:pPr>
        <w:tabs>
          <w:tab w:val="left" w:pos="1132"/>
        </w:tabs>
        <w:bidi/>
        <w:spacing w:line="340" w:lineRule="exact"/>
        <w:ind w:left="567"/>
        <w:jc w:val="both"/>
        <w:rPr>
          <w:rFonts w:ascii="Arabic Typesetting" w:hAnsi="Arabic Typesetting" w:cs="Arabic Typesetting"/>
          <w:spacing w:val="-6"/>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t>بالنسبة إلى الأطراف المتعاقدة التي تجري أيضا ذلك الفحص تلقائيا ودون أي طلب</w:t>
      </w:r>
      <w:r w:rsidRPr="00977A67">
        <w:rPr>
          <w:rFonts w:ascii="Arabic Typesetting" w:hAnsi="Arabic Typesetting" w:cs="Arabic Typesetting" w:hint="cs"/>
          <w:sz w:val="36"/>
          <w:szCs w:val="36"/>
          <w:rtl/>
        </w:rPr>
        <w:t>، و</w:t>
      </w:r>
      <w:r w:rsidRPr="00977A67">
        <w:rPr>
          <w:rFonts w:ascii="Arabic Typesetting" w:hAnsi="Arabic Typesetting" w:cs="Arabic Typesetting"/>
          <w:spacing w:val="-6"/>
          <w:sz w:val="36"/>
          <w:szCs w:val="36"/>
          <w:rtl/>
        </w:rPr>
        <w:t>النسبة أيضا إلى الأطراف المتعاقدة التي تجري بحوثا عن الأسبقية تلقائيا ودون أي طلب، مع بيان أهم الأسبقيات.</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أما عدد التعيينات الواردة في التسجيلات أو التجديدات التي حصلت لقاءها الويبو على رسم إضافي قدره </w:t>
      </w:r>
      <w:r w:rsidRPr="00977A67">
        <w:rPr>
          <w:rFonts w:ascii="Arabic Typesetting" w:hAnsi="Arabic Typesetting" w:cs="Arabic Typesetting" w:hint="cs"/>
          <w:sz w:val="36"/>
          <w:szCs w:val="36"/>
          <w:rtl/>
        </w:rPr>
        <w:t>100</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صنف من السلع والخدمات بعد الصنف الثالث، فقد كان كالآتي بالمعامل المبيّن أدناه</w:t>
      </w:r>
      <w:r w:rsidRPr="00977A67">
        <w:rPr>
          <w:rFonts w:ascii="Arabic Typesetting" w:hAnsi="Arabic Typesetting" w:cs="Arabic Typesetting" w:hint="cs"/>
          <w:sz w:val="36"/>
          <w:szCs w:val="36"/>
          <w:rtl/>
        </w:rPr>
        <w:t>:</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934</w:t>
      </w:r>
      <w:r w:rsidRPr="00977A67">
        <w:rPr>
          <w:rFonts w:ascii="Arabic Typesetting" w:hAnsi="Arabic Typesetting" w:cs="Arabic Typesetting"/>
          <w:sz w:val="36"/>
          <w:szCs w:val="36"/>
          <w:rtl/>
        </w:rPr>
        <w:tab/>
        <w:t xml:space="preserve">أنتيغوا </w:t>
      </w:r>
      <w:proofErr w:type="spellStart"/>
      <w:r w:rsidRPr="00977A67">
        <w:rPr>
          <w:rFonts w:ascii="Arabic Typesetting" w:hAnsi="Arabic Typesetting" w:cs="Arabic Typesetting"/>
          <w:sz w:val="36"/>
          <w:szCs w:val="36"/>
          <w:rtl/>
        </w:rPr>
        <w:t>وبربودا</w:t>
      </w:r>
      <w:proofErr w:type="spellEnd"/>
      <w:r w:rsidRPr="00977A67">
        <w:rPr>
          <w:rFonts w:ascii="Arabic Typesetting" w:hAnsi="Arabic Typesetting" w:cs="Arabic Typesetting" w:hint="cs"/>
          <w:sz w:val="36"/>
          <w:szCs w:val="36"/>
          <w:rtl/>
        </w:rPr>
        <w:t xml:space="preserve">، </w:t>
      </w:r>
      <w:proofErr w:type="spellStart"/>
      <w:r w:rsidRPr="00977A67">
        <w:rPr>
          <w:rFonts w:ascii="Arabic Typesetting" w:hAnsi="Arabic Typesetting" w:cs="Arabic Typesetting" w:hint="cs"/>
          <w:sz w:val="36"/>
          <w:szCs w:val="36"/>
          <w:rtl/>
        </w:rPr>
        <w:t>بونير</w:t>
      </w:r>
      <w:proofErr w:type="spellEnd"/>
      <w:r w:rsidRPr="00977A67">
        <w:rPr>
          <w:rFonts w:ascii="Arabic Typesetting" w:hAnsi="Arabic Typesetting" w:cs="Arabic Typesetting" w:hint="cs"/>
          <w:sz w:val="36"/>
          <w:szCs w:val="36"/>
          <w:rtl/>
        </w:rPr>
        <w:t xml:space="preserve">، سانت </w:t>
      </w:r>
      <w:proofErr w:type="spellStart"/>
      <w:r w:rsidRPr="00977A67">
        <w:rPr>
          <w:rFonts w:ascii="Arabic Typesetting" w:hAnsi="Arabic Typesetting" w:cs="Arabic Typesetting" w:hint="cs"/>
          <w:sz w:val="36"/>
          <w:szCs w:val="36"/>
          <w:rtl/>
        </w:rPr>
        <w:t>أوستاتيوس</w:t>
      </w:r>
      <w:proofErr w:type="spellEnd"/>
      <w:r w:rsidRPr="00977A67">
        <w:rPr>
          <w:rFonts w:ascii="Arabic Typesetting" w:hAnsi="Arabic Typesetting" w:cs="Arabic Typesetting" w:hint="cs"/>
          <w:sz w:val="36"/>
          <w:szCs w:val="36"/>
          <w:rtl/>
        </w:rPr>
        <w:t xml:space="preserve"> وسابا</w:t>
      </w:r>
      <w:r w:rsidRPr="00977A67">
        <w:rPr>
          <w:rFonts w:ascii="Arabic Typesetting" w:hAnsi="Arabic Typesetting" w:cs="Arabic Typesetting" w:hint="cs"/>
          <w:sz w:val="36"/>
          <w:szCs w:val="36"/>
          <w:vertAlign w:val="superscript"/>
          <w:rtl/>
        </w:rPr>
        <w:t xml:space="preserve">1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لختنشتاين</w:t>
      </w:r>
      <w:r w:rsidRPr="00977A67">
        <w:rPr>
          <w:rFonts w:ascii="Arabic Typesetting" w:hAnsi="Arabic Typesetting" w:cs="Arabic Typesetting" w:hint="cs"/>
          <w:sz w:val="36"/>
          <w:szCs w:val="36"/>
          <w:vertAlign w:val="superscript"/>
          <w:rtl/>
        </w:rPr>
        <w:t>2</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319 28</w:t>
      </w:r>
      <w:r w:rsidRPr="00977A67">
        <w:rPr>
          <w:rFonts w:ascii="Arabic Typesetting" w:hAnsi="Arabic Typesetting" w:cs="Arabic Typesetting"/>
          <w:sz w:val="36"/>
          <w:szCs w:val="36"/>
          <w:rtl/>
        </w:rPr>
        <w:tab/>
        <w:t>النمسا</w:t>
      </w:r>
      <w:r w:rsidRPr="00977A67">
        <w:rPr>
          <w:rFonts w:ascii="Arabic Typesetting" w:hAnsi="Arabic Typesetting" w:cs="Arabic Typesetting" w:hint="cs"/>
          <w:sz w:val="36"/>
          <w:szCs w:val="36"/>
          <w:vertAlign w:val="superscript"/>
          <w:rtl/>
        </w:rPr>
        <w:t>3</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إيطاليا</w:t>
      </w:r>
      <w:r w:rsidRPr="00977A67">
        <w:rPr>
          <w:rFonts w:ascii="Arabic Typesetting" w:hAnsi="Arabic Typesetting" w:cs="Arabic Typesetting" w:hint="cs"/>
          <w:sz w:val="36"/>
          <w:szCs w:val="36"/>
          <w:rtl/>
        </w:rPr>
        <w:t>، لختنشتاين</w:t>
      </w:r>
      <w:r w:rsidRPr="00977A67">
        <w:rPr>
          <w:rFonts w:ascii="Arabic Typesetting" w:hAnsi="Arabic Typesetting" w:cs="Arabic Typesetting" w:hint="cs"/>
          <w:sz w:val="36"/>
          <w:szCs w:val="36"/>
          <w:vertAlign w:val="superscript"/>
          <w:rtl/>
        </w:rPr>
        <w:t>4</w:t>
      </w:r>
      <w:r w:rsidRPr="00977A67">
        <w:rPr>
          <w:rFonts w:ascii="Arabic Typesetting" w:hAnsi="Arabic Typesetting" w:cs="Arabic Typesetting" w:hint="cs"/>
          <w:sz w:val="36"/>
          <w:szCs w:val="36"/>
          <w:rtl/>
        </w:rPr>
        <w:t>، موناكو، سانت مارتن (مملكة هولندا)</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058 105</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النمسا</w:t>
      </w:r>
      <w:r w:rsidRPr="00977A67">
        <w:rPr>
          <w:rFonts w:ascii="Arabic Typesetting" w:hAnsi="Arabic Typesetting" w:cs="Arabic Typesetting" w:hint="cs"/>
          <w:sz w:val="36"/>
          <w:szCs w:val="36"/>
          <w:vertAlign w:val="superscript"/>
          <w:rtl/>
        </w:rPr>
        <w:t xml:space="preserve">5 </w:t>
      </w:r>
      <w:proofErr w:type="spellStart"/>
      <w:r w:rsidRPr="00977A67">
        <w:rPr>
          <w:rFonts w:ascii="Arabic Typesetting" w:hAnsi="Arabic Typesetting" w:cs="Arabic Typesetting"/>
          <w:sz w:val="36"/>
          <w:szCs w:val="36"/>
          <w:rtl/>
        </w:rPr>
        <w:t>بنلوكس</w:t>
      </w:r>
      <w:proofErr w:type="spellEnd"/>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6715D6" w:rsidRPr="00977A67" w:rsidRDefault="006715D6" w:rsidP="006715D6">
      <w:pPr>
        <w:tabs>
          <w:tab w:val="left" w:pos="1132"/>
        </w:tabs>
        <w:bidi/>
        <w:spacing w:after="120" w:line="340" w:lineRule="exact"/>
        <w:ind w:left="2126" w:hanging="1559"/>
        <w:rPr>
          <w:rFonts w:ascii="Arabic Typesetting" w:hAnsi="Arabic Typesetting" w:cs="Arabic Typesetting"/>
          <w:sz w:val="34"/>
          <w:szCs w:val="34"/>
          <w:rtl/>
          <w:lang w:bidi="ar-EG"/>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402 221</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tl/>
          <w:lang w:bidi="ar-EG"/>
        </w:rPr>
        <w:t xml:space="preserve">ألبانيا، الجزائر، أرمينيا، أذربيجان، بيلاروس، بوتان، البوسنة والهرسك، بوتسوانا، بلغاريا، الصين، كوبا، </w:t>
      </w:r>
      <w:proofErr w:type="spellStart"/>
      <w:r w:rsidRPr="00977A67">
        <w:rPr>
          <w:rFonts w:ascii="Arabic Typesetting" w:hAnsi="Arabic Typesetting" w:cs="Arabic Typesetting" w:hint="cs"/>
          <w:sz w:val="36"/>
          <w:szCs w:val="36"/>
          <w:rtl/>
          <w:lang w:bidi="ar-EG"/>
        </w:rPr>
        <w:t>كوراساو</w:t>
      </w:r>
      <w:proofErr w:type="spellEnd"/>
      <w:r w:rsidRPr="00977A67">
        <w:rPr>
          <w:rFonts w:ascii="Arabic Typesetting" w:hAnsi="Arabic Typesetting" w:cs="Arabic Typesetting" w:hint="cs"/>
          <w:sz w:val="36"/>
          <w:szCs w:val="36"/>
          <w:vertAlign w:val="superscript"/>
          <w:rtl/>
        </w:rPr>
        <w:t>1</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 xml:space="preserve">قبرص، الجمهورية التشيكية، جمهورية كوريا الشعبية الديمقراطية، مصر،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 رومانيا، الاتحاد الروسي، سان تومي وبرينسيبي، صربيا، سيراليون، سلوفاكيا، إسبانيا، السودان، سوازيلند، الجمهورية العربية السورية، طاجيكستان، أوكرانيا، </w:t>
      </w:r>
      <w:proofErr w:type="spellStart"/>
      <w:r w:rsidRPr="00977A67">
        <w:rPr>
          <w:rFonts w:ascii="Arabic Typesetting" w:hAnsi="Arabic Typesetting" w:cs="Arabic Typesetting"/>
          <w:sz w:val="36"/>
          <w:szCs w:val="36"/>
          <w:rtl/>
          <w:lang w:bidi="ar-EG"/>
        </w:rPr>
        <w:t>فييت</w:t>
      </w:r>
      <w:proofErr w:type="spellEnd"/>
      <w:r w:rsidRPr="00977A67">
        <w:rPr>
          <w:rFonts w:ascii="Arabic Typesetting" w:hAnsi="Arabic Typesetting" w:cs="Arabic Typesetting"/>
          <w:sz w:val="36"/>
          <w:szCs w:val="36"/>
          <w:rtl/>
          <w:lang w:bidi="ar-EG"/>
        </w:rPr>
        <w:t xml:space="preserve"> نام، زامبيا</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 xml:space="preserve">م الرسوم المحصلة وقدرها </w:t>
      </w:r>
      <w:r w:rsidRPr="00977A67">
        <w:rPr>
          <w:rFonts w:ascii="Arabic Typesetting" w:hAnsi="Arabic Typesetting" w:cs="Arabic Typesetting" w:hint="cs"/>
          <w:sz w:val="36"/>
          <w:szCs w:val="36"/>
          <w:rtl/>
        </w:rPr>
        <w:t>900 240 3</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Pr="00977A67">
        <w:rPr>
          <w:rFonts w:ascii="Arabic Typesetting" w:hAnsi="Arabic Typesetting" w:cs="Arabic Typesetting" w:hint="cs"/>
          <w:sz w:val="36"/>
          <w:szCs w:val="36"/>
          <w:rtl/>
        </w:rPr>
        <w:t>354 258 1</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934</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319 28</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Pr="00977A67">
        <w:rPr>
          <w:rFonts w:ascii="Arabic Typesetting" w:hAnsi="Arabic Typesetting" w:cs="Arabic Typesetting" w:hint="cs"/>
          <w:sz w:val="36"/>
          <w:szCs w:val="36"/>
          <w:rtl/>
        </w:rPr>
        <w:t>638 56</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058</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105</w:t>
      </w:r>
      <w:r w:rsidRPr="00977A67">
        <w:rPr>
          <w:rFonts w:ascii="Arabic Typesetting" w:hAnsi="Arabic Typesetting" w:cs="Arabic Typesetting"/>
          <w:sz w:val="36"/>
          <w:szCs w:val="36"/>
          <w:rtl/>
        </w:rPr>
        <w:t xml:space="preserve"> × 3) </w:t>
      </w:r>
      <w:r w:rsidRPr="00977A67">
        <w:rPr>
          <w:rFonts w:ascii="Arabic Typesetting" w:hAnsi="Arabic Typesetting" w:cs="Arabic Typesetting" w:hint="cs"/>
          <w:sz w:val="36"/>
          <w:szCs w:val="36"/>
          <w:rtl/>
        </w:rPr>
        <w:t>174 315</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402 221</w:t>
      </w:r>
      <w:r w:rsidRPr="00977A67">
        <w:rPr>
          <w:rFonts w:ascii="Arabic Typesetting" w:hAnsi="Arabic Typesetting" w:cs="Arabic Typesetting"/>
          <w:sz w:val="36"/>
          <w:szCs w:val="36"/>
          <w:rtl/>
        </w:rPr>
        <w:t xml:space="preserve"> × 4) </w:t>
      </w:r>
      <w:r w:rsidRPr="00977A67">
        <w:rPr>
          <w:rFonts w:ascii="Arabic Typesetting" w:hAnsi="Arabic Typesetting" w:cs="Arabic Typesetting" w:hint="cs"/>
          <w:sz w:val="36"/>
          <w:szCs w:val="36"/>
          <w:rtl/>
        </w:rPr>
        <w:t>608 885</w:t>
      </w:r>
      <w:r w:rsidRPr="00977A67">
        <w:rPr>
          <w:rFonts w:ascii="Arabic Typesetting" w:hAnsi="Arabic Typesetting" w:cs="Arabic Typesetting"/>
          <w:sz w:val="36"/>
          <w:szCs w:val="36"/>
          <w:rtl/>
        </w:rPr>
        <w:t xml:space="preserve">]. ويستخلص من ذلك أن المبلغ المستحق لكل </w:t>
      </w:r>
      <w:r w:rsidRPr="00977A67">
        <w:rPr>
          <w:rFonts w:ascii="Arabic Typesetting" w:hAnsi="Arabic Typesetting" w:cs="Arabic Typesetting" w:hint="cs"/>
          <w:sz w:val="36"/>
          <w:szCs w:val="36"/>
          <w:rtl/>
        </w:rPr>
        <w:t>علامة مطلوب حمايتها</w:t>
      </w:r>
      <w:r w:rsidRPr="00977A67">
        <w:rPr>
          <w:rFonts w:ascii="Arabic Typesetting" w:hAnsi="Arabic Typesetting" w:cs="Arabic Typesetting"/>
          <w:sz w:val="36"/>
          <w:szCs w:val="36"/>
          <w:rtl/>
        </w:rPr>
        <w:t xml:space="preserve"> هو</w:t>
      </w:r>
      <w:r w:rsidRPr="00977A67">
        <w:rPr>
          <w:rFonts w:ascii="Arabic Typesetting" w:hAnsi="Arabic Typesetting" w:cs="Arabic Typesetting" w:hint="cs"/>
          <w:sz w:val="36"/>
          <w:szCs w:val="36"/>
          <w:rtl/>
        </w:rPr>
        <w:t> 2,57550737</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نقطة من المعامل [</w:t>
      </w:r>
      <w:r w:rsidRPr="00977A67">
        <w:rPr>
          <w:rFonts w:ascii="Arabic Typesetting" w:hAnsi="Arabic Typesetting" w:cs="Arabic Typesetting" w:hint="cs"/>
          <w:sz w:val="36"/>
          <w:szCs w:val="36"/>
          <w:rtl/>
        </w:rPr>
        <w:t>900 240 3</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354 258 1</w:t>
      </w:r>
      <w:r w:rsidRPr="00977A67">
        <w:rPr>
          <w:rFonts w:ascii="Arabic Typesetting" w:hAnsi="Arabic Typesetting" w:cs="Arabic Typesetting"/>
          <w:sz w:val="36"/>
          <w:szCs w:val="36"/>
          <w:rtl/>
        </w:rPr>
        <w:t>]، أي كالآتي بالمعامل المبيّن أدناه:</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lang w:bidi="ar-EG"/>
        </w:rPr>
        <w:t>2</w:t>
      </w:r>
      <w:r w:rsidRPr="00977A67">
        <w:rPr>
          <w:rFonts w:ascii="Arabic Typesetting" w:hAnsi="Arabic Typesetting" w:cs="Arabic Typesetting" w:hint="cs"/>
          <w:sz w:val="36"/>
          <w:szCs w:val="36"/>
          <w:rtl/>
        </w:rPr>
        <w:t>,</w:t>
      </w:r>
      <w:r w:rsidRPr="00977A67">
        <w:rPr>
          <w:rFonts w:ascii="Arabic Typesetting" w:hAnsi="Arabic Typesetting" w:cs="Arabic Typesetting" w:hint="cs"/>
          <w:sz w:val="36"/>
          <w:szCs w:val="36"/>
          <w:rtl/>
          <w:lang w:bidi="ar-EG"/>
        </w:rPr>
        <w:t>57550737</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5,15101474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7,72652211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10,30202948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tbl>
      <w:tblPr>
        <w:tblStyle w:val="TableGrid"/>
        <w:tblpPr w:leftFromText="180" w:rightFromText="180" w:vertAnchor="text" w:horzAnchor="margin" w:tblpY="40"/>
        <w:bidiVisual/>
        <w:tblW w:w="0" w:type="auto"/>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7150"/>
      </w:tblGrid>
      <w:tr w:rsidR="006715D6" w:rsidRPr="00977A67" w:rsidTr="001E66FF">
        <w:tc>
          <w:tcPr>
            <w:tcW w:w="220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1</w:t>
            </w:r>
            <w:r w:rsidRPr="00977A67">
              <w:rPr>
                <w:rFonts w:ascii="Arabic Typesetting" w:hAnsi="Arabic Typesetting" w:cs="Arabic Typesetting"/>
                <w:szCs w:val="22"/>
                <w:rtl/>
              </w:rPr>
              <w:tab/>
            </w:r>
            <w:r w:rsidRPr="00977A67">
              <w:rPr>
                <w:rFonts w:ascii="Arabic Typesetting" w:hAnsi="Arabic Typesetting" w:cs="Arabic Typesetting" w:hint="cs"/>
                <w:szCs w:val="22"/>
                <w:rtl/>
              </w:rPr>
              <w:t>إلى غاية 29 ديسمبر 2010</w:t>
            </w:r>
          </w:p>
        </w:tc>
        <w:tc>
          <w:tcPr>
            <w:tcW w:w="715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2</w:t>
            </w:r>
            <w:r w:rsidRPr="00977A67">
              <w:rPr>
                <w:rFonts w:ascii="Arabic Typesetting" w:hAnsi="Arabic Typesetting" w:cs="Arabic Typesetting" w:hint="cs"/>
                <w:szCs w:val="22"/>
                <w:rtl/>
              </w:rPr>
              <w:tab/>
              <w:t>إلى غاية 31 ديسمبر 2009</w:t>
            </w:r>
          </w:p>
        </w:tc>
        <w:tc>
          <w:tcPr>
            <w:tcW w:w="715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3</w:t>
            </w:r>
            <w:r w:rsidRPr="00977A67">
              <w:rPr>
                <w:rFonts w:ascii="Arabic Typesetting" w:hAnsi="Arabic Typesetting" w:cs="Arabic Typesetting" w:hint="cs"/>
                <w:szCs w:val="22"/>
                <w:rtl/>
              </w:rPr>
              <w:tab/>
              <w:t>إلى غاية 30 يونيو 2010</w:t>
            </w:r>
          </w:p>
        </w:tc>
        <w:tc>
          <w:tcPr>
            <w:tcW w:w="715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4</w:t>
            </w:r>
            <w:r w:rsidRPr="00977A67">
              <w:rPr>
                <w:rFonts w:ascii="Arabic Typesetting" w:hAnsi="Arabic Typesetting" w:cs="Arabic Typesetting" w:hint="cs"/>
                <w:szCs w:val="22"/>
                <w:rtl/>
              </w:rPr>
              <w:tab/>
              <w:t>اعتبارا من 1 يناير 2010</w:t>
            </w:r>
          </w:p>
        </w:tc>
        <w:tc>
          <w:tcPr>
            <w:tcW w:w="715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5</w:t>
            </w:r>
            <w:r w:rsidRPr="00977A67">
              <w:rPr>
                <w:rFonts w:ascii="Arabic Typesetting" w:hAnsi="Arabic Typesetting" w:cs="Arabic Typesetting" w:hint="cs"/>
                <w:szCs w:val="22"/>
                <w:rtl/>
              </w:rPr>
              <w:tab/>
              <w:t>اعتبارا من 1 يوليو 2010</w:t>
            </w:r>
          </w:p>
        </w:tc>
        <w:tc>
          <w:tcPr>
            <w:tcW w:w="7150" w:type="dxa"/>
          </w:tcPr>
          <w:p w:rsidR="006715D6" w:rsidRPr="00977A67" w:rsidRDefault="006715D6" w:rsidP="001E66FF">
            <w:pPr>
              <w:tabs>
                <w:tab w:val="left" w:pos="281"/>
              </w:tabs>
              <w:bidi/>
              <w:spacing w:line="180" w:lineRule="exact"/>
              <w:jc w:val="both"/>
              <w:rPr>
                <w:rFonts w:ascii="Arabic Typesetting" w:hAnsi="Arabic Typesetting" w:cs="Arabic Typesetting"/>
                <w:szCs w:val="22"/>
                <w:rtl/>
              </w:rPr>
            </w:pPr>
          </w:p>
        </w:tc>
      </w:tr>
    </w:tbl>
    <w:p w:rsidR="006715D6" w:rsidRPr="001C7B6C" w:rsidRDefault="006715D6" w:rsidP="006715D6">
      <w:pPr>
        <w:bidi/>
        <w:spacing w:after="240"/>
        <w:rPr>
          <w:rFonts w:ascii="Arabic Typesetting" w:hAnsi="Arabic Typesetting" w:cs="Arabic Typesetting"/>
          <w:sz w:val="36"/>
          <w:szCs w:val="36"/>
        </w:rPr>
      </w:pPr>
      <w:r w:rsidRPr="001C7B6C">
        <w:rPr>
          <w:noProof/>
          <w:szCs w:val="22"/>
          <w:rtl/>
        </w:rPr>
        <w:drawing>
          <wp:inline distT="0" distB="0" distL="0" distR="0" wp14:anchorId="47BCC558" wp14:editId="2FEB9EB5">
            <wp:extent cx="5917530" cy="8867955"/>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17565" cy="8868007"/>
                    </a:xfrm>
                    <a:prstGeom prst="rect">
                      <a:avLst/>
                    </a:prstGeom>
                    <a:noFill/>
                    <a:ln>
                      <a:noFill/>
                    </a:ln>
                  </pic:spPr>
                </pic:pic>
              </a:graphicData>
            </a:graphic>
          </wp:inline>
        </w:drawing>
      </w:r>
      <w:r w:rsidRPr="00977A67">
        <w:rPr>
          <w:rFonts w:ascii="Arabic Typesetting" w:hAnsi="Arabic Typesetting" w:cs="Arabic Typesetting"/>
          <w:color w:val="C00000"/>
          <w:sz w:val="34"/>
          <w:szCs w:val="34"/>
          <w:lang w:bidi="ar-EG"/>
        </w:rPr>
        <w:br w:type="page"/>
      </w:r>
      <w:bookmarkStart w:id="145" w:name="_Toc331497777"/>
      <w:bookmarkStart w:id="146" w:name="_Toc381088594"/>
    </w:p>
    <w:p w:rsidR="006715D6" w:rsidRPr="00977A67" w:rsidRDefault="006715D6" w:rsidP="006715D6">
      <w:pPr>
        <w:pStyle w:val="Heading2"/>
        <w:bidi/>
        <w:rPr>
          <w:rFonts w:ascii="Arabic Typesetting" w:hAnsi="Arabic Typesetting" w:cs="Arabic Typesetting"/>
          <w:i/>
          <w:iCs w:val="0"/>
          <w:sz w:val="36"/>
          <w:szCs w:val="36"/>
          <w:rtl/>
        </w:rPr>
      </w:pPr>
      <w:bookmarkStart w:id="147" w:name="_Toc394905528"/>
      <w:bookmarkStart w:id="148" w:name="_Toc394914291"/>
      <w:r w:rsidRPr="00977A67">
        <w:rPr>
          <w:rFonts w:ascii="Arabic Typesetting" w:hAnsi="Arabic Typesetting" w:cs="Arabic Typesetting"/>
          <w:i/>
          <w:iCs w:val="0"/>
          <w:sz w:val="36"/>
          <w:szCs w:val="36"/>
          <w:rtl/>
        </w:rPr>
        <w:t xml:space="preserve">اتحاد مدريد - الرسوم </w:t>
      </w:r>
      <w:r w:rsidRPr="00977A67">
        <w:rPr>
          <w:rFonts w:ascii="Arabic Typesetting" w:hAnsi="Arabic Typesetting" w:cs="Arabic Typesetting" w:hint="cs"/>
          <w:i/>
          <w:iCs w:val="0"/>
          <w:sz w:val="36"/>
          <w:szCs w:val="36"/>
          <w:rtl/>
        </w:rPr>
        <w:t>التكميلية</w:t>
      </w:r>
      <w:r w:rsidRPr="00977A67">
        <w:rPr>
          <w:rFonts w:ascii="Arabic Typesetting" w:hAnsi="Arabic Typesetting" w:cs="Arabic Typesetting"/>
          <w:i/>
          <w:iCs w:val="0"/>
          <w:sz w:val="36"/>
          <w:szCs w:val="36"/>
          <w:rtl/>
        </w:rPr>
        <w:t xml:space="preserve"> - سنة </w:t>
      </w:r>
      <w:bookmarkEnd w:id="145"/>
      <w:bookmarkEnd w:id="146"/>
      <w:r w:rsidRPr="00977A67">
        <w:rPr>
          <w:rFonts w:ascii="Arabic Typesetting" w:hAnsi="Arabic Typesetting" w:cs="Arabic Typesetting" w:hint="cs"/>
          <w:i/>
          <w:iCs w:val="0"/>
          <w:sz w:val="36"/>
          <w:szCs w:val="36"/>
          <w:rtl/>
        </w:rPr>
        <w:t>2012</w:t>
      </w:r>
      <w:bookmarkEnd w:id="147"/>
      <w:bookmarkEnd w:id="148"/>
    </w:p>
    <w:p w:rsidR="006715D6" w:rsidRPr="00977A67" w:rsidRDefault="006715D6" w:rsidP="006715D6">
      <w:pPr>
        <w:keepNext/>
        <w:bidi/>
        <w:spacing w:line="360" w:lineRule="exact"/>
        <w:jc w:val="both"/>
        <w:rPr>
          <w:rFonts w:ascii="Arabic Typesetting" w:hAnsi="Arabic Typesetting" w:cs="Arabic Typesetting"/>
          <w:b/>
          <w:bCs/>
          <w:sz w:val="36"/>
          <w:szCs w:val="36"/>
          <w:rtl/>
        </w:rPr>
      </w:pPr>
      <w:r w:rsidRPr="000A64CB">
        <w:rPr>
          <w:rFonts w:ascii="Arabic Typesetting" w:hAnsi="Arabic Typesetting" w:cs="Arabic Typesetting" w:hint="cs"/>
          <w:b/>
          <w:bCs/>
          <w:sz w:val="36"/>
          <w:szCs w:val="36"/>
          <w:rtl/>
        </w:rPr>
        <w:t>الرسوم المحصلة</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2012</w:t>
      </w:r>
      <w:r w:rsidRPr="00977A67">
        <w:rPr>
          <w:rFonts w:ascii="Arabic Typesetting" w:hAnsi="Arabic Typesetting" w:cs="Arabic Typesetting"/>
          <w:sz w:val="36"/>
          <w:szCs w:val="36"/>
          <w:rtl/>
        </w:rPr>
        <w:t xml:space="preserve"> على رسوم </w:t>
      </w:r>
      <w:r w:rsidRPr="00977A67">
        <w:rPr>
          <w:rFonts w:ascii="Arabic Typesetting" w:hAnsi="Arabic Typesetting" w:cs="Arabic Typesetting" w:hint="cs"/>
          <w:sz w:val="36"/>
          <w:szCs w:val="36"/>
          <w:rtl/>
        </w:rPr>
        <w:t>تكميلية</w:t>
      </w:r>
      <w:r w:rsidRPr="00977A67">
        <w:rPr>
          <w:rFonts w:ascii="Arabic Typesetting" w:hAnsi="Arabic Typesetting" w:cs="Arabic Typesetting"/>
          <w:sz w:val="36"/>
          <w:szCs w:val="36"/>
          <w:rtl/>
        </w:rPr>
        <w:t xml:space="preserve"> بلغ مجموعها </w:t>
      </w:r>
      <w:r w:rsidRPr="00977A67">
        <w:rPr>
          <w:rFonts w:ascii="Arabic Typesetting" w:hAnsi="Arabic Typesetting" w:cs="Arabic Typesetting" w:hint="cs"/>
          <w:sz w:val="36"/>
          <w:szCs w:val="36"/>
          <w:rtl/>
        </w:rPr>
        <w:t>700 083 38</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w:t>
      </w:r>
      <w:r w:rsidRPr="00977A67">
        <w:rPr>
          <w:rFonts w:ascii="Arabic Typesetting" w:hAnsi="Arabic Typesetting" w:cs="Arabic Typesetting" w:hint="cs"/>
          <w:sz w:val="36"/>
          <w:szCs w:val="36"/>
          <w:rtl/>
        </w:rPr>
        <w:t>837 380 تعيينا (جرت أثناء التسجيل أو بعد التسجيل أو أثناء التجديد)</w:t>
      </w:r>
      <w:r w:rsidRPr="00977A67">
        <w:rPr>
          <w:rFonts w:ascii="Arabic Typesetting" w:hAnsi="Arabic Typesetting" w:cs="Arabic Typesetting"/>
          <w:sz w:val="36"/>
          <w:szCs w:val="36"/>
          <w:rtl/>
        </w:rPr>
        <w:t xml:space="preserve">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 8(2)(</w:t>
      </w:r>
      <w:r w:rsidRPr="00977A67">
        <w:rPr>
          <w:rFonts w:ascii="Arabic Typesetting" w:hAnsi="Arabic Typesetting" w:cs="Arabic Typesetting" w:hint="cs"/>
          <w:sz w:val="36"/>
          <w:szCs w:val="36"/>
          <w:rtl/>
        </w:rPr>
        <w:t>ج</w:t>
      </w:r>
      <w:r w:rsidRPr="00977A67">
        <w:rPr>
          <w:rFonts w:ascii="Arabic Typesetting" w:hAnsi="Arabic Typesetting" w:cs="Arabic Typesetting"/>
          <w:sz w:val="36"/>
          <w:szCs w:val="36"/>
          <w:rtl/>
        </w:rPr>
        <w:t>) من اتفاق مدريد والمادة 8(2)"</w:t>
      </w:r>
      <w:r w:rsidRPr="00977A67">
        <w:rPr>
          <w:rFonts w:ascii="Arabic Typesetting" w:hAnsi="Arabic Typesetting" w:cs="Arabic Typesetting" w:hint="cs"/>
          <w:sz w:val="36"/>
          <w:szCs w:val="36"/>
          <w:rtl/>
        </w:rPr>
        <w:t>3</w:t>
      </w:r>
      <w:r w:rsidRPr="00977A67">
        <w:rPr>
          <w:rFonts w:ascii="Arabic Typesetting" w:hAnsi="Arabic Typesetting" w:cs="Arabic Typesetting"/>
          <w:sz w:val="36"/>
          <w:szCs w:val="36"/>
          <w:rtl/>
        </w:rPr>
        <w:t>" من بروتوكول اتفاق مدريد].</w:t>
      </w:r>
    </w:p>
    <w:p w:rsidR="006715D6" w:rsidRPr="00977A67" w:rsidRDefault="006715D6" w:rsidP="006715D6">
      <w:pPr>
        <w:keepNext/>
        <w:bidi/>
        <w:spacing w:line="36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6715D6" w:rsidRPr="00977A67" w:rsidRDefault="006715D6" w:rsidP="006715D6">
      <w:pPr>
        <w:tabs>
          <w:tab w:val="left" w:pos="1132"/>
        </w:tabs>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توزَّع الرسوم بالاستناد إلى عدد التعيينات [المادة 8(6) من اتفاق مدريد بشأن التسجيل الدولي للعلامات وبروتوكوله] وإلى المعامل المنطبق [القاعدة 37 من اللائحة التنفيذية المشتركة بين اتفاق مدريد بشأن التسجيل الدولي للعلامات وبروتوكوله].</w:t>
      </w:r>
    </w:p>
    <w:p w:rsidR="006715D6" w:rsidRPr="00977A67" w:rsidRDefault="006715D6" w:rsidP="006715D6">
      <w:pPr>
        <w:tabs>
          <w:tab w:val="left" w:pos="1132"/>
        </w:tabs>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أما عدد التعيينات التي حصلت لقاءها الويبو على رسم تكميلي قدره </w:t>
      </w:r>
      <w:r w:rsidRPr="00977A67">
        <w:rPr>
          <w:rFonts w:ascii="Arabic Typesetting" w:hAnsi="Arabic Typesetting" w:cs="Arabic Typesetting" w:hint="cs"/>
          <w:sz w:val="36"/>
          <w:szCs w:val="36"/>
          <w:rtl/>
        </w:rPr>
        <w:t>100</w:t>
      </w:r>
      <w:r w:rsidRPr="00977A67">
        <w:rPr>
          <w:rFonts w:ascii="Arabic Typesetting" w:hAnsi="Arabic Typesetting" w:cs="Arabic Typesetting"/>
          <w:sz w:val="36"/>
          <w:szCs w:val="36"/>
          <w:rtl/>
        </w:rPr>
        <w:t xml:space="preserve"> فرنك سويسري فقد كان كالآتي بالمعامل المبيّن أدناه:</w:t>
      </w:r>
    </w:p>
    <w:p w:rsidR="006715D6" w:rsidRPr="00977A67" w:rsidRDefault="006715D6" w:rsidP="006715D6">
      <w:pPr>
        <w:tabs>
          <w:tab w:val="left" w:pos="1132"/>
        </w:tabs>
        <w:bidi/>
        <w:spacing w:line="36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060 1</w:t>
      </w:r>
      <w:r w:rsidRPr="00977A67">
        <w:rPr>
          <w:rFonts w:ascii="Arabic Typesetting" w:hAnsi="Arabic Typesetting" w:cs="Arabic Typesetting"/>
          <w:sz w:val="36"/>
          <w:szCs w:val="36"/>
          <w:rtl/>
        </w:rPr>
        <w:tab/>
        <w:t xml:space="preserve">أنتيغوا </w:t>
      </w:r>
      <w:proofErr w:type="spellStart"/>
      <w:r w:rsidRPr="00977A67">
        <w:rPr>
          <w:rFonts w:ascii="Arabic Typesetting" w:hAnsi="Arabic Typesetting" w:cs="Arabic Typesetting"/>
          <w:sz w:val="36"/>
          <w:szCs w:val="36"/>
          <w:rtl/>
        </w:rPr>
        <w:t>وبربودا</w:t>
      </w:r>
      <w:proofErr w:type="spellEnd"/>
      <w:r w:rsidRPr="00977A67">
        <w:rPr>
          <w:rFonts w:ascii="Arabic Typesetting" w:hAnsi="Arabic Typesetting" w:cs="Arabic Typesetting" w:hint="cs"/>
          <w:sz w:val="36"/>
          <w:szCs w:val="36"/>
          <w:rtl/>
        </w:rPr>
        <w:t xml:space="preserve">، </w:t>
      </w:r>
      <w:proofErr w:type="spellStart"/>
      <w:r w:rsidRPr="00977A67">
        <w:rPr>
          <w:rFonts w:ascii="Arabic Typesetting" w:hAnsi="Arabic Typesetting" w:cs="Arabic Typesetting" w:hint="cs"/>
          <w:sz w:val="36"/>
          <w:szCs w:val="36"/>
          <w:rtl/>
        </w:rPr>
        <w:t>بونير</w:t>
      </w:r>
      <w:proofErr w:type="spellEnd"/>
      <w:r w:rsidRPr="00977A67">
        <w:rPr>
          <w:rFonts w:ascii="Arabic Typesetting" w:hAnsi="Arabic Typesetting" w:cs="Arabic Typesetting" w:hint="cs"/>
          <w:sz w:val="36"/>
          <w:szCs w:val="36"/>
          <w:rtl/>
        </w:rPr>
        <w:t xml:space="preserve">، سانت </w:t>
      </w:r>
      <w:proofErr w:type="spellStart"/>
      <w:r w:rsidRPr="00977A67">
        <w:rPr>
          <w:rFonts w:ascii="Arabic Typesetting" w:hAnsi="Arabic Typesetting" w:cs="Arabic Typesetting" w:hint="cs"/>
          <w:sz w:val="36"/>
          <w:szCs w:val="36"/>
          <w:rtl/>
        </w:rPr>
        <w:t>أوستاتيوس</w:t>
      </w:r>
      <w:proofErr w:type="spellEnd"/>
      <w:r w:rsidRPr="00977A67">
        <w:rPr>
          <w:rFonts w:ascii="Arabic Typesetting" w:hAnsi="Arabic Typesetting" w:cs="Arabic Typesetting" w:hint="cs"/>
          <w:sz w:val="36"/>
          <w:szCs w:val="36"/>
          <w:rtl/>
        </w:rPr>
        <w:t xml:space="preserve"> وسابا</w:t>
      </w:r>
      <w:r w:rsidRPr="00977A67">
        <w:rPr>
          <w:rFonts w:ascii="Arabic Typesetting" w:hAnsi="Arabic Typesetting" w:cs="Arabic Typesetting" w:hint="cs"/>
          <w:sz w:val="36"/>
          <w:szCs w:val="36"/>
          <w:vertAlign w:val="superscript"/>
          <w:rtl/>
        </w:rPr>
        <w:t>1</w:t>
      </w:r>
      <w:r w:rsidRPr="00977A67">
        <w:rPr>
          <w:rFonts w:ascii="Arabic Typesetting" w:hAnsi="Arabic Typesetting" w:cs="Arabic Typesetting"/>
          <w:sz w:val="36"/>
          <w:szCs w:val="36"/>
          <w:rtl/>
        </w:rPr>
        <w:t>، لختنشتاين</w:t>
      </w:r>
      <w:r w:rsidRPr="00977A67">
        <w:rPr>
          <w:rFonts w:ascii="Arabic Typesetting" w:hAnsi="Arabic Typesetting" w:cs="Arabic Typesetting" w:hint="cs"/>
          <w:sz w:val="36"/>
          <w:szCs w:val="36"/>
          <w:vertAlign w:val="superscript"/>
          <w:rtl/>
        </w:rPr>
        <w:t>2</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266 29</w:t>
      </w:r>
      <w:r w:rsidRPr="00977A67">
        <w:rPr>
          <w:rFonts w:ascii="Arabic Typesetting" w:hAnsi="Arabic Typesetting" w:cs="Arabic Typesetting"/>
          <w:sz w:val="36"/>
          <w:szCs w:val="36"/>
          <w:rtl/>
        </w:rPr>
        <w:tab/>
        <w:t>النمسا</w:t>
      </w:r>
      <w:r w:rsidRPr="00977A67">
        <w:rPr>
          <w:rFonts w:ascii="Arabic Typesetting" w:hAnsi="Arabic Typesetting" w:cs="Arabic Typesetting" w:hint="cs"/>
          <w:sz w:val="36"/>
          <w:szCs w:val="36"/>
          <w:vertAlign w:val="superscript"/>
          <w:rtl/>
        </w:rPr>
        <w:t>3</w:t>
      </w:r>
      <w:r w:rsidRPr="00977A67">
        <w:rPr>
          <w:rFonts w:ascii="Arabic Typesetting" w:hAnsi="Arabic Typesetting" w:cs="Arabic Typesetting"/>
          <w:sz w:val="36"/>
          <w:szCs w:val="36"/>
          <w:rtl/>
        </w:rPr>
        <w:t xml:space="preserve">، إيطاليا، </w:t>
      </w:r>
      <w:r w:rsidRPr="00977A67">
        <w:rPr>
          <w:rFonts w:ascii="Arabic Typesetting" w:hAnsi="Arabic Typesetting" w:cs="Arabic Typesetting" w:hint="cs"/>
          <w:sz w:val="36"/>
          <w:szCs w:val="36"/>
          <w:rtl/>
        </w:rPr>
        <w:t>لختنشتاين</w:t>
      </w:r>
      <w:r w:rsidRPr="00977A67">
        <w:rPr>
          <w:rFonts w:ascii="Arabic Typesetting" w:hAnsi="Arabic Typesetting" w:cs="Arabic Typesetting" w:hint="cs"/>
          <w:sz w:val="36"/>
          <w:szCs w:val="36"/>
          <w:vertAlign w:val="superscript"/>
          <w:rtl/>
        </w:rPr>
        <w:t>4</w:t>
      </w:r>
      <w:r w:rsidRPr="00977A67">
        <w:rPr>
          <w:rFonts w:ascii="Arabic Typesetting" w:hAnsi="Arabic Typesetting" w:cs="Arabic Typesetting" w:hint="cs"/>
          <w:sz w:val="36"/>
          <w:szCs w:val="36"/>
          <w:rtl/>
        </w:rPr>
        <w:t>، موناكو، سانت مارتن (مملكة هولندا)</w:t>
      </w:r>
    </w:p>
    <w:p w:rsidR="006715D6" w:rsidRPr="00977A67" w:rsidRDefault="006715D6" w:rsidP="006715D6">
      <w:pPr>
        <w:tabs>
          <w:tab w:val="left" w:pos="1132"/>
        </w:tabs>
        <w:bidi/>
        <w:spacing w:line="36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080 109</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النمسا</w:t>
      </w:r>
      <w:r w:rsidRPr="00977A67">
        <w:rPr>
          <w:rFonts w:ascii="Arabic Typesetting" w:hAnsi="Arabic Typesetting" w:cs="Arabic Typesetting" w:hint="cs"/>
          <w:sz w:val="36"/>
          <w:szCs w:val="36"/>
          <w:vertAlign w:val="superscript"/>
          <w:rtl/>
        </w:rPr>
        <w:t xml:space="preserve">5 </w:t>
      </w:r>
      <w:r w:rsidRPr="00977A67">
        <w:rPr>
          <w:rFonts w:ascii="Arabic Typesetting" w:hAnsi="Arabic Typesetting" w:cs="Arabic Typesetting" w:hint="cs"/>
          <w:sz w:val="36"/>
          <w:szCs w:val="36"/>
          <w:rtl/>
        </w:rPr>
        <w:t xml:space="preserve">، </w:t>
      </w:r>
      <w:proofErr w:type="spellStart"/>
      <w:r w:rsidRPr="00977A67">
        <w:rPr>
          <w:rFonts w:ascii="Arabic Typesetting" w:hAnsi="Arabic Typesetting" w:cs="Arabic Typesetting"/>
          <w:sz w:val="36"/>
          <w:szCs w:val="36"/>
          <w:rtl/>
        </w:rPr>
        <w:t>بنلوكس</w:t>
      </w:r>
      <w:proofErr w:type="spellEnd"/>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6715D6" w:rsidRPr="00977A67" w:rsidRDefault="006715D6" w:rsidP="006715D6">
      <w:pPr>
        <w:tabs>
          <w:tab w:val="left" w:pos="1132"/>
        </w:tabs>
        <w:bidi/>
        <w:spacing w:after="120" w:line="360" w:lineRule="exact"/>
        <w:ind w:left="2126" w:hanging="1559"/>
        <w:rPr>
          <w:rFonts w:ascii="Arabic Typesetting" w:hAnsi="Arabic Typesetting" w:cs="Arabic Typesetting"/>
          <w:sz w:val="34"/>
          <w:szCs w:val="34"/>
          <w:rtl/>
          <w:lang w:bidi="ar-EG"/>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431 241</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tl/>
          <w:lang w:bidi="ar-EG"/>
        </w:rPr>
        <w:t>ألبانيا، الجزائر، أرمينيا، أذربيجان، بيلاروس، بوتان، البوسنة</w:t>
      </w:r>
      <w:r w:rsidRPr="00977A67">
        <w:rPr>
          <w:rFonts w:ascii="Arabic Typesetting" w:hAnsi="Arabic Typesetting" w:cs="Arabic Typesetting" w:hint="cs"/>
          <w:sz w:val="36"/>
          <w:szCs w:val="36"/>
          <w:rtl/>
          <w:lang w:bidi="ar-EG"/>
        </w:rPr>
        <w:t xml:space="preserve"> و</w:t>
      </w:r>
      <w:r w:rsidRPr="00977A67">
        <w:rPr>
          <w:rFonts w:ascii="Arabic Typesetting" w:hAnsi="Arabic Typesetting" w:cs="Arabic Typesetting"/>
          <w:sz w:val="36"/>
          <w:szCs w:val="36"/>
          <w:rtl/>
          <w:lang w:bidi="ar-EG"/>
        </w:rPr>
        <w:t xml:space="preserve">الهرسك، بوتسوانا، بلغاريا، الصين، كوبا، </w:t>
      </w:r>
      <w:proofErr w:type="spellStart"/>
      <w:r w:rsidRPr="00977A67">
        <w:rPr>
          <w:rFonts w:ascii="Arabic Typesetting" w:hAnsi="Arabic Typesetting" w:cs="Arabic Typesetting" w:hint="cs"/>
          <w:sz w:val="36"/>
          <w:szCs w:val="36"/>
          <w:rtl/>
          <w:lang w:bidi="ar-EG"/>
        </w:rPr>
        <w:t>كوراساو</w:t>
      </w:r>
      <w:proofErr w:type="spellEnd"/>
      <w:r w:rsidRPr="00977A67">
        <w:rPr>
          <w:rFonts w:ascii="Arabic Typesetting" w:hAnsi="Arabic Typesetting" w:cs="Arabic Typesetting" w:hint="cs"/>
          <w:sz w:val="36"/>
          <w:szCs w:val="36"/>
          <w:vertAlign w:val="superscript"/>
          <w:rtl/>
        </w:rPr>
        <w:t>1</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قبرص، الجمهورية التشيكية، جمهورية كوريا الشعبية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الديمقراطية، مصر، هنغاريا، إيران (جمهورية - الإسلامية)، كازاخستان، كينيا، قيرغيزستان، ليبريا، مدغشقر، منغوليا، الجبل الأسود، المغرب، موزامبيق، ناميبيا، بولندا، البرتغال، جمهورية مولدوفا، رومانيا، الاتحاد الروسي، سان</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تومي وبرينسيبي، صربيا، سيراليون، سلوفاكيا، إسبانيا، السودان، سوازيلند، الجمهورية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 xml:space="preserve">العربية السورية، طاجيكستان، أوكرانيا، </w:t>
      </w:r>
      <w:proofErr w:type="spellStart"/>
      <w:r w:rsidRPr="00977A67">
        <w:rPr>
          <w:rFonts w:ascii="Arabic Typesetting" w:hAnsi="Arabic Typesetting" w:cs="Arabic Typesetting"/>
          <w:sz w:val="36"/>
          <w:szCs w:val="36"/>
          <w:rtl/>
          <w:lang w:bidi="ar-EG"/>
        </w:rPr>
        <w:t>فييت</w:t>
      </w:r>
      <w:proofErr w:type="spellEnd"/>
      <w:r w:rsidRPr="00977A67">
        <w:rPr>
          <w:rFonts w:ascii="Arabic Typesetting" w:hAnsi="Arabic Typesetting" w:cs="Arabic Typesetting"/>
          <w:sz w:val="36"/>
          <w:szCs w:val="36"/>
          <w:rtl/>
          <w:lang w:bidi="ar-EG"/>
        </w:rPr>
        <w:t xml:space="preserve"> نام، زامبيا</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م الرسوم المحص</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لة وقدرها </w:t>
      </w:r>
      <w:r w:rsidRPr="00977A67">
        <w:rPr>
          <w:rFonts w:ascii="Arabic Typesetting" w:hAnsi="Arabic Typesetting" w:cs="Arabic Typesetting" w:hint="cs"/>
          <w:sz w:val="36"/>
          <w:szCs w:val="36"/>
          <w:rtl/>
        </w:rPr>
        <w:t>700 083 38</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Pr="00977A67">
        <w:rPr>
          <w:rFonts w:ascii="Arabic Typesetting" w:hAnsi="Arabic Typesetting" w:cs="Arabic Typesetting" w:hint="cs"/>
          <w:sz w:val="36"/>
          <w:szCs w:val="36"/>
          <w:rtl/>
        </w:rPr>
        <w:t>556 352 1</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060 1</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 xml:space="preserve">266 29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Pr="00977A67">
        <w:rPr>
          <w:rFonts w:ascii="Arabic Typesetting" w:hAnsi="Arabic Typesetting" w:cs="Arabic Typesetting" w:hint="cs"/>
          <w:sz w:val="36"/>
          <w:szCs w:val="36"/>
          <w:rtl/>
        </w:rPr>
        <w:t>532 58</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080 109</w:t>
      </w:r>
      <w:r w:rsidRPr="00977A67">
        <w:rPr>
          <w:rFonts w:ascii="Arabic Typesetting" w:hAnsi="Arabic Typesetting" w:cs="Arabic Typesetting"/>
          <w:sz w:val="36"/>
          <w:szCs w:val="36"/>
          <w:rtl/>
        </w:rPr>
        <w:t xml:space="preserve"> × 3) </w:t>
      </w:r>
      <w:r w:rsidRPr="00977A67">
        <w:rPr>
          <w:rFonts w:ascii="Arabic Typesetting" w:hAnsi="Arabic Typesetting" w:cs="Arabic Typesetting" w:hint="cs"/>
          <w:sz w:val="36"/>
          <w:szCs w:val="36"/>
          <w:rtl/>
        </w:rPr>
        <w:t>240 327</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431 241</w:t>
      </w:r>
      <w:r w:rsidRPr="00977A67">
        <w:rPr>
          <w:rFonts w:ascii="Arabic Typesetting" w:hAnsi="Arabic Typesetting" w:cs="Arabic Typesetting"/>
          <w:sz w:val="36"/>
          <w:szCs w:val="36"/>
          <w:rtl/>
        </w:rPr>
        <w:t xml:space="preserve"> × 4) </w:t>
      </w:r>
      <w:r w:rsidRPr="00977A67">
        <w:rPr>
          <w:rFonts w:ascii="Arabic Typesetting" w:hAnsi="Arabic Typesetting" w:cs="Arabic Typesetting" w:hint="cs"/>
          <w:sz w:val="36"/>
          <w:szCs w:val="36"/>
          <w:rtl/>
        </w:rPr>
        <w:t>724 965</w:t>
      </w:r>
      <w:r w:rsidRPr="00977A67">
        <w:rPr>
          <w:rFonts w:ascii="Arabic Typesetting" w:hAnsi="Arabic Typesetting" w:cs="Arabic Typesetting"/>
          <w:sz w:val="36"/>
          <w:szCs w:val="36"/>
          <w:rtl/>
        </w:rPr>
        <w:t xml:space="preserve">]. ويستخلص من ذلك أن المبلغ المستحق لكل </w:t>
      </w:r>
      <w:r w:rsidRPr="00977A67">
        <w:rPr>
          <w:rFonts w:ascii="Arabic Typesetting" w:hAnsi="Arabic Typesetting" w:cs="Arabic Typesetting" w:hint="cs"/>
          <w:sz w:val="36"/>
          <w:szCs w:val="36"/>
          <w:rtl/>
        </w:rPr>
        <w:t>تعيين</w:t>
      </w:r>
      <w:r w:rsidRPr="00977A67">
        <w:rPr>
          <w:rFonts w:ascii="Arabic Typesetting" w:hAnsi="Arabic Typesetting" w:cs="Arabic Typesetting"/>
          <w:sz w:val="36"/>
          <w:szCs w:val="36"/>
          <w:rtl/>
        </w:rPr>
        <w:t xml:space="preserve"> مطلوب حمايته</w:t>
      </w:r>
      <w:r w:rsidRPr="00977A67">
        <w:rPr>
          <w:rFonts w:ascii="Arabic Typesetting" w:hAnsi="Arabic Typesetting" w:cs="Arabic Typesetting" w:hint="cs"/>
          <w:sz w:val="36"/>
          <w:szCs w:val="36"/>
          <w:rtl/>
        </w:rPr>
        <w:t xml:space="preserve"> هو 28,15683787</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نقطة من المعامل [</w:t>
      </w:r>
      <w:r w:rsidRPr="00977A67">
        <w:rPr>
          <w:rFonts w:ascii="Arabic Typesetting" w:hAnsi="Arabic Typesetting" w:cs="Arabic Typesetting" w:hint="cs"/>
          <w:sz w:val="36"/>
          <w:szCs w:val="36"/>
          <w:rtl/>
        </w:rPr>
        <w:t>700 </w:t>
      </w:r>
      <w:r>
        <w:rPr>
          <w:rFonts w:ascii="Arabic Typesetting" w:hAnsi="Arabic Typesetting" w:cs="Arabic Typesetting" w:hint="cs"/>
          <w:sz w:val="36"/>
          <w:szCs w:val="36"/>
          <w:rtl/>
        </w:rPr>
        <w:t>083</w:t>
      </w:r>
      <w:r w:rsidRPr="00977A67">
        <w:rPr>
          <w:rFonts w:ascii="Arabic Typesetting" w:hAnsi="Arabic Typesetting" w:cs="Arabic Typesetting" w:hint="cs"/>
          <w:sz w:val="36"/>
          <w:szCs w:val="36"/>
          <w:rtl/>
        </w:rPr>
        <w:t xml:space="preserve"> 38 </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556 352 1</w:t>
      </w:r>
      <w:r w:rsidRPr="00977A67">
        <w:rPr>
          <w:rFonts w:ascii="Arabic Typesetting" w:hAnsi="Arabic Typesetting" w:cs="Arabic Typesetting"/>
          <w:sz w:val="36"/>
          <w:szCs w:val="36"/>
          <w:rtl/>
        </w:rPr>
        <w:t>]، أي كالآتي بالمعامل المبيّن أدناه:</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lang w:bidi="ar-EG"/>
        </w:rPr>
        <w:t xml:space="preserve">28,15683787 </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56,31367574 </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84,47051361 </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Default="006715D6" w:rsidP="006715D6">
      <w:pPr>
        <w:tabs>
          <w:tab w:val="left" w:pos="1132"/>
        </w:tabs>
        <w:bidi/>
        <w:spacing w:after="120" w:line="360" w:lineRule="exact"/>
        <w:ind w:left="565"/>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112,62735148</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Default="006715D6" w:rsidP="006715D6">
      <w:pPr>
        <w:tabs>
          <w:tab w:val="left" w:pos="1132"/>
        </w:tabs>
        <w:bidi/>
        <w:spacing w:after="120" w:line="360" w:lineRule="exact"/>
        <w:ind w:left="565"/>
        <w:jc w:val="both"/>
        <w:rPr>
          <w:rFonts w:ascii="Arabic Typesetting" w:hAnsi="Arabic Typesetting" w:cs="Arabic Typesetting"/>
          <w:sz w:val="36"/>
          <w:szCs w:val="36"/>
          <w:rtl/>
        </w:rPr>
      </w:pPr>
    </w:p>
    <w:p w:rsidR="006715D6" w:rsidRPr="00977A67" w:rsidRDefault="006715D6" w:rsidP="006715D6">
      <w:pPr>
        <w:tabs>
          <w:tab w:val="left" w:pos="1132"/>
        </w:tabs>
        <w:bidi/>
        <w:spacing w:after="120" w:line="360" w:lineRule="exact"/>
        <w:ind w:left="565"/>
        <w:jc w:val="both"/>
        <w:rPr>
          <w:rFonts w:ascii="Arabic Typesetting" w:hAnsi="Arabic Typesetting" w:cs="Arabic Typesetting"/>
          <w:sz w:val="36"/>
          <w:szCs w:val="36"/>
          <w:rtl/>
        </w:rPr>
      </w:pPr>
    </w:p>
    <w:tbl>
      <w:tblPr>
        <w:tblStyle w:val="TableGrid"/>
        <w:tblpPr w:leftFromText="180" w:rightFromText="180" w:vertAnchor="text" w:horzAnchor="margin" w:tblpY="40"/>
        <w:bidiVisual/>
        <w:tblW w:w="9350"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7150"/>
      </w:tblGrid>
      <w:tr w:rsidR="006715D6" w:rsidRPr="00977A67" w:rsidTr="001E66FF">
        <w:tc>
          <w:tcPr>
            <w:tcW w:w="220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1</w:t>
            </w:r>
            <w:r w:rsidRPr="00977A67">
              <w:rPr>
                <w:rFonts w:ascii="Arabic Typesetting" w:hAnsi="Arabic Typesetting" w:cs="Arabic Typesetting"/>
                <w:szCs w:val="22"/>
                <w:rtl/>
              </w:rPr>
              <w:tab/>
            </w:r>
            <w:r w:rsidRPr="00977A67">
              <w:rPr>
                <w:rFonts w:ascii="Arabic Typesetting" w:hAnsi="Arabic Typesetting" w:cs="Arabic Typesetting" w:hint="cs"/>
                <w:szCs w:val="22"/>
                <w:rtl/>
              </w:rPr>
              <w:t>إلى غاية 29 ديسمبر 2010</w:t>
            </w:r>
          </w:p>
        </w:tc>
        <w:tc>
          <w:tcPr>
            <w:tcW w:w="715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2</w:t>
            </w:r>
            <w:r w:rsidRPr="00977A67">
              <w:rPr>
                <w:rFonts w:ascii="Arabic Typesetting" w:hAnsi="Arabic Typesetting" w:cs="Arabic Typesetting" w:hint="cs"/>
                <w:szCs w:val="22"/>
                <w:rtl/>
              </w:rPr>
              <w:tab/>
              <w:t>إلى غاية 31 ديسمبر 2009</w:t>
            </w:r>
          </w:p>
        </w:tc>
        <w:tc>
          <w:tcPr>
            <w:tcW w:w="715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3</w:t>
            </w:r>
            <w:r w:rsidRPr="00977A67">
              <w:rPr>
                <w:rFonts w:ascii="Arabic Typesetting" w:hAnsi="Arabic Typesetting" w:cs="Arabic Typesetting" w:hint="cs"/>
                <w:szCs w:val="22"/>
                <w:rtl/>
              </w:rPr>
              <w:tab/>
              <w:t>إلى غاية 30 يونيو 2010</w:t>
            </w:r>
          </w:p>
        </w:tc>
        <w:tc>
          <w:tcPr>
            <w:tcW w:w="715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4</w:t>
            </w:r>
            <w:r w:rsidRPr="00977A67">
              <w:rPr>
                <w:rFonts w:ascii="Arabic Typesetting" w:hAnsi="Arabic Typesetting" w:cs="Arabic Typesetting" w:hint="cs"/>
                <w:szCs w:val="22"/>
                <w:rtl/>
              </w:rPr>
              <w:tab/>
              <w:t>اعتبارا من 1 يناير 2010</w:t>
            </w:r>
          </w:p>
        </w:tc>
        <w:tc>
          <w:tcPr>
            <w:tcW w:w="715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p>
        </w:tc>
      </w:tr>
      <w:tr w:rsidR="006715D6" w:rsidRPr="00977A67" w:rsidTr="001E66FF">
        <w:tc>
          <w:tcPr>
            <w:tcW w:w="220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5</w:t>
            </w:r>
            <w:r w:rsidRPr="00977A67">
              <w:rPr>
                <w:rFonts w:ascii="Arabic Typesetting" w:hAnsi="Arabic Typesetting" w:cs="Arabic Typesetting" w:hint="cs"/>
                <w:szCs w:val="22"/>
                <w:rtl/>
              </w:rPr>
              <w:tab/>
              <w:t>اعتبارا من 1 يوليو 2010</w:t>
            </w:r>
          </w:p>
        </w:tc>
        <w:tc>
          <w:tcPr>
            <w:tcW w:w="7150" w:type="dxa"/>
          </w:tcPr>
          <w:p w:rsidR="006715D6" w:rsidRPr="00977A67" w:rsidRDefault="006715D6" w:rsidP="001E66FF">
            <w:pPr>
              <w:tabs>
                <w:tab w:val="left" w:pos="281"/>
              </w:tabs>
              <w:bidi/>
              <w:spacing w:line="200" w:lineRule="exact"/>
              <w:jc w:val="both"/>
              <w:rPr>
                <w:rFonts w:ascii="Arabic Typesetting" w:hAnsi="Arabic Typesetting" w:cs="Arabic Typesetting"/>
                <w:szCs w:val="22"/>
                <w:rtl/>
              </w:rPr>
            </w:pPr>
          </w:p>
        </w:tc>
      </w:tr>
    </w:tbl>
    <w:p w:rsidR="006715D6" w:rsidRPr="00A74DD3" w:rsidRDefault="006715D6" w:rsidP="006715D6">
      <w:pPr>
        <w:pStyle w:val="Heading2"/>
        <w:bidi/>
        <w:rPr>
          <w:rFonts w:ascii="Arabic Typesetting" w:hAnsi="Arabic Typesetting" w:cs="Arabic Typesetting"/>
          <w:b/>
          <w:bCs w:val="0"/>
          <w:i/>
          <w:iCs w:val="0"/>
          <w:sz w:val="36"/>
          <w:szCs w:val="36"/>
          <w:rtl/>
        </w:rPr>
      </w:pPr>
      <w:bookmarkStart w:id="149" w:name="_Toc381088596"/>
      <w:bookmarkStart w:id="150" w:name="_Toc394905529"/>
      <w:bookmarkStart w:id="151" w:name="_Toc394914293"/>
      <w:bookmarkStart w:id="152" w:name="_Toc331497778"/>
      <w:bookmarkStart w:id="153" w:name="_Toc331497779"/>
      <w:r w:rsidRPr="00FC26BA">
        <w:rPr>
          <w:rFonts w:hint="cs"/>
          <w:noProof/>
          <w:szCs w:val="22"/>
          <w:rtl/>
        </w:rPr>
        <w:drawing>
          <wp:inline distT="0" distB="0" distL="0" distR="0" wp14:anchorId="3DC99539" wp14:editId="796E7762">
            <wp:extent cx="5745192" cy="8953606"/>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45480" cy="8954055"/>
                    </a:xfrm>
                    <a:prstGeom prst="rect">
                      <a:avLst/>
                    </a:prstGeom>
                    <a:noFill/>
                    <a:ln>
                      <a:noFill/>
                    </a:ln>
                  </pic:spPr>
                </pic:pic>
              </a:graphicData>
            </a:graphic>
          </wp:inline>
        </w:drawing>
      </w:r>
    </w:p>
    <w:p w:rsidR="006715D6" w:rsidRDefault="006715D6" w:rsidP="006715D6">
      <w:pPr>
        <w:pStyle w:val="Heading2"/>
        <w:bidi/>
        <w:rPr>
          <w:rFonts w:ascii="Arabic Typesetting" w:hAnsi="Arabic Typesetting" w:cs="Arabic Typesetting"/>
          <w:i/>
          <w:iCs w:val="0"/>
          <w:sz w:val="36"/>
          <w:szCs w:val="36"/>
        </w:rPr>
      </w:pPr>
      <w:r w:rsidRPr="00FC26BA">
        <w:rPr>
          <w:rFonts w:hint="cs"/>
          <w:noProof/>
          <w:szCs w:val="22"/>
          <w:rtl/>
        </w:rPr>
        <w:drawing>
          <wp:inline distT="0" distB="0" distL="0" distR="0" wp14:anchorId="1DE6D5FA" wp14:editId="3BAB9689">
            <wp:extent cx="5796898" cy="8721306"/>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96915" cy="8721331"/>
                    </a:xfrm>
                    <a:prstGeom prst="rect">
                      <a:avLst/>
                    </a:prstGeom>
                    <a:noFill/>
                    <a:ln>
                      <a:noFill/>
                    </a:ln>
                  </pic:spPr>
                </pic:pic>
              </a:graphicData>
            </a:graphic>
          </wp:inline>
        </w:drawing>
      </w:r>
    </w:p>
    <w:p w:rsidR="006715D6" w:rsidRPr="00977A67" w:rsidRDefault="006715D6" w:rsidP="006715D6">
      <w:pPr>
        <w:pStyle w:val="Heading2"/>
        <w:bidi/>
        <w:rPr>
          <w:rFonts w:ascii="Arabic Typesetting" w:hAnsi="Arabic Typesetting" w:cs="Arabic Typesetting"/>
          <w:i/>
          <w:iCs w:val="0"/>
          <w:sz w:val="36"/>
          <w:szCs w:val="36"/>
          <w:rtl/>
        </w:rPr>
      </w:pPr>
      <w:r w:rsidRPr="00977A67">
        <w:rPr>
          <w:rFonts w:ascii="Arabic Typesetting" w:hAnsi="Arabic Typesetting" w:cs="Arabic Typesetting"/>
          <w:i/>
          <w:iCs w:val="0"/>
          <w:sz w:val="36"/>
          <w:szCs w:val="36"/>
          <w:rtl/>
        </w:rPr>
        <w:t xml:space="preserve">اتحاد مدريد - الرسوم الإضافية - سنة </w:t>
      </w:r>
      <w:bookmarkEnd w:id="149"/>
      <w:r w:rsidRPr="00977A67">
        <w:rPr>
          <w:rFonts w:ascii="Arabic Typesetting" w:hAnsi="Arabic Typesetting" w:cs="Arabic Typesetting" w:hint="cs"/>
          <w:i/>
          <w:iCs w:val="0"/>
          <w:sz w:val="36"/>
          <w:szCs w:val="36"/>
          <w:rtl/>
        </w:rPr>
        <w:t>2013</w:t>
      </w:r>
      <w:bookmarkEnd w:id="150"/>
      <w:bookmarkEnd w:id="151"/>
    </w:p>
    <w:bookmarkEnd w:id="152"/>
    <w:bookmarkEnd w:id="153"/>
    <w:p w:rsidR="006715D6" w:rsidRPr="00977A67" w:rsidRDefault="006715D6" w:rsidP="006715D6">
      <w:pPr>
        <w:keepNext/>
        <w:bidi/>
        <w:jc w:val="both"/>
        <w:rPr>
          <w:rFonts w:ascii="Arabic Typesetting" w:hAnsi="Arabic Typesetting" w:cs="Arabic Typesetting"/>
          <w:b/>
          <w:bCs/>
          <w:sz w:val="36"/>
          <w:szCs w:val="36"/>
          <w:rtl/>
        </w:rPr>
      </w:pPr>
      <w:r>
        <w:rPr>
          <w:rFonts w:ascii="Arabic Typesetting" w:hAnsi="Arabic Typesetting" w:cs="Arabic Typesetting" w:hint="cs"/>
          <w:b/>
          <w:bCs/>
          <w:sz w:val="36"/>
          <w:szCs w:val="36"/>
          <w:rtl/>
        </w:rPr>
        <w:t>الرسوم المحصلة</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2013</w:t>
      </w:r>
      <w:r w:rsidRPr="00977A67">
        <w:rPr>
          <w:rFonts w:ascii="Arabic Typesetting" w:hAnsi="Arabic Typesetting" w:cs="Arabic Typesetting"/>
          <w:sz w:val="36"/>
          <w:szCs w:val="36"/>
          <w:rtl/>
        </w:rPr>
        <w:t xml:space="preserve"> على رسوم إضافية بلغ مجموعها </w:t>
      </w:r>
      <w:r w:rsidRPr="00977A67">
        <w:rPr>
          <w:rFonts w:ascii="Arabic Typesetting" w:hAnsi="Arabic Typesetting" w:cs="Arabic Typesetting" w:hint="cs"/>
          <w:sz w:val="36"/>
          <w:szCs w:val="36"/>
          <w:rtl/>
        </w:rPr>
        <w:t>200 997 2</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التسجيلات والتجديدات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 8(2)(ب) من اتفاق مدريد والمادة 8(2)"2" من بروتوكول اتفاق مدريد].</w:t>
      </w:r>
    </w:p>
    <w:p w:rsidR="006715D6" w:rsidRPr="00977A67" w:rsidRDefault="006715D6" w:rsidP="006715D6">
      <w:pPr>
        <w:keepNext/>
        <w:bidi/>
        <w:spacing w:line="34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تنص القاعدة 37 من اللائحة التنفيذية المشتركة بين اتفاق مدريد بشأن التسجيل الدولي للعلامات وبروتوكوله على أن المعامل المشار إليه في المادتين 8(5) و8(6) من الاتفاق وبروتوكوله، والذي تستفيد منه الدول الأطراف في الاتفاق أو في البروتوكول، حسب الحالة، لأغراض توزيع الرسوم الإضافية والرسوم التكميلية، هو كالآتي:</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t>بالنسبة إلى الأطراف المتعاقدة التي لا تجري أيًّا من الفحوص المذكورة أدناه؛</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t>بالنسبة إلى الأطراف المتعاقدة التي تفحص أسباب الرفض المطلقة فقط؛</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t>بالنسبة إلى الأطراف المتعاقدة التي تجري فحصا على الأسبقية أيضا</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بناء على اعتراض الغير؛</w:t>
      </w:r>
    </w:p>
    <w:p w:rsidR="006715D6" w:rsidRPr="00977A67" w:rsidRDefault="006715D6" w:rsidP="006715D6">
      <w:pPr>
        <w:tabs>
          <w:tab w:val="left" w:pos="1132"/>
        </w:tabs>
        <w:bidi/>
        <w:spacing w:line="340" w:lineRule="exact"/>
        <w:ind w:left="567"/>
        <w:jc w:val="both"/>
        <w:rPr>
          <w:rFonts w:ascii="Arabic Typesetting" w:hAnsi="Arabic Typesetting" w:cs="Arabic Typesetting"/>
          <w:spacing w:val="-6"/>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t>بالنسبة إلى الأطراف المتعاقدة التي تجري أيضا ذلك الفحص تلقائيا ودون أي طلب</w:t>
      </w:r>
      <w:r w:rsidRPr="00977A67">
        <w:rPr>
          <w:rFonts w:ascii="Arabic Typesetting" w:hAnsi="Arabic Typesetting" w:cs="Arabic Typesetting" w:hint="cs"/>
          <w:sz w:val="36"/>
          <w:szCs w:val="36"/>
          <w:rtl/>
        </w:rPr>
        <w:t>، و</w:t>
      </w:r>
      <w:r w:rsidRPr="00977A67">
        <w:rPr>
          <w:rFonts w:ascii="Arabic Typesetting" w:hAnsi="Arabic Typesetting" w:cs="Arabic Typesetting"/>
          <w:spacing w:val="-6"/>
          <w:sz w:val="36"/>
          <w:szCs w:val="36"/>
          <w:rtl/>
        </w:rPr>
        <w:t>بالنسبة أيضا إلى الأطراف المتعاقدة التي تجري بحوثا عن الأسبقية تلقائيا ودون أي طلب، مع بيان أهم الأسبقيات.</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أما عدد التعيينات الواردة في التسجيلات أو التجديدات التي حصلت لقاءها الويبو على رسم إضافي قدره </w:t>
      </w:r>
      <w:r w:rsidRPr="00977A67">
        <w:rPr>
          <w:rFonts w:ascii="Arabic Typesetting" w:hAnsi="Arabic Typesetting" w:cs="Arabic Typesetting" w:hint="cs"/>
          <w:sz w:val="36"/>
          <w:szCs w:val="36"/>
          <w:rtl/>
        </w:rPr>
        <w:t>100</w:t>
      </w:r>
      <w:r w:rsidRPr="00977A67">
        <w:rPr>
          <w:rFonts w:ascii="Arabic Typesetting" w:hAnsi="Arabic Typesetting" w:cs="Arabic Typesetting"/>
          <w:sz w:val="36"/>
          <w:szCs w:val="36"/>
          <w:rtl/>
        </w:rPr>
        <w:t xml:space="preserve"> 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صنف من السلع والخدمات بعد الصنف الثالث، فقد كان كالآتي بالمعامل المبيّن أدناه</w:t>
      </w:r>
      <w:r w:rsidRPr="00977A67">
        <w:rPr>
          <w:rFonts w:ascii="Arabic Typesetting" w:hAnsi="Arabic Typesetting" w:cs="Arabic Typesetting" w:hint="cs"/>
          <w:sz w:val="36"/>
          <w:szCs w:val="36"/>
          <w:rtl/>
        </w:rPr>
        <w:t>:</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013 1</w:t>
      </w:r>
      <w:r w:rsidRPr="00977A67">
        <w:rPr>
          <w:rFonts w:ascii="Arabic Typesetting" w:hAnsi="Arabic Typesetting" w:cs="Arabic Typesetting"/>
          <w:sz w:val="36"/>
          <w:szCs w:val="36"/>
          <w:rtl/>
        </w:rPr>
        <w:tab/>
        <w:t xml:space="preserve">أنتيغوا </w:t>
      </w:r>
      <w:proofErr w:type="spellStart"/>
      <w:r w:rsidRPr="00977A67">
        <w:rPr>
          <w:rFonts w:ascii="Arabic Typesetting" w:hAnsi="Arabic Typesetting" w:cs="Arabic Typesetting"/>
          <w:sz w:val="36"/>
          <w:szCs w:val="36"/>
          <w:rtl/>
        </w:rPr>
        <w:t>وبربودا</w:t>
      </w:r>
      <w:proofErr w:type="spellEnd"/>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849 27</w:t>
      </w:r>
      <w:r w:rsidRPr="00977A67">
        <w:rPr>
          <w:rFonts w:ascii="Arabic Typesetting" w:hAnsi="Arabic Typesetting" w:cs="Arabic Typesetting"/>
          <w:sz w:val="36"/>
          <w:szCs w:val="36"/>
          <w:rtl/>
        </w:rPr>
        <w:tab/>
        <w:t xml:space="preserve">إيطاليا، </w:t>
      </w:r>
      <w:r w:rsidRPr="00977A67">
        <w:rPr>
          <w:rFonts w:ascii="Arabic Typesetting" w:hAnsi="Arabic Typesetting" w:cs="Arabic Typesetting" w:hint="cs"/>
          <w:sz w:val="36"/>
          <w:szCs w:val="36"/>
          <w:rtl/>
        </w:rPr>
        <w:t>لختنشتاين، موناكو، سانت مارتين (مملكة هولندا)</w:t>
      </w:r>
    </w:p>
    <w:p w:rsidR="006715D6" w:rsidRPr="00977A67" w:rsidRDefault="006715D6" w:rsidP="006715D6">
      <w:pPr>
        <w:tabs>
          <w:tab w:val="left" w:pos="1132"/>
        </w:tabs>
        <w:bidi/>
        <w:spacing w:line="34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208 105</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 xml:space="preserve">النمسا، </w:t>
      </w:r>
      <w:proofErr w:type="spellStart"/>
      <w:r w:rsidRPr="00977A67">
        <w:rPr>
          <w:rFonts w:ascii="Arabic Typesetting" w:hAnsi="Arabic Typesetting" w:cs="Arabic Typesetting"/>
          <w:sz w:val="36"/>
          <w:szCs w:val="36"/>
          <w:rtl/>
        </w:rPr>
        <w:t>بنلوكس</w:t>
      </w:r>
      <w:proofErr w:type="spellEnd"/>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6715D6" w:rsidRPr="00977A67" w:rsidRDefault="006715D6" w:rsidP="006715D6">
      <w:pPr>
        <w:tabs>
          <w:tab w:val="left" w:pos="1132"/>
        </w:tabs>
        <w:bidi/>
        <w:spacing w:after="120" w:line="340" w:lineRule="exact"/>
        <w:ind w:left="2126" w:hanging="1559"/>
        <w:rPr>
          <w:rFonts w:ascii="Arabic Typesetting" w:hAnsi="Arabic Typesetting" w:cs="Arabic Typesetting"/>
          <w:sz w:val="34"/>
          <w:szCs w:val="34"/>
          <w:rtl/>
          <w:lang w:bidi="ar-EG"/>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717 231</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tl/>
          <w:lang w:bidi="ar-EG"/>
        </w:rPr>
        <w:t>ألبانيا، الجزائر، أرمينيا، أذربيجان، بيلاروس، بوتان، البوسنة والهرسك، بوتسوانا، بلغاريا، الصين، كوبا، قبرص</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الجمهورية التشيكية، جمهورية كوريا الشعبية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الديمقراطية، مصر، هنغاريا، إيران (جمهورية - الإسلامية)، كازاخستان، كينيا، قيرغيزستان، ليبريا، مدغشقر، منغوليا، الجبل الأسود، المغرب، موزامبيق، ناميبيا،</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 xml:space="preserve">بولندا، البرتغال، جمهورية مولدوفا، رومانيا، الاتحاد الروسي، </w:t>
      </w:r>
      <w:r w:rsidRPr="00977A67">
        <w:rPr>
          <w:rFonts w:ascii="Arabic Typesetting" w:hAnsi="Arabic Typesetting" w:cs="Arabic Typesetting" w:hint="cs"/>
          <w:sz w:val="36"/>
          <w:szCs w:val="36"/>
          <w:rtl/>
          <w:lang w:bidi="ar-EG"/>
        </w:rPr>
        <w:t>رواندا</w:t>
      </w:r>
      <w:r w:rsidRPr="00977A67">
        <w:rPr>
          <w:rFonts w:ascii="Arabic Typesetting" w:hAnsi="Arabic Typesetting" w:cs="Arabic Typesetting" w:hint="cs"/>
          <w:sz w:val="36"/>
          <w:szCs w:val="36"/>
          <w:vertAlign w:val="superscript"/>
          <w:rtl/>
          <w:lang w:bidi="ar-EG"/>
        </w:rPr>
        <w:t>6</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سان</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تومي وبرينسيبي، صربيا، سيراليون، سلوفاكيا، إسبانيا، السودان، سوازيلند، الجمهورية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 xml:space="preserve">العربية السورية، طاجيكستان، أوكرانيا، </w:t>
      </w:r>
      <w:proofErr w:type="spellStart"/>
      <w:r w:rsidRPr="00977A67">
        <w:rPr>
          <w:rFonts w:ascii="Arabic Typesetting" w:hAnsi="Arabic Typesetting" w:cs="Arabic Typesetting"/>
          <w:sz w:val="36"/>
          <w:szCs w:val="36"/>
          <w:rtl/>
          <w:lang w:bidi="ar-EG"/>
        </w:rPr>
        <w:t>فييت</w:t>
      </w:r>
      <w:proofErr w:type="spellEnd"/>
      <w:r w:rsidRPr="00977A67">
        <w:rPr>
          <w:rFonts w:ascii="Arabic Typesetting" w:hAnsi="Arabic Typesetting" w:cs="Arabic Typesetting"/>
          <w:sz w:val="36"/>
          <w:szCs w:val="36"/>
          <w:rtl/>
          <w:lang w:bidi="ar-EG"/>
        </w:rPr>
        <w:t xml:space="preserve"> نام، زامبيا</w:t>
      </w:r>
    </w:p>
    <w:p w:rsidR="006715D6" w:rsidRPr="00977A67" w:rsidRDefault="006715D6" w:rsidP="006715D6">
      <w:pPr>
        <w:bidi/>
        <w:spacing w:after="120" w:line="34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 xml:space="preserve">م الرسوم المحصلة وقدرها </w:t>
      </w:r>
      <w:r w:rsidRPr="00977A67">
        <w:rPr>
          <w:rFonts w:ascii="Arabic Typesetting" w:hAnsi="Arabic Typesetting" w:cs="Arabic Typesetting" w:hint="cs"/>
          <w:sz w:val="36"/>
          <w:szCs w:val="36"/>
          <w:rtl/>
        </w:rPr>
        <w:t>200 997 2</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Pr="00977A67">
        <w:rPr>
          <w:rFonts w:ascii="Arabic Typesetting" w:hAnsi="Arabic Typesetting" w:cs="Arabic Typesetting" w:hint="cs"/>
          <w:sz w:val="36"/>
          <w:szCs w:val="36"/>
          <w:rtl/>
        </w:rPr>
        <w:t>203 299 1</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013 1</w:t>
      </w:r>
      <w:r w:rsidRPr="00977A67">
        <w:rPr>
          <w:rFonts w:ascii="Arabic Typesetting" w:hAnsi="Arabic Typesetting" w:cs="Arabic Typesetting"/>
          <w:sz w:val="36"/>
          <w:szCs w:val="36"/>
          <w:rtl/>
        </w:rPr>
        <w:t xml:space="preserve"> + (</w:t>
      </w:r>
      <w:r>
        <w:rPr>
          <w:rFonts w:ascii="Arabic Typesetting" w:hAnsi="Arabic Typesetting" w:cs="Arabic Typesetting" w:hint="cs"/>
          <w:sz w:val="36"/>
          <w:szCs w:val="36"/>
          <w:rtl/>
        </w:rPr>
        <w:t>849</w:t>
      </w:r>
      <w:r w:rsidRPr="00977A67">
        <w:rPr>
          <w:rFonts w:ascii="Arabic Typesetting" w:hAnsi="Arabic Typesetting" w:cs="Arabic Typesetting" w:hint="cs"/>
          <w:sz w:val="36"/>
          <w:szCs w:val="36"/>
          <w:rtl/>
        </w:rPr>
        <w:t xml:space="preserve"> 27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Pr="00977A67">
        <w:rPr>
          <w:rFonts w:ascii="Arabic Typesetting" w:hAnsi="Arabic Typesetting" w:cs="Arabic Typesetting" w:hint="cs"/>
          <w:sz w:val="36"/>
          <w:szCs w:val="36"/>
          <w:rtl/>
        </w:rPr>
        <w:t>698 55</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208 105</w:t>
      </w:r>
      <w:r w:rsidRPr="00977A67">
        <w:rPr>
          <w:rFonts w:ascii="Arabic Typesetting" w:hAnsi="Arabic Typesetting" w:cs="Arabic Typesetting"/>
          <w:sz w:val="36"/>
          <w:szCs w:val="36"/>
          <w:rtl/>
        </w:rPr>
        <w:t xml:space="preserve"> × 3) </w:t>
      </w:r>
      <w:r w:rsidRPr="00977A67">
        <w:rPr>
          <w:rFonts w:ascii="Arabic Typesetting" w:hAnsi="Arabic Typesetting" w:cs="Arabic Typesetting" w:hint="cs"/>
          <w:sz w:val="36"/>
          <w:szCs w:val="36"/>
          <w:rtl/>
        </w:rPr>
        <w:t>624 315</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717 231</w:t>
      </w:r>
      <w:r w:rsidRPr="00977A67">
        <w:rPr>
          <w:rFonts w:ascii="Arabic Typesetting" w:hAnsi="Arabic Typesetting" w:cs="Arabic Typesetting"/>
          <w:sz w:val="36"/>
          <w:szCs w:val="36"/>
          <w:rtl/>
        </w:rPr>
        <w:t xml:space="preserve"> × 4) </w:t>
      </w:r>
      <w:r w:rsidRPr="00977A67">
        <w:rPr>
          <w:rFonts w:ascii="Arabic Typesetting" w:hAnsi="Arabic Typesetting" w:cs="Arabic Typesetting" w:hint="cs"/>
          <w:sz w:val="36"/>
          <w:szCs w:val="36"/>
          <w:rtl/>
        </w:rPr>
        <w:t>868 926</w:t>
      </w:r>
      <w:r w:rsidRPr="00977A67">
        <w:rPr>
          <w:rFonts w:ascii="Arabic Typesetting" w:hAnsi="Arabic Typesetting" w:cs="Arabic Typesetting"/>
          <w:sz w:val="36"/>
          <w:szCs w:val="36"/>
          <w:rtl/>
        </w:rPr>
        <w:t xml:space="preserve">]. ويستخلص من ذلك أن المبلغ المستحق لكل </w:t>
      </w:r>
      <w:r w:rsidRPr="00977A67">
        <w:rPr>
          <w:rFonts w:ascii="Arabic Typesetting" w:hAnsi="Arabic Typesetting" w:cs="Arabic Typesetting" w:hint="cs"/>
          <w:sz w:val="36"/>
          <w:szCs w:val="36"/>
          <w:rtl/>
        </w:rPr>
        <w:t xml:space="preserve">علامة مطلوب حمايتها </w:t>
      </w:r>
      <w:r w:rsidRPr="00977A67">
        <w:rPr>
          <w:rFonts w:ascii="Arabic Typesetting" w:hAnsi="Arabic Typesetting" w:cs="Arabic Typesetting"/>
          <w:sz w:val="36"/>
          <w:szCs w:val="36"/>
          <w:rtl/>
        </w:rPr>
        <w:t xml:space="preserve">هو </w:t>
      </w:r>
      <w:r w:rsidRPr="00977A67">
        <w:rPr>
          <w:rFonts w:ascii="Arabic Typesetting" w:hAnsi="Arabic Typesetting" w:cs="Arabic Typesetting" w:hint="cs"/>
          <w:sz w:val="36"/>
          <w:szCs w:val="36"/>
          <w:rtl/>
        </w:rPr>
        <w:t>2,30695280</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فرنك </w:t>
      </w:r>
      <w:r w:rsidRPr="00977A67">
        <w:rPr>
          <w:rFonts w:ascii="Arabic Typesetting" w:hAnsi="Arabic Typesetting" w:cs="Arabic Typesetting" w:hint="cs"/>
          <w:sz w:val="36"/>
          <w:szCs w:val="36"/>
          <w:rtl/>
        </w:rPr>
        <w:t xml:space="preserve">سويسري </w:t>
      </w:r>
      <w:r w:rsidRPr="00977A67">
        <w:rPr>
          <w:rFonts w:ascii="Arabic Typesetting" w:hAnsi="Arabic Typesetting" w:cs="Arabic Typesetting"/>
          <w:sz w:val="36"/>
          <w:szCs w:val="36"/>
          <w:rtl/>
        </w:rPr>
        <w:t>لكل نقطة من المعامل [</w:t>
      </w:r>
      <w:r w:rsidRPr="00977A67">
        <w:rPr>
          <w:rFonts w:ascii="Arabic Typesetting" w:hAnsi="Arabic Typesetting" w:cs="Arabic Typesetting" w:hint="cs"/>
          <w:sz w:val="36"/>
          <w:szCs w:val="36"/>
          <w:rtl/>
        </w:rPr>
        <w:t xml:space="preserve">200 997 2 </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203 299 1</w:t>
      </w:r>
      <w:r w:rsidRPr="00977A67">
        <w:rPr>
          <w:rFonts w:ascii="Arabic Typesetting" w:hAnsi="Arabic Typesetting" w:cs="Arabic Typesetting"/>
          <w:sz w:val="36"/>
          <w:szCs w:val="36"/>
          <w:rtl/>
        </w:rPr>
        <w:t>]، أي كالآتي بالمعامل المبيّن أدناه:</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lang w:bidi="ar-EG"/>
        </w:rPr>
        <w:t xml:space="preserve">2,30695280 </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4,61390560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p w:rsidR="006715D6" w:rsidRPr="00977A67" w:rsidRDefault="006715D6" w:rsidP="006715D6">
      <w:pPr>
        <w:tabs>
          <w:tab w:val="left" w:pos="1132"/>
        </w:tabs>
        <w:bidi/>
        <w:spacing w:line="34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6,92085840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p w:rsidR="006715D6" w:rsidRDefault="006715D6" w:rsidP="006715D6">
      <w:pPr>
        <w:tabs>
          <w:tab w:val="left" w:pos="1132"/>
        </w:tabs>
        <w:bidi/>
        <w:spacing w:after="120" w:line="340" w:lineRule="exact"/>
        <w:ind w:left="565"/>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9,22781120 </w:t>
      </w:r>
      <w:r w:rsidRPr="00977A67">
        <w:rPr>
          <w:rFonts w:ascii="Arabic Typesetting" w:hAnsi="Arabic Typesetting" w:cs="Arabic Typesetting"/>
          <w:sz w:val="36"/>
          <w:szCs w:val="36"/>
          <w:rtl/>
        </w:rPr>
        <w:t xml:space="preserve"> فرنكات</w:t>
      </w:r>
      <w:r w:rsidRPr="00977A67">
        <w:rPr>
          <w:rFonts w:ascii="Arabic Typesetting" w:hAnsi="Arabic Typesetting" w:cs="Arabic Typesetting" w:hint="cs"/>
          <w:sz w:val="36"/>
          <w:szCs w:val="36"/>
          <w:rtl/>
        </w:rPr>
        <w:t xml:space="preserve"> سويسرية.</w:t>
      </w:r>
    </w:p>
    <w:p w:rsidR="006715D6" w:rsidRDefault="006715D6" w:rsidP="006715D6">
      <w:pPr>
        <w:tabs>
          <w:tab w:val="left" w:pos="1132"/>
        </w:tabs>
        <w:bidi/>
        <w:spacing w:after="120" w:line="340" w:lineRule="exact"/>
        <w:ind w:left="565"/>
        <w:jc w:val="both"/>
        <w:rPr>
          <w:rFonts w:ascii="Arabic Typesetting" w:hAnsi="Arabic Typesetting" w:cs="Arabic Typesetting"/>
          <w:sz w:val="36"/>
          <w:szCs w:val="36"/>
          <w:rtl/>
        </w:rPr>
      </w:pPr>
    </w:p>
    <w:p w:rsidR="006715D6" w:rsidRDefault="006715D6" w:rsidP="006715D6">
      <w:pPr>
        <w:tabs>
          <w:tab w:val="left" w:pos="1132"/>
        </w:tabs>
        <w:bidi/>
        <w:spacing w:after="120" w:line="340" w:lineRule="exact"/>
        <w:ind w:left="565"/>
        <w:jc w:val="both"/>
        <w:rPr>
          <w:rFonts w:ascii="Arabic Typesetting" w:hAnsi="Arabic Typesetting" w:cs="Arabic Typesetting"/>
          <w:sz w:val="36"/>
          <w:szCs w:val="36"/>
          <w:rtl/>
        </w:rPr>
      </w:pPr>
    </w:p>
    <w:p w:rsidR="006715D6" w:rsidRPr="00977A67" w:rsidRDefault="006715D6" w:rsidP="006715D6">
      <w:pPr>
        <w:tabs>
          <w:tab w:val="left" w:pos="1132"/>
        </w:tabs>
        <w:bidi/>
        <w:spacing w:after="120" w:line="340" w:lineRule="exact"/>
        <w:ind w:left="565"/>
        <w:jc w:val="both"/>
        <w:rPr>
          <w:rFonts w:ascii="Arabic Typesetting" w:hAnsi="Arabic Typesetting" w:cs="Arabic Typesetting"/>
          <w:sz w:val="36"/>
          <w:szCs w:val="36"/>
          <w:rtl/>
        </w:rPr>
      </w:pPr>
    </w:p>
    <w:tbl>
      <w:tblPr>
        <w:tblStyle w:val="TableGrid"/>
        <w:tblpPr w:leftFromText="180" w:rightFromText="180" w:vertAnchor="text" w:horzAnchor="margin" w:tblpY="40"/>
        <w:bidiVisual/>
        <w:tblW w:w="0" w:type="auto"/>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7150"/>
      </w:tblGrid>
      <w:tr w:rsidR="006715D6" w:rsidRPr="00977A67" w:rsidTr="001E66FF">
        <w:tc>
          <w:tcPr>
            <w:tcW w:w="2200" w:type="dxa"/>
          </w:tcPr>
          <w:p w:rsidR="006715D6" w:rsidRPr="00977A67" w:rsidRDefault="006715D6" w:rsidP="001E66FF">
            <w:pPr>
              <w:tabs>
                <w:tab w:val="left" w:pos="281"/>
              </w:tabs>
              <w:bidi/>
              <w:spacing w:line="220" w:lineRule="exact"/>
              <w:jc w:val="both"/>
              <w:rPr>
                <w:rFonts w:ascii="Arabic Typesetting" w:hAnsi="Arabic Typesetting" w:cs="Arabic Typesetting"/>
                <w:szCs w:val="22"/>
                <w:rtl/>
              </w:rPr>
            </w:pPr>
            <w:r w:rsidRPr="00977A67">
              <w:rPr>
                <w:rFonts w:ascii="Arabic Typesetting" w:hAnsi="Arabic Typesetting" w:cs="Arabic Typesetting" w:hint="cs"/>
                <w:szCs w:val="22"/>
                <w:vertAlign w:val="superscript"/>
                <w:rtl/>
              </w:rPr>
              <w:t>6</w:t>
            </w:r>
            <w:r w:rsidRPr="00977A67">
              <w:rPr>
                <w:rFonts w:ascii="Arabic Typesetting" w:hAnsi="Arabic Typesetting" w:cs="Arabic Typesetting" w:hint="cs"/>
                <w:szCs w:val="22"/>
                <w:rtl/>
              </w:rPr>
              <w:tab/>
              <w:t>ابتداء من 17 أغسطس 2013</w:t>
            </w:r>
          </w:p>
        </w:tc>
        <w:tc>
          <w:tcPr>
            <w:tcW w:w="7150" w:type="dxa"/>
          </w:tcPr>
          <w:p w:rsidR="006715D6" w:rsidRPr="00977A67" w:rsidRDefault="006715D6" w:rsidP="001E66FF">
            <w:pPr>
              <w:tabs>
                <w:tab w:val="left" w:pos="281"/>
              </w:tabs>
              <w:bidi/>
              <w:spacing w:line="220" w:lineRule="exact"/>
              <w:jc w:val="both"/>
              <w:rPr>
                <w:rFonts w:ascii="Arabic Typesetting" w:hAnsi="Arabic Typesetting" w:cs="Arabic Typesetting"/>
                <w:szCs w:val="22"/>
                <w:rtl/>
              </w:rPr>
            </w:pPr>
          </w:p>
        </w:tc>
      </w:tr>
    </w:tbl>
    <w:p w:rsidR="006715D6" w:rsidRPr="00977A67" w:rsidRDefault="006715D6" w:rsidP="006715D6">
      <w:pPr>
        <w:keepNext/>
        <w:bidi/>
        <w:spacing w:after="120"/>
        <w:jc w:val="both"/>
        <w:rPr>
          <w:rFonts w:ascii="Arabic Typesetting" w:hAnsi="Arabic Typesetting" w:cs="Arabic Typesetting"/>
          <w:sz w:val="34"/>
          <w:szCs w:val="34"/>
          <w:lang w:bidi="ar-EG"/>
        </w:rPr>
      </w:pPr>
      <w:r w:rsidRPr="00FC26BA">
        <w:rPr>
          <w:noProof/>
          <w:szCs w:val="22"/>
          <w:rtl/>
        </w:rPr>
        <w:drawing>
          <wp:inline distT="0" distB="0" distL="0" distR="0" wp14:anchorId="32A8B552" wp14:editId="0D40E980">
            <wp:extent cx="5909094" cy="8833449"/>
            <wp:effectExtent l="0" t="0" r="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17565" cy="8846113"/>
                    </a:xfrm>
                    <a:prstGeom prst="rect">
                      <a:avLst/>
                    </a:prstGeom>
                    <a:noFill/>
                    <a:ln>
                      <a:noFill/>
                    </a:ln>
                  </pic:spPr>
                </pic:pic>
              </a:graphicData>
            </a:graphic>
          </wp:inline>
        </w:drawing>
      </w:r>
    </w:p>
    <w:p w:rsidR="006715D6" w:rsidRPr="00977A67" w:rsidRDefault="006715D6" w:rsidP="006715D6">
      <w:pPr>
        <w:pStyle w:val="Heading2"/>
        <w:bidi/>
        <w:rPr>
          <w:rFonts w:ascii="Arabic Typesetting" w:hAnsi="Arabic Typesetting" w:cs="Arabic Typesetting"/>
          <w:i/>
          <w:iCs w:val="0"/>
          <w:sz w:val="36"/>
          <w:szCs w:val="36"/>
          <w:rtl/>
        </w:rPr>
      </w:pPr>
      <w:bookmarkStart w:id="154" w:name="_Toc331497780"/>
      <w:bookmarkStart w:id="155" w:name="_Toc381088597"/>
      <w:bookmarkStart w:id="156" w:name="_Toc394905530"/>
      <w:bookmarkStart w:id="157" w:name="_Toc394914294"/>
      <w:r w:rsidRPr="00977A67">
        <w:rPr>
          <w:rFonts w:ascii="Arabic Typesetting" w:hAnsi="Arabic Typesetting" w:cs="Arabic Typesetting"/>
          <w:i/>
          <w:iCs w:val="0"/>
          <w:sz w:val="36"/>
          <w:szCs w:val="36"/>
          <w:rtl/>
        </w:rPr>
        <w:t xml:space="preserve">اتحاد مدريد - الرسوم </w:t>
      </w:r>
      <w:r w:rsidRPr="00977A67">
        <w:rPr>
          <w:rFonts w:ascii="Arabic Typesetting" w:hAnsi="Arabic Typesetting" w:cs="Arabic Typesetting" w:hint="cs"/>
          <w:i/>
          <w:iCs w:val="0"/>
          <w:sz w:val="36"/>
          <w:szCs w:val="36"/>
          <w:rtl/>
        </w:rPr>
        <w:t>التكميلية</w:t>
      </w:r>
      <w:r w:rsidRPr="00977A67">
        <w:rPr>
          <w:rFonts w:ascii="Arabic Typesetting" w:hAnsi="Arabic Typesetting" w:cs="Arabic Typesetting"/>
          <w:i/>
          <w:iCs w:val="0"/>
          <w:sz w:val="36"/>
          <w:szCs w:val="36"/>
          <w:rtl/>
        </w:rPr>
        <w:t xml:space="preserve"> - سنة </w:t>
      </w:r>
      <w:bookmarkEnd w:id="154"/>
      <w:bookmarkEnd w:id="155"/>
      <w:r w:rsidRPr="00977A67">
        <w:rPr>
          <w:rFonts w:ascii="Arabic Typesetting" w:hAnsi="Arabic Typesetting" w:cs="Arabic Typesetting" w:hint="cs"/>
          <w:i/>
          <w:iCs w:val="0"/>
          <w:sz w:val="36"/>
          <w:szCs w:val="36"/>
          <w:rtl/>
        </w:rPr>
        <w:t>2013</w:t>
      </w:r>
      <w:bookmarkEnd w:id="156"/>
      <w:bookmarkEnd w:id="157"/>
    </w:p>
    <w:p w:rsidR="006715D6" w:rsidRPr="00977A67" w:rsidRDefault="006715D6" w:rsidP="006715D6">
      <w:pPr>
        <w:keepNext/>
        <w:bidi/>
        <w:jc w:val="both"/>
        <w:rPr>
          <w:rFonts w:ascii="Arabic Typesetting" w:hAnsi="Arabic Typesetting" w:cs="Arabic Typesetting"/>
          <w:b/>
          <w:bCs/>
          <w:sz w:val="36"/>
          <w:szCs w:val="36"/>
          <w:rtl/>
        </w:rPr>
      </w:pPr>
      <w:r>
        <w:rPr>
          <w:rFonts w:ascii="Arabic Typesetting" w:hAnsi="Arabic Typesetting" w:cs="Arabic Typesetting" w:hint="cs"/>
          <w:b/>
          <w:bCs/>
          <w:sz w:val="36"/>
          <w:szCs w:val="36"/>
          <w:rtl/>
        </w:rPr>
        <w:t>الرسوم المحصلة</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2013</w:t>
      </w:r>
      <w:r w:rsidRPr="00977A67">
        <w:rPr>
          <w:rFonts w:ascii="Arabic Typesetting" w:hAnsi="Arabic Typesetting" w:cs="Arabic Typesetting"/>
          <w:sz w:val="36"/>
          <w:szCs w:val="36"/>
          <w:rtl/>
        </w:rPr>
        <w:t xml:space="preserve"> على رسوم </w:t>
      </w:r>
      <w:r w:rsidRPr="00977A67">
        <w:rPr>
          <w:rFonts w:ascii="Arabic Typesetting" w:hAnsi="Arabic Typesetting" w:cs="Arabic Typesetting" w:hint="cs"/>
          <w:sz w:val="36"/>
          <w:szCs w:val="36"/>
          <w:rtl/>
        </w:rPr>
        <w:t>تكميلية</w:t>
      </w:r>
      <w:r w:rsidRPr="00977A67">
        <w:rPr>
          <w:rFonts w:ascii="Arabic Typesetting" w:hAnsi="Arabic Typesetting" w:cs="Arabic Typesetting"/>
          <w:sz w:val="36"/>
          <w:szCs w:val="36"/>
          <w:rtl/>
        </w:rPr>
        <w:t xml:space="preserve"> بلغ مجموعها </w:t>
      </w:r>
      <w:r w:rsidRPr="00977A67">
        <w:rPr>
          <w:rFonts w:ascii="Arabic Typesetting" w:hAnsi="Arabic Typesetting" w:cs="Arabic Typesetting" w:hint="cs"/>
          <w:sz w:val="36"/>
          <w:szCs w:val="36"/>
          <w:rtl/>
        </w:rPr>
        <w:t>700 841 38</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لقاء </w:t>
      </w:r>
      <w:r w:rsidRPr="00977A67">
        <w:rPr>
          <w:rFonts w:ascii="Arabic Typesetting" w:hAnsi="Arabic Typesetting" w:cs="Arabic Typesetting" w:hint="cs"/>
          <w:sz w:val="36"/>
          <w:szCs w:val="36"/>
          <w:rtl/>
        </w:rPr>
        <w:t>417 388 تعيينا (جرت أثناء التسجيل أو بعد التسجيل أو أثناء التجديد)</w:t>
      </w:r>
      <w:r w:rsidRPr="00977A67">
        <w:rPr>
          <w:rFonts w:ascii="Arabic Typesetting" w:hAnsi="Arabic Typesetting" w:cs="Arabic Typesetting"/>
          <w:sz w:val="36"/>
          <w:szCs w:val="36"/>
          <w:rtl/>
        </w:rPr>
        <w:t xml:space="preserve"> بالاستناد إلى الجدول الساري اعتبارا من 1 </w:t>
      </w:r>
      <w:r w:rsidRPr="00977A67">
        <w:rPr>
          <w:rFonts w:ascii="Arabic Typesetting" w:hAnsi="Arabic Typesetting" w:cs="Arabic Typesetting" w:hint="cs"/>
          <w:sz w:val="36"/>
          <w:szCs w:val="36"/>
          <w:rtl/>
        </w:rPr>
        <w:t>سبتمبر</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2008</w:t>
      </w:r>
      <w:r w:rsidRPr="00977A67">
        <w:rPr>
          <w:rFonts w:ascii="Arabic Typesetting" w:hAnsi="Arabic Typesetting" w:cs="Arabic Typesetting"/>
          <w:sz w:val="36"/>
          <w:szCs w:val="36"/>
          <w:rtl/>
        </w:rPr>
        <w:t xml:space="preserve"> [المادة</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8(2)(</w:t>
      </w:r>
      <w:r w:rsidRPr="00977A67">
        <w:rPr>
          <w:rFonts w:ascii="Arabic Typesetting" w:hAnsi="Arabic Typesetting" w:cs="Arabic Typesetting" w:hint="cs"/>
          <w:sz w:val="36"/>
          <w:szCs w:val="36"/>
          <w:rtl/>
        </w:rPr>
        <w:t>ج</w:t>
      </w:r>
      <w:r w:rsidRPr="00977A67">
        <w:rPr>
          <w:rFonts w:ascii="Arabic Typesetting" w:hAnsi="Arabic Typesetting" w:cs="Arabic Typesetting"/>
          <w:sz w:val="36"/>
          <w:szCs w:val="36"/>
          <w:rtl/>
        </w:rPr>
        <w:t>) من اتفاق مدريد والمادة 8(2)"</w:t>
      </w:r>
      <w:r w:rsidRPr="00977A67">
        <w:rPr>
          <w:rFonts w:ascii="Arabic Typesetting" w:hAnsi="Arabic Typesetting" w:cs="Arabic Typesetting" w:hint="cs"/>
          <w:sz w:val="36"/>
          <w:szCs w:val="36"/>
          <w:rtl/>
        </w:rPr>
        <w:t>3</w:t>
      </w:r>
      <w:r w:rsidRPr="00977A67">
        <w:rPr>
          <w:rFonts w:ascii="Arabic Typesetting" w:hAnsi="Arabic Typesetting" w:cs="Arabic Typesetting"/>
          <w:sz w:val="36"/>
          <w:szCs w:val="36"/>
          <w:rtl/>
        </w:rPr>
        <w:t>" من بروتوكول اتفاق مدريد].</w:t>
      </w:r>
    </w:p>
    <w:p w:rsidR="006715D6" w:rsidRPr="00977A67" w:rsidRDefault="006715D6" w:rsidP="006715D6">
      <w:pPr>
        <w:keepNext/>
        <w:bidi/>
        <w:spacing w:line="36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6715D6" w:rsidRPr="00977A67" w:rsidRDefault="006715D6" w:rsidP="006715D6">
      <w:pPr>
        <w:tabs>
          <w:tab w:val="left" w:pos="1132"/>
        </w:tabs>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توزَّع الرسوم بالاستناد إلى عدد التعيينات [المادة 8(6) من اتفاق مدريد بشأن التسجيل الدولي للعلامات وبروتوكوله] وإلى المعامل المنطبق [القاعدة 37 من اللائحة التنفيذية المشتركة بين اتفاق مدريد بشأن التسجيل الدولي للعلامات وبروتوكوله].</w:t>
      </w:r>
    </w:p>
    <w:p w:rsidR="006715D6" w:rsidRPr="00977A67" w:rsidRDefault="006715D6" w:rsidP="006715D6">
      <w:pPr>
        <w:tabs>
          <w:tab w:val="left" w:pos="1132"/>
        </w:tabs>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أما عدد التعيينات التي حصلت لقاءها الويبو على رسم تكميلي قدره </w:t>
      </w:r>
      <w:r w:rsidRPr="00977A67">
        <w:rPr>
          <w:rFonts w:ascii="Arabic Typesetting" w:hAnsi="Arabic Typesetting" w:cs="Arabic Typesetting" w:hint="cs"/>
          <w:sz w:val="36"/>
          <w:szCs w:val="36"/>
          <w:rtl/>
        </w:rPr>
        <w:t>100</w:t>
      </w:r>
      <w:r w:rsidRPr="00977A67">
        <w:rPr>
          <w:rFonts w:ascii="Arabic Typesetting" w:hAnsi="Arabic Typesetting" w:cs="Arabic Typesetting"/>
          <w:sz w:val="36"/>
          <w:szCs w:val="36"/>
          <w:rtl/>
        </w:rPr>
        <w:t xml:space="preserve"> فرنك سويسري فقد كان كالآتي بالمعامل المبيّن أدناه:</w:t>
      </w:r>
    </w:p>
    <w:p w:rsidR="006715D6" w:rsidRPr="00977A67" w:rsidRDefault="006715D6" w:rsidP="006715D6">
      <w:pPr>
        <w:tabs>
          <w:tab w:val="left" w:pos="1132"/>
        </w:tabs>
        <w:bidi/>
        <w:spacing w:line="36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140 1</w:t>
      </w:r>
      <w:r w:rsidRPr="00977A67">
        <w:rPr>
          <w:rFonts w:ascii="Arabic Typesetting" w:hAnsi="Arabic Typesetting" w:cs="Arabic Typesetting"/>
          <w:sz w:val="36"/>
          <w:szCs w:val="36"/>
          <w:rtl/>
        </w:rPr>
        <w:tab/>
        <w:t xml:space="preserve">أنتيغوا </w:t>
      </w:r>
      <w:proofErr w:type="spellStart"/>
      <w:r w:rsidRPr="00977A67">
        <w:rPr>
          <w:rFonts w:ascii="Arabic Typesetting" w:hAnsi="Arabic Typesetting" w:cs="Arabic Typesetting"/>
          <w:sz w:val="36"/>
          <w:szCs w:val="36"/>
          <w:rtl/>
        </w:rPr>
        <w:t>وبربودا</w:t>
      </w:r>
      <w:proofErr w:type="spellEnd"/>
    </w:p>
    <w:p w:rsidR="006715D6" w:rsidRPr="00977A67" w:rsidRDefault="006715D6" w:rsidP="006715D6">
      <w:pPr>
        <w:tabs>
          <w:tab w:val="left" w:pos="1132"/>
        </w:tabs>
        <w:bidi/>
        <w:spacing w:line="36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727 28</w:t>
      </w:r>
      <w:r w:rsidRPr="00977A67">
        <w:rPr>
          <w:rFonts w:ascii="Arabic Typesetting" w:hAnsi="Arabic Typesetting" w:cs="Arabic Typesetting"/>
          <w:sz w:val="36"/>
          <w:szCs w:val="36"/>
          <w:rtl/>
        </w:rPr>
        <w:tab/>
        <w:t xml:space="preserve">إيطاليا، </w:t>
      </w:r>
      <w:r w:rsidRPr="00977A67">
        <w:rPr>
          <w:rFonts w:ascii="Arabic Typesetting" w:hAnsi="Arabic Typesetting" w:cs="Arabic Typesetting" w:hint="cs"/>
          <w:sz w:val="36"/>
          <w:szCs w:val="36"/>
          <w:rtl/>
        </w:rPr>
        <w:t>لختنشتاين، موناكو، سانت مارتين (مملكة هولندا)</w:t>
      </w:r>
    </w:p>
    <w:p w:rsidR="006715D6" w:rsidRPr="00977A67" w:rsidRDefault="006715D6" w:rsidP="006715D6">
      <w:pPr>
        <w:tabs>
          <w:tab w:val="left" w:pos="1132"/>
        </w:tabs>
        <w:bidi/>
        <w:spacing w:line="360" w:lineRule="exact"/>
        <w:ind w:left="2126" w:hanging="1559"/>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708 108</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 xml:space="preserve">النمسا، </w:t>
      </w:r>
      <w:proofErr w:type="spellStart"/>
      <w:r w:rsidRPr="00977A67">
        <w:rPr>
          <w:rFonts w:ascii="Arabic Typesetting" w:hAnsi="Arabic Typesetting" w:cs="Arabic Typesetting"/>
          <w:sz w:val="36"/>
          <w:szCs w:val="36"/>
          <w:rtl/>
        </w:rPr>
        <w:t>بنلوكس</w:t>
      </w:r>
      <w:proofErr w:type="spellEnd"/>
      <w:r w:rsidRPr="00977A67">
        <w:rPr>
          <w:rFonts w:ascii="Arabic Typesetting" w:hAnsi="Arabic Typesetting" w:cs="Arabic Typesetting"/>
          <w:sz w:val="36"/>
          <w:szCs w:val="36"/>
          <w:rtl/>
        </w:rPr>
        <w:t>، كرواتيا، فرنسا، ألمانيا، لاتفيا، ليسوتو، ليتوانيا</w:t>
      </w:r>
      <w:r w:rsidRPr="00977A67">
        <w:rPr>
          <w:rFonts w:ascii="Arabic Typesetting" w:hAnsi="Arabic Typesetting" w:cs="Arabic Typesetting" w:hint="cs"/>
          <w:sz w:val="36"/>
          <w:szCs w:val="36"/>
          <w:rtl/>
        </w:rPr>
        <w:t>، سان مارينو</w:t>
      </w:r>
      <w:r w:rsidRPr="00977A67">
        <w:rPr>
          <w:rFonts w:ascii="Arabic Typesetting" w:hAnsi="Arabic Typesetting" w:cs="Arabic Typesetting"/>
          <w:sz w:val="36"/>
          <w:szCs w:val="36"/>
          <w:rtl/>
        </w:rPr>
        <w:t>، سلوفينيا، سويسرا، جمهورية مقدونيا اليوغوسلافية السابقة</w:t>
      </w:r>
    </w:p>
    <w:p w:rsidR="006715D6" w:rsidRPr="00977A67" w:rsidRDefault="006715D6" w:rsidP="006715D6">
      <w:pPr>
        <w:tabs>
          <w:tab w:val="left" w:pos="1132"/>
        </w:tabs>
        <w:bidi/>
        <w:spacing w:after="120" w:line="360" w:lineRule="exact"/>
        <w:ind w:left="2126" w:hanging="1559"/>
        <w:rPr>
          <w:rFonts w:ascii="Arabic Typesetting" w:hAnsi="Arabic Typesetting" w:cs="Arabic Typesetting"/>
          <w:sz w:val="34"/>
          <w:szCs w:val="34"/>
          <w:rtl/>
          <w:lang w:bidi="ar-EG"/>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hint="cs"/>
          <w:sz w:val="36"/>
          <w:szCs w:val="36"/>
          <w:rtl/>
        </w:rPr>
        <w:t>842 249</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tl/>
          <w:lang w:bidi="ar-EG"/>
        </w:rPr>
        <w:t>ألبانيا، الجزائر، أرمينيا، أذربيجان، بيلاروس، بوتان، البوسنة والهرسك، بوتسوانا، بلغاريا، الصين، كوبا، قبرص</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الجمهورية التشيكية، جمهورية كوريا الشعبية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الديمقراطية، مصر، هنغاريا، إيران (جمهورية - الإسلامية)، كازاخستان، كينيا، قيرغيزستان، ليبريا، مدغشقر، منغوليا، الجبل الأسود، المغرب، موزامبيق، ناميبيا،</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 xml:space="preserve">بولندا، البرتغال، جمهورية مولدوفا، رومانيا، الاتحاد الروسي، </w:t>
      </w:r>
      <w:r w:rsidRPr="00977A67">
        <w:rPr>
          <w:rFonts w:ascii="Arabic Typesetting" w:hAnsi="Arabic Typesetting" w:cs="Arabic Typesetting" w:hint="cs"/>
          <w:sz w:val="36"/>
          <w:szCs w:val="36"/>
          <w:rtl/>
          <w:lang w:bidi="ar-EG"/>
        </w:rPr>
        <w:t>رواندا</w:t>
      </w:r>
      <w:r w:rsidRPr="00977A67">
        <w:rPr>
          <w:rFonts w:ascii="Arabic Typesetting" w:hAnsi="Arabic Typesetting" w:cs="Arabic Typesetting" w:hint="cs"/>
          <w:sz w:val="36"/>
          <w:szCs w:val="36"/>
          <w:vertAlign w:val="superscript"/>
          <w:rtl/>
          <w:lang w:bidi="ar-EG"/>
        </w:rPr>
        <w:t>6</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سان</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تومي وبرينسيبي، صربيا، سيراليون، سلوفاكيا، إسبانيا، السودان، سوازيلند، الجمهورية</w:t>
      </w:r>
      <w:r w:rsidRPr="00977A67">
        <w:rPr>
          <w:rFonts w:ascii="Arabic Typesetting" w:hAnsi="Arabic Typesetting" w:cs="Arabic Typesetting"/>
          <w:sz w:val="36"/>
          <w:szCs w:val="36"/>
          <w:lang w:bidi="ar-EG"/>
        </w:rPr>
        <w:t xml:space="preserve"> </w:t>
      </w:r>
      <w:r w:rsidRPr="00977A67">
        <w:rPr>
          <w:rFonts w:ascii="Arabic Typesetting" w:hAnsi="Arabic Typesetting" w:cs="Arabic Typesetting"/>
          <w:sz w:val="36"/>
          <w:szCs w:val="36"/>
          <w:rtl/>
          <w:lang w:bidi="ar-EG"/>
        </w:rPr>
        <w:t xml:space="preserve">العربية السورية، طاجيكستان، أوكرانيا، </w:t>
      </w:r>
      <w:proofErr w:type="spellStart"/>
      <w:r w:rsidRPr="00977A67">
        <w:rPr>
          <w:rFonts w:ascii="Arabic Typesetting" w:hAnsi="Arabic Typesetting" w:cs="Arabic Typesetting"/>
          <w:sz w:val="36"/>
          <w:szCs w:val="36"/>
          <w:rtl/>
          <w:lang w:bidi="ar-EG"/>
        </w:rPr>
        <w:t>فييت</w:t>
      </w:r>
      <w:proofErr w:type="spellEnd"/>
      <w:r w:rsidRPr="00977A67">
        <w:rPr>
          <w:rFonts w:ascii="Arabic Typesetting" w:hAnsi="Arabic Typesetting" w:cs="Arabic Typesetting"/>
          <w:sz w:val="36"/>
          <w:szCs w:val="36"/>
          <w:rtl/>
          <w:lang w:bidi="ar-EG"/>
        </w:rPr>
        <w:t xml:space="preserve"> نام، زامبيا</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و</w:t>
      </w:r>
      <w:r w:rsidRPr="00977A67">
        <w:rPr>
          <w:rFonts w:ascii="Arabic Typesetting" w:hAnsi="Arabic Typesetting" w:cs="Arabic Typesetting" w:hint="cs"/>
          <w:sz w:val="36"/>
          <w:szCs w:val="36"/>
          <w:rtl/>
        </w:rPr>
        <w:t xml:space="preserve">يجب </w:t>
      </w:r>
      <w:r w:rsidRPr="00977A67">
        <w:rPr>
          <w:rFonts w:ascii="Arabic Typesetting" w:hAnsi="Arabic Typesetting" w:cs="Arabic Typesetting"/>
          <w:sz w:val="36"/>
          <w:szCs w:val="36"/>
          <w:rtl/>
        </w:rPr>
        <w:t>تقس</w:t>
      </w:r>
      <w:r w:rsidRPr="00977A67">
        <w:rPr>
          <w:rFonts w:ascii="Arabic Typesetting" w:hAnsi="Arabic Typesetting" w:cs="Arabic Typesetting" w:hint="cs"/>
          <w:sz w:val="36"/>
          <w:szCs w:val="36"/>
          <w:rtl/>
        </w:rPr>
        <w:t>ي</w:t>
      </w:r>
      <w:r w:rsidRPr="00977A67">
        <w:rPr>
          <w:rFonts w:ascii="Arabic Typesetting" w:hAnsi="Arabic Typesetting" w:cs="Arabic Typesetting"/>
          <w:sz w:val="36"/>
          <w:szCs w:val="36"/>
          <w:rtl/>
        </w:rPr>
        <w:t xml:space="preserve">م الرسوم المحصلة وقدرها </w:t>
      </w:r>
      <w:r w:rsidRPr="00977A67">
        <w:rPr>
          <w:rFonts w:ascii="Arabic Typesetting" w:hAnsi="Arabic Typesetting" w:cs="Arabic Typesetting" w:hint="cs"/>
          <w:sz w:val="36"/>
          <w:szCs w:val="36"/>
          <w:rtl/>
        </w:rPr>
        <w:t>700 841 38</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 xml:space="preserve"> سويسري</w:t>
      </w:r>
      <w:r w:rsidRPr="00977A67">
        <w:rPr>
          <w:rFonts w:ascii="Arabic Typesetting" w:hAnsi="Arabic Typesetting" w:cs="Arabic Typesetting"/>
          <w:sz w:val="36"/>
          <w:szCs w:val="36"/>
          <w:rtl/>
        </w:rPr>
        <w:t xml:space="preserve"> على </w:t>
      </w:r>
      <w:r w:rsidRPr="00977A67">
        <w:rPr>
          <w:rFonts w:ascii="Arabic Typesetting" w:hAnsi="Arabic Typesetting" w:cs="Arabic Typesetting" w:hint="cs"/>
          <w:sz w:val="36"/>
          <w:szCs w:val="36"/>
          <w:rtl/>
        </w:rPr>
        <w:t>086 384 1</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140 1</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 xml:space="preserve">727 28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2) </w:t>
      </w:r>
      <w:r w:rsidRPr="00977A67">
        <w:rPr>
          <w:rFonts w:ascii="Arabic Typesetting" w:hAnsi="Arabic Typesetting" w:cs="Arabic Typesetting" w:hint="cs"/>
          <w:sz w:val="36"/>
          <w:szCs w:val="36"/>
          <w:rtl/>
        </w:rPr>
        <w:t>454 57</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708 108</w:t>
      </w:r>
      <w:r w:rsidRPr="00977A67">
        <w:rPr>
          <w:rFonts w:ascii="Arabic Typesetting" w:hAnsi="Arabic Typesetting" w:cs="Arabic Typesetting"/>
          <w:sz w:val="36"/>
          <w:szCs w:val="36"/>
          <w:rtl/>
        </w:rPr>
        <w:t xml:space="preserve"> × 3) </w:t>
      </w:r>
      <w:r w:rsidRPr="00977A67">
        <w:rPr>
          <w:rFonts w:ascii="Arabic Typesetting" w:hAnsi="Arabic Typesetting" w:cs="Arabic Typesetting" w:hint="cs"/>
          <w:sz w:val="36"/>
          <w:szCs w:val="36"/>
          <w:rtl/>
        </w:rPr>
        <w:t>124 326</w:t>
      </w:r>
      <w:r w:rsidRPr="00977A67">
        <w:rPr>
          <w:rFonts w:ascii="Arabic Typesetting" w:hAnsi="Arabic Typesetting" w:cs="Arabic Typesetting"/>
          <w:sz w:val="36"/>
          <w:szCs w:val="36"/>
          <w:rtl/>
        </w:rPr>
        <w:t xml:space="preserve"> + (</w:t>
      </w:r>
      <w:r w:rsidRPr="00977A67">
        <w:rPr>
          <w:rFonts w:ascii="Arabic Typesetting" w:hAnsi="Arabic Typesetting" w:cs="Arabic Typesetting" w:hint="cs"/>
          <w:sz w:val="36"/>
          <w:szCs w:val="36"/>
          <w:rtl/>
        </w:rPr>
        <w:t>842 249</w:t>
      </w:r>
      <w:r w:rsidRPr="00977A67">
        <w:rPr>
          <w:rFonts w:ascii="Arabic Typesetting" w:hAnsi="Arabic Typesetting" w:cs="Arabic Typesetting"/>
          <w:sz w:val="36"/>
          <w:szCs w:val="36"/>
          <w:rtl/>
        </w:rPr>
        <w:t xml:space="preserve"> × 4) </w:t>
      </w:r>
      <w:r w:rsidRPr="00977A67">
        <w:rPr>
          <w:rFonts w:ascii="Arabic Typesetting" w:hAnsi="Arabic Typesetting" w:cs="Arabic Typesetting" w:hint="cs"/>
          <w:sz w:val="36"/>
          <w:szCs w:val="36"/>
          <w:rtl/>
        </w:rPr>
        <w:t>368 999</w:t>
      </w:r>
      <w:r w:rsidRPr="00977A67">
        <w:rPr>
          <w:rFonts w:ascii="Arabic Typesetting" w:hAnsi="Arabic Typesetting" w:cs="Arabic Typesetting"/>
          <w:sz w:val="36"/>
          <w:szCs w:val="36"/>
          <w:rtl/>
        </w:rPr>
        <w:t>]. ويستخلص من ذلك أن المبلغ المستحق لكل تعيين</w:t>
      </w:r>
      <w:r w:rsidRPr="00977A67">
        <w:rPr>
          <w:rFonts w:ascii="Arabic Typesetting" w:hAnsi="Arabic Typesetting" w:cs="Arabic Typesetting" w:hint="cs"/>
          <w:sz w:val="36"/>
          <w:szCs w:val="36"/>
          <w:rtl/>
        </w:rPr>
        <w:t xml:space="preserve"> مطلوب حمايته</w:t>
      </w:r>
      <w:r w:rsidRPr="00977A67">
        <w:rPr>
          <w:rFonts w:ascii="Arabic Typesetting" w:hAnsi="Arabic Typesetting" w:cs="Arabic Typesetting"/>
          <w:sz w:val="36"/>
          <w:szCs w:val="36"/>
          <w:rtl/>
        </w:rPr>
        <w:t xml:space="preserve"> هو </w:t>
      </w:r>
      <w:r w:rsidRPr="00977A67">
        <w:rPr>
          <w:rFonts w:ascii="Arabic Typesetting" w:hAnsi="Arabic Typesetting" w:cs="Arabic Typesetting" w:hint="cs"/>
          <w:sz w:val="36"/>
          <w:szCs w:val="36"/>
          <w:rtl/>
        </w:rPr>
        <w:t>28,06306834</w:t>
      </w:r>
      <w:r w:rsidRPr="00977A67">
        <w:rPr>
          <w:rFonts w:ascii="Arabic Typesetting" w:hAnsi="Arabic Typesetting" w:cs="Arabic Typesetting"/>
          <w:sz w:val="36"/>
          <w:szCs w:val="36"/>
          <w:rtl/>
        </w:rPr>
        <w:t xml:space="preserve"> فرنك</w:t>
      </w:r>
      <w:r w:rsidRPr="00977A67">
        <w:rPr>
          <w:rFonts w:ascii="Arabic Typesetting" w:hAnsi="Arabic Typesetting" w:cs="Arabic Typesetting" w:hint="cs"/>
          <w:sz w:val="36"/>
          <w:szCs w:val="36"/>
          <w:rtl/>
        </w:rPr>
        <w:t>ا</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سويسريا </w:t>
      </w:r>
      <w:r w:rsidRPr="00977A67">
        <w:rPr>
          <w:rFonts w:ascii="Arabic Typesetting" w:hAnsi="Arabic Typesetting" w:cs="Arabic Typesetting"/>
          <w:sz w:val="36"/>
          <w:szCs w:val="36"/>
          <w:rtl/>
        </w:rPr>
        <w:t>لكل نقطة من المعامل [</w:t>
      </w:r>
      <w:r w:rsidRPr="00977A67">
        <w:rPr>
          <w:rFonts w:ascii="Arabic Typesetting" w:hAnsi="Arabic Typesetting" w:cs="Arabic Typesetting" w:hint="cs"/>
          <w:sz w:val="36"/>
          <w:szCs w:val="36"/>
          <w:rtl/>
        </w:rPr>
        <w:t xml:space="preserve">700 841 38 </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086 384 1</w:t>
      </w:r>
      <w:r w:rsidRPr="00977A67">
        <w:rPr>
          <w:rFonts w:ascii="Arabic Typesetting" w:hAnsi="Arabic Typesetting" w:cs="Arabic Typesetting"/>
          <w:sz w:val="36"/>
          <w:szCs w:val="36"/>
          <w:rtl/>
        </w:rPr>
        <w:t>]، أي كالآتي بالمعامل المبيّن أدناه:</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واحد</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lang w:bidi="ar-EG"/>
        </w:rPr>
        <w:t>28,06306834</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اثنان</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56,12613668 </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Pr="00977A67" w:rsidRDefault="006715D6" w:rsidP="006715D6">
      <w:pPr>
        <w:tabs>
          <w:tab w:val="left" w:pos="1132"/>
        </w:tabs>
        <w:bidi/>
        <w:spacing w:line="360" w:lineRule="exact"/>
        <w:ind w:left="567"/>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ثلاثة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84,18920502 </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p>
    <w:p w:rsidR="006715D6" w:rsidRDefault="006715D6" w:rsidP="006715D6">
      <w:pPr>
        <w:tabs>
          <w:tab w:val="left" w:pos="1132"/>
        </w:tabs>
        <w:bidi/>
        <w:spacing w:after="120" w:line="360" w:lineRule="exact"/>
        <w:ind w:left="565"/>
        <w:jc w:val="both"/>
        <w:rPr>
          <w:rFonts w:ascii="Arabic Typesetting" w:hAnsi="Arabic Typesetting" w:cs="Arabic Typesetting"/>
          <w:sz w:val="36"/>
          <w:szCs w:val="36"/>
          <w:rtl/>
        </w:rPr>
      </w:pPr>
      <w:r w:rsidRPr="00977A67">
        <w:rPr>
          <w:rFonts w:ascii="Arabic Typesetting" w:hAnsi="Arabic Typesetting" w:cs="Arabic Typesetting"/>
          <w:sz w:val="36"/>
          <w:szCs w:val="36"/>
          <w:rtl/>
        </w:rPr>
        <w:t>أربعة</w:t>
      </w:r>
      <w:r w:rsidRPr="00977A67">
        <w:rPr>
          <w:rFonts w:ascii="Arabic Typesetting" w:hAnsi="Arabic Typesetting" w:cs="Arabic Typesetting"/>
          <w:sz w:val="36"/>
          <w:szCs w:val="36"/>
          <w:rtl/>
        </w:rPr>
        <w:tab/>
      </w:r>
      <w:r w:rsidRPr="00977A67">
        <w:rPr>
          <w:rFonts w:ascii="Arabic Typesetting" w:hAnsi="Arabic Typesetting" w:cs="Arabic Typesetting"/>
          <w:sz w:val="36"/>
          <w:szCs w:val="36"/>
        </w:rPr>
        <w:t xml:space="preserve">112,25227336 </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فرنكا</w:t>
      </w:r>
      <w:r w:rsidRPr="00977A67">
        <w:rPr>
          <w:rFonts w:ascii="Arabic Typesetting" w:hAnsi="Arabic Typesetting" w:cs="Arabic Typesetting" w:hint="cs"/>
          <w:sz w:val="36"/>
          <w:szCs w:val="36"/>
          <w:rtl/>
        </w:rPr>
        <w:t xml:space="preserve"> سويسريا.</w:t>
      </w:r>
    </w:p>
    <w:p w:rsidR="006715D6" w:rsidRDefault="006715D6" w:rsidP="006715D6">
      <w:pPr>
        <w:tabs>
          <w:tab w:val="left" w:pos="1132"/>
        </w:tabs>
        <w:bidi/>
        <w:spacing w:after="120" w:line="360" w:lineRule="exact"/>
        <w:ind w:left="565"/>
        <w:jc w:val="both"/>
        <w:rPr>
          <w:rFonts w:ascii="Arabic Typesetting" w:hAnsi="Arabic Typesetting" w:cs="Arabic Typesetting"/>
          <w:sz w:val="36"/>
          <w:szCs w:val="36"/>
          <w:rtl/>
        </w:rPr>
      </w:pPr>
    </w:p>
    <w:p w:rsidR="006715D6" w:rsidRDefault="006715D6" w:rsidP="006715D6">
      <w:pPr>
        <w:tabs>
          <w:tab w:val="left" w:pos="1132"/>
        </w:tabs>
        <w:bidi/>
        <w:spacing w:after="120" w:line="360" w:lineRule="exact"/>
        <w:ind w:left="565"/>
        <w:jc w:val="both"/>
        <w:rPr>
          <w:rFonts w:ascii="Arabic Typesetting" w:hAnsi="Arabic Typesetting" w:cs="Arabic Typesetting"/>
          <w:sz w:val="36"/>
          <w:szCs w:val="36"/>
          <w:rtl/>
        </w:rPr>
      </w:pPr>
    </w:p>
    <w:p w:rsidR="006715D6" w:rsidRPr="00977A67" w:rsidRDefault="006715D6" w:rsidP="006715D6">
      <w:pPr>
        <w:tabs>
          <w:tab w:val="left" w:pos="1132"/>
        </w:tabs>
        <w:bidi/>
        <w:spacing w:after="120" w:line="360" w:lineRule="exact"/>
        <w:ind w:left="565"/>
        <w:jc w:val="both"/>
        <w:rPr>
          <w:rFonts w:ascii="Arabic Typesetting" w:hAnsi="Arabic Typesetting" w:cs="Arabic Typesetting"/>
          <w:sz w:val="36"/>
          <w:szCs w:val="36"/>
          <w:rtl/>
        </w:rPr>
      </w:pPr>
    </w:p>
    <w:tbl>
      <w:tblPr>
        <w:tblStyle w:val="TableGrid"/>
        <w:tblpPr w:leftFromText="180" w:rightFromText="180" w:vertAnchor="text" w:horzAnchor="margin" w:tblpY="40"/>
        <w:bidiVisual/>
        <w:tblW w:w="0" w:type="auto"/>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7150"/>
      </w:tblGrid>
      <w:tr w:rsidR="006715D6" w:rsidRPr="00977A67" w:rsidTr="001E66FF">
        <w:tc>
          <w:tcPr>
            <w:tcW w:w="220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6</w:t>
            </w:r>
            <w:r w:rsidRPr="00977A67">
              <w:rPr>
                <w:rFonts w:ascii="Arabic Typesetting" w:hAnsi="Arabic Typesetting" w:cs="Arabic Typesetting" w:hint="cs"/>
                <w:sz w:val="28"/>
                <w:szCs w:val="28"/>
                <w:rtl/>
              </w:rPr>
              <w:tab/>
            </w:r>
            <w:r w:rsidRPr="00977A67">
              <w:rPr>
                <w:rFonts w:ascii="Arabic Typesetting" w:hAnsi="Arabic Typesetting" w:cs="Arabic Typesetting" w:hint="cs"/>
                <w:szCs w:val="22"/>
                <w:rtl/>
              </w:rPr>
              <w:t xml:space="preserve"> ابتداء من 17 أغسطس 2013</w:t>
            </w:r>
          </w:p>
        </w:tc>
        <w:tc>
          <w:tcPr>
            <w:tcW w:w="715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bl>
    <w:p w:rsidR="006715D6" w:rsidRDefault="006715D6" w:rsidP="006715D6">
      <w:pPr>
        <w:rPr>
          <w:rFonts w:ascii="Arabic Typesetting" w:hAnsi="Arabic Typesetting" w:cs="Arabic Typesetting"/>
          <w:sz w:val="34"/>
          <w:szCs w:val="34"/>
          <w:rtl/>
          <w:lang w:bidi="ar-EG"/>
        </w:rPr>
      </w:pPr>
      <w:r>
        <w:rPr>
          <w:rFonts w:ascii="Arabic Typesetting" w:hAnsi="Arabic Typesetting" w:cs="Arabic Typesetting"/>
          <w:sz w:val="34"/>
          <w:szCs w:val="34"/>
          <w:rtl/>
          <w:lang w:bidi="ar-EG"/>
        </w:rPr>
        <w:br w:type="page"/>
      </w:r>
    </w:p>
    <w:p w:rsidR="006715D6" w:rsidRPr="00977A67" w:rsidRDefault="006715D6" w:rsidP="006715D6">
      <w:pPr>
        <w:bidi/>
        <w:spacing w:after="240"/>
        <w:rPr>
          <w:rFonts w:ascii="Arabic Typesetting" w:hAnsi="Arabic Typesetting" w:cs="Arabic Typesetting"/>
          <w:sz w:val="36"/>
          <w:szCs w:val="36"/>
          <w:rtl/>
        </w:rPr>
      </w:pPr>
      <w:r w:rsidRPr="00FC26BA">
        <w:rPr>
          <w:noProof/>
          <w:szCs w:val="22"/>
          <w:rtl/>
        </w:rPr>
        <w:drawing>
          <wp:inline distT="0" distB="0" distL="0" distR="0" wp14:anchorId="6EE2A1BF" wp14:editId="07641759">
            <wp:extent cx="5743575" cy="88963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45480" cy="8899301"/>
                    </a:xfrm>
                    <a:prstGeom prst="rect">
                      <a:avLst/>
                    </a:prstGeom>
                    <a:noFill/>
                    <a:ln>
                      <a:noFill/>
                    </a:ln>
                  </pic:spPr>
                </pic:pic>
              </a:graphicData>
            </a:graphic>
          </wp:inline>
        </w:drawing>
      </w:r>
    </w:p>
    <w:p w:rsidR="006715D6" w:rsidRDefault="006715D6" w:rsidP="006715D6">
      <w:pPr>
        <w:pStyle w:val="Heading2"/>
        <w:bidi/>
        <w:rPr>
          <w:rFonts w:ascii="Arabic Typesetting" w:hAnsi="Arabic Typesetting" w:cs="Arabic Typesetting"/>
          <w:i/>
          <w:iCs w:val="0"/>
          <w:sz w:val="36"/>
          <w:szCs w:val="36"/>
          <w:rtl/>
        </w:rPr>
      </w:pPr>
      <w:bookmarkStart w:id="158" w:name="_Toc331497781"/>
      <w:bookmarkStart w:id="159" w:name="_Toc381088598"/>
      <w:bookmarkStart w:id="160" w:name="_Toc394905531"/>
      <w:bookmarkStart w:id="161" w:name="_Toc394914295"/>
      <w:r w:rsidRPr="00977A67">
        <w:rPr>
          <w:rFonts w:ascii="Arabic Typesetting" w:hAnsi="Arabic Typesetting" w:cs="Arabic Typesetting" w:hint="cs"/>
          <w:i/>
          <w:iCs w:val="0"/>
          <w:sz w:val="36"/>
          <w:szCs w:val="36"/>
          <w:rtl/>
        </w:rPr>
        <w:t xml:space="preserve">اتحاد مدريد </w:t>
      </w:r>
      <w:r w:rsidRPr="00977A67">
        <w:rPr>
          <w:rFonts w:ascii="Arabic Typesetting" w:hAnsi="Arabic Typesetting" w:cs="Arabic Typesetting"/>
          <w:i/>
          <w:iCs w:val="0"/>
          <w:sz w:val="36"/>
          <w:szCs w:val="36"/>
          <w:rtl/>
        </w:rPr>
        <w:t>–</w:t>
      </w:r>
      <w:r w:rsidRPr="00977A67">
        <w:rPr>
          <w:rFonts w:ascii="Arabic Typesetting" w:hAnsi="Arabic Typesetting" w:cs="Arabic Typesetting" w:hint="cs"/>
          <w:i/>
          <w:iCs w:val="0"/>
          <w:sz w:val="36"/>
          <w:szCs w:val="36"/>
          <w:rtl/>
        </w:rPr>
        <w:t xml:space="preserve"> إجمالي الرسوم لسنة </w:t>
      </w:r>
      <w:bookmarkEnd w:id="158"/>
      <w:bookmarkEnd w:id="159"/>
      <w:r w:rsidRPr="00977A67">
        <w:rPr>
          <w:rFonts w:ascii="Arabic Typesetting" w:hAnsi="Arabic Typesetting" w:cs="Arabic Typesetting" w:hint="cs"/>
          <w:i/>
          <w:iCs w:val="0"/>
          <w:sz w:val="36"/>
          <w:szCs w:val="36"/>
          <w:rtl/>
        </w:rPr>
        <w:t>2013</w:t>
      </w:r>
      <w:bookmarkEnd w:id="160"/>
      <w:bookmarkEnd w:id="161"/>
    </w:p>
    <w:p w:rsidR="006715D6" w:rsidRPr="00A97F1E" w:rsidRDefault="006715D6" w:rsidP="006715D6">
      <w:pPr>
        <w:bidi/>
        <w:rPr>
          <w:rFonts w:ascii="Arabic Typesetting" w:hAnsi="Arabic Typesetting" w:cs="Arabic Typesetting"/>
          <w:rtl/>
        </w:rPr>
      </w:pPr>
      <w:r w:rsidRPr="00A97F1E">
        <w:rPr>
          <w:noProof/>
          <w:szCs w:val="22"/>
          <w:rtl/>
        </w:rPr>
        <w:drawing>
          <wp:inline distT="0" distB="0" distL="0" distR="0" wp14:anchorId="25E067A8" wp14:editId="2CF565F5">
            <wp:extent cx="5934075" cy="85820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0425" cy="8591209"/>
                    </a:xfrm>
                    <a:prstGeom prst="rect">
                      <a:avLst/>
                    </a:prstGeom>
                    <a:noFill/>
                    <a:ln>
                      <a:noFill/>
                    </a:ln>
                  </pic:spPr>
                </pic:pic>
              </a:graphicData>
            </a:graphic>
          </wp:inline>
        </w:drawing>
      </w:r>
    </w:p>
    <w:p w:rsidR="006715D6" w:rsidRPr="00977A67" w:rsidRDefault="006715D6" w:rsidP="006715D6">
      <w:pPr>
        <w:pStyle w:val="Heading2"/>
        <w:bidi/>
        <w:rPr>
          <w:rFonts w:ascii="Arabic Typesetting" w:hAnsi="Arabic Typesetting" w:cs="Arabic Typesetting"/>
          <w:i/>
          <w:iCs w:val="0"/>
          <w:sz w:val="36"/>
          <w:szCs w:val="36"/>
          <w:rtl/>
        </w:rPr>
      </w:pPr>
      <w:bookmarkStart w:id="162" w:name="_Toc331497782"/>
      <w:bookmarkStart w:id="163" w:name="_Toc381088599"/>
      <w:bookmarkStart w:id="164" w:name="_Toc394905532"/>
      <w:bookmarkStart w:id="165" w:name="_Toc394914296"/>
      <w:r w:rsidRPr="00240F87">
        <w:rPr>
          <w:rFonts w:ascii="Arabic Typesetting" w:hAnsi="Arabic Typesetting" w:cs="Arabic Typesetting"/>
          <w:i/>
          <w:iCs w:val="0"/>
          <w:sz w:val="36"/>
          <w:szCs w:val="36"/>
          <w:rtl/>
        </w:rPr>
        <w:t xml:space="preserve">بروتوكول اتفاق مدريد - الرسوم الفردية – سنة </w:t>
      </w:r>
      <w:bookmarkEnd w:id="162"/>
      <w:bookmarkEnd w:id="163"/>
      <w:r w:rsidRPr="00240F87">
        <w:rPr>
          <w:rFonts w:ascii="Arabic Typesetting" w:hAnsi="Arabic Typesetting" w:cs="Arabic Typesetting" w:hint="cs"/>
          <w:i/>
          <w:iCs w:val="0"/>
          <w:sz w:val="36"/>
          <w:szCs w:val="36"/>
          <w:rtl/>
        </w:rPr>
        <w:t>2012</w:t>
      </w:r>
      <w:bookmarkEnd w:id="164"/>
      <w:bookmarkEnd w:id="165"/>
    </w:p>
    <w:p w:rsidR="006715D6" w:rsidRPr="00977A67" w:rsidRDefault="006715D6" w:rsidP="006715D6">
      <w:pPr>
        <w:bidi/>
        <w:spacing w:line="360" w:lineRule="exact"/>
        <w:rPr>
          <w:rFonts w:ascii="Arabic Typesetting" w:hAnsi="Arabic Typesetting" w:cs="Arabic Typesetting"/>
          <w:b/>
          <w:bCs/>
          <w:sz w:val="36"/>
          <w:szCs w:val="36"/>
          <w:rtl/>
        </w:rPr>
      </w:pPr>
      <w:r>
        <w:rPr>
          <w:rFonts w:ascii="Arabic Typesetting" w:hAnsi="Arabic Typesetting" w:cs="Arabic Typesetting"/>
          <w:b/>
          <w:bCs/>
          <w:sz w:val="36"/>
          <w:szCs w:val="36"/>
          <w:rtl/>
        </w:rPr>
        <w:t>الرسوم المحصلة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2012</w:t>
      </w:r>
      <w:r w:rsidRPr="00977A67">
        <w:rPr>
          <w:rFonts w:ascii="Arabic Typesetting" w:hAnsi="Arabic Typesetting" w:cs="Arabic Typesetting"/>
          <w:sz w:val="36"/>
          <w:szCs w:val="36"/>
          <w:rtl/>
        </w:rPr>
        <w:t xml:space="preserve"> على رسوم فردية بلغ مجموعها </w:t>
      </w:r>
      <w:r w:rsidRPr="00977A67">
        <w:rPr>
          <w:rFonts w:ascii="Arabic Typesetting" w:hAnsi="Arabic Typesetting" w:cs="Arabic Typesetting" w:hint="cs"/>
          <w:sz w:val="36"/>
          <w:szCs w:val="36"/>
          <w:rtl/>
        </w:rPr>
        <w:t>623 655 114</w:t>
      </w:r>
      <w:r w:rsidRPr="00977A67">
        <w:rPr>
          <w:rFonts w:ascii="Arabic Typesetting" w:hAnsi="Arabic Typesetting" w:cs="Arabic Typesetting"/>
          <w:sz w:val="36"/>
          <w:szCs w:val="36"/>
          <w:rtl/>
        </w:rPr>
        <w:t xml:space="preserve"> فرنكا سويسريا بناء على المادة 8(7) من بروتوكول اتفاق مدريد، وكان مبلغ </w:t>
      </w:r>
      <w:r w:rsidRPr="00977A67">
        <w:rPr>
          <w:rFonts w:ascii="Arabic Typesetting" w:hAnsi="Arabic Typesetting" w:cs="Arabic Typesetting" w:hint="cs"/>
          <w:sz w:val="36"/>
          <w:szCs w:val="36"/>
          <w:rtl/>
        </w:rPr>
        <w:t>028 916 106</w:t>
      </w:r>
      <w:r w:rsidRPr="00977A67">
        <w:rPr>
          <w:rFonts w:ascii="Arabic Typesetting" w:hAnsi="Arabic Typesetting" w:cs="Arabic Typesetting"/>
          <w:sz w:val="36"/>
          <w:szCs w:val="36"/>
          <w:rtl/>
        </w:rPr>
        <w:t xml:space="preserve"> منها في شكل مدفوعات كاملة أو الجزء الأول من الرسم الفردي ومبلغ</w:t>
      </w:r>
      <w:r w:rsidRPr="00977A67">
        <w:rPr>
          <w:rFonts w:ascii="Arabic Typesetting" w:hAnsi="Arabic Typesetting" w:cs="Arabic Typesetting" w:hint="cs"/>
          <w:sz w:val="36"/>
          <w:szCs w:val="36"/>
          <w:rtl/>
        </w:rPr>
        <w:t> 595 739 7</w:t>
      </w:r>
      <w:r w:rsidRPr="00977A67">
        <w:rPr>
          <w:rFonts w:ascii="Arabic Typesetting" w:hAnsi="Arabic Typesetting" w:cs="Arabic Typesetting"/>
          <w:sz w:val="36"/>
          <w:szCs w:val="36"/>
          <w:rtl/>
        </w:rPr>
        <w:t xml:space="preserve"> منها في شكل دفعات ثانية لأغراض التعيينات وفقا للقاعدة 34(3)(أ).</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(أ)</w:t>
      </w:r>
      <w:r w:rsidRPr="00977A67">
        <w:rPr>
          <w:rFonts w:ascii="Arabic Typesetting" w:hAnsi="Arabic Typesetting" w:cs="Arabic Typesetting" w:hint="cs"/>
          <w:sz w:val="36"/>
          <w:szCs w:val="36"/>
          <w:rtl/>
        </w:rPr>
        <w:tab/>
        <w:t>كان عدد التعيينات التي حصلت لقاءها الويبو على رسم فردي في شكل مدفوعات كاملة أو الجزء الأول منها كالآتي:</w:t>
      </w:r>
    </w:p>
    <w:p w:rsidR="006715D6" w:rsidRPr="00977A67" w:rsidRDefault="006715D6" w:rsidP="006715D6">
      <w:pPr>
        <w:keepNext/>
        <w:bidi/>
        <w:spacing w:after="120"/>
        <w:ind w:left="566"/>
        <w:jc w:val="both"/>
        <w:rPr>
          <w:rFonts w:ascii="Arabic Typesetting" w:hAnsi="Arabic Typesetting" w:cs="Arabic Typesetting"/>
          <w:sz w:val="34"/>
          <w:szCs w:val="34"/>
          <w:lang w:bidi="ar-EG"/>
        </w:rPr>
      </w:pPr>
      <w:r w:rsidRPr="00240F87">
        <w:rPr>
          <w:noProof/>
          <w:szCs w:val="22"/>
          <w:rtl/>
        </w:rPr>
        <w:drawing>
          <wp:inline distT="0" distB="0" distL="0" distR="0" wp14:anchorId="5D553E3F" wp14:editId="2A41D35A">
            <wp:extent cx="5411972" cy="6911163"/>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11972" cy="6911163"/>
                    </a:xfrm>
                    <a:prstGeom prst="rect">
                      <a:avLst/>
                    </a:prstGeom>
                    <a:noFill/>
                    <a:ln>
                      <a:noFill/>
                    </a:ln>
                  </pic:spPr>
                </pic:pic>
              </a:graphicData>
            </a:graphic>
          </wp:inline>
        </w:drawing>
      </w:r>
    </w:p>
    <w:p w:rsidR="006715D6" w:rsidRDefault="006715D6" w:rsidP="006715D6">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hint="cs"/>
          <w:sz w:val="36"/>
          <w:szCs w:val="36"/>
          <w:rtl/>
        </w:rPr>
        <w:t>(ب)</w:t>
      </w:r>
      <w:r>
        <w:rPr>
          <w:rFonts w:ascii="Arabic Typesetting" w:hAnsi="Arabic Typesetting" w:cs="Arabic Typesetting"/>
          <w:sz w:val="36"/>
          <w:szCs w:val="36"/>
        </w:rPr>
        <w:tab/>
      </w:r>
      <w:r w:rsidRPr="00977A67">
        <w:rPr>
          <w:rFonts w:ascii="Arabic Typesetting" w:hAnsi="Arabic Typesetting" w:cs="Arabic Typesetting" w:hint="cs"/>
          <w:sz w:val="36"/>
          <w:szCs w:val="36"/>
          <w:rtl/>
        </w:rPr>
        <w:t>وكان عدد التعيينات التي حصلت لقاءها الويبو على الدفعة الثانية كالآتي:</w:t>
      </w:r>
    </w:p>
    <w:p w:rsidR="006715D6" w:rsidRPr="00977A67" w:rsidRDefault="006715D6" w:rsidP="006715D6">
      <w:pPr>
        <w:bidi/>
        <w:spacing w:after="240"/>
        <w:ind w:left="566"/>
        <w:rPr>
          <w:rFonts w:ascii="Arabic Typesetting" w:hAnsi="Arabic Typesetting" w:cs="Arabic Typesetting"/>
          <w:sz w:val="36"/>
          <w:szCs w:val="36"/>
          <w:rtl/>
        </w:rPr>
      </w:pPr>
      <w:r w:rsidRPr="00240F87">
        <w:rPr>
          <w:rFonts w:hint="cs"/>
          <w:noProof/>
          <w:szCs w:val="22"/>
          <w:rtl/>
        </w:rPr>
        <w:drawing>
          <wp:inline distT="0" distB="0" distL="0" distR="0" wp14:anchorId="3A55DCB7" wp14:editId="0B013B17">
            <wp:extent cx="5408930" cy="1155700"/>
            <wp:effectExtent l="0" t="0" r="127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08930" cy="1155700"/>
                    </a:xfrm>
                    <a:prstGeom prst="rect">
                      <a:avLst/>
                    </a:prstGeom>
                    <a:noFill/>
                    <a:ln>
                      <a:noFill/>
                    </a:ln>
                  </pic:spPr>
                </pic:pic>
              </a:graphicData>
            </a:graphic>
          </wp:inline>
        </w:drawing>
      </w:r>
    </w:p>
    <w:p w:rsidR="006715D6" w:rsidRPr="00977A67" w:rsidRDefault="006715D6" w:rsidP="006715D6">
      <w:pPr>
        <w:keepNext/>
        <w:bidi/>
        <w:spacing w:line="340" w:lineRule="exact"/>
        <w:jc w:val="both"/>
        <w:rPr>
          <w:rFonts w:ascii="Arabic Typesetting" w:hAnsi="Arabic Typesetting" w:cs="Arabic Typesetting"/>
          <w:b/>
          <w:bCs/>
          <w:sz w:val="36"/>
          <w:szCs w:val="36"/>
          <w:rtl/>
        </w:rPr>
      </w:pPr>
      <w:r w:rsidRPr="00977A67">
        <w:rPr>
          <w:rFonts w:ascii="Arabic Typesetting" w:hAnsi="Arabic Typesetting" w:cs="Arabic Typesetting" w:hint="cs"/>
          <w:b/>
          <w:bCs/>
          <w:sz w:val="36"/>
          <w:szCs w:val="36"/>
          <w:rtl/>
        </w:rPr>
        <w:t>توزيع الرسوم</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قيِّدت الرسوم الفردية </w:t>
      </w:r>
      <w:r w:rsidRPr="00977A67">
        <w:rPr>
          <w:rFonts w:ascii="Arabic Typesetting" w:hAnsi="Arabic Typesetting" w:cs="Arabic Typesetting" w:hint="cs"/>
          <w:sz w:val="36"/>
          <w:szCs w:val="36"/>
          <w:rtl/>
        </w:rPr>
        <w:t>في ال</w:t>
      </w:r>
      <w:r w:rsidRPr="00977A67">
        <w:rPr>
          <w:rFonts w:ascii="Arabic Typesetting" w:hAnsi="Arabic Typesetting" w:cs="Arabic Typesetting"/>
          <w:sz w:val="36"/>
          <w:szCs w:val="36"/>
          <w:rtl/>
        </w:rPr>
        <w:t>حساب</w:t>
      </w:r>
      <w:r w:rsidRPr="00977A67">
        <w:rPr>
          <w:rFonts w:ascii="Arabic Typesetting" w:hAnsi="Arabic Typesetting" w:cs="Arabic Typesetting" w:hint="cs"/>
          <w:sz w:val="36"/>
          <w:szCs w:val="36"/>
          <w:rtl/>
        </w:rPr>
        <w:t>ات الخاصة ب</w:t>
      </w:r>
      <w:r w:rsidRPr="00977A67">
        <w:rPr>
          <w:rFonts w:ascii="Arabic Typesetting" w:hAnsi="Arabic Typesetting" w:cs="Arabic Typesetting"/>
          <w:sz w:val="36"/>
          <w:szCs w:val="36"/>
          <w:rtl/>
        </w:rPr>
        <w:t>الأطراف المتعاقدة لدى المكتب الدولي خلال الشهر التالي لتدوين التسجيل الدولي أو التعيين اللاحق أو التجديد الذي سدّد عنه الرسم الفردي [القاعدة 38 من اللائحة التنفيذية المشتركة].</w:t>
      </w:r>
    </w:p>
    <w:tbl>
      <w:tblPr>
        <w:tblStyle w:val="TableGrid"/>
        <w:tblpPr w:leftFromText="180" w:rightFromText="180" w:vertAnchor="text" w:horzAnchor="margin" w:tblpY="40"/>
        <w:bidiVisual/>
        <w:tblW w:w="9562"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212"/>
        <w:gridCol w:w="6938"/>
        <w:gridCol w:w="212"/>
      </w:tblGrid>
      <w:tr w:rsidR="006715D6" w:rsidRPr="00977A67" w:rsidTr="001E66FF">
        <w:tc>
          <w:tcPr>
            <w:tcW w:w="2412" w:type="dxa"/>
            <w:gridSpan w:val="2"/>
          </w:tcPr>
          <w:p w:rsidR="006715D6" w:rsidRPr="00977A67" w:rsidRDefault="006715D6" w:rsidP="001E66FF">
            <w:pPr>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7</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29</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أغسطس</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2012</w:t>
            </w:r>
            <w:r w:rsidRPr="00977A67">
              <w:rPr>
                <w:rFonts w:ascii="Arabic Typesetting" w:hAnsi="Arabic Typesetting" w:cs="Arabic Typesetting"/>
                <w:sz w:val="28"/>
                <w:szCs w:val="28"/>
                <w:rtl/>
              </w:rPr>
              <w:t>.</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r w:rsidR="006715D6" w:rsidRPr="00977A67" w:rsidTr="001E66FF">
        <w:trPr>
          <w:gridAfter w:val="1"/>
          <w:wAfter w:w="212" w:type="dxa"/>
        </w:trPr>
        <w:tc>
          <w:tcPr>
            <w:tcW w:w="220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8</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10</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ديسمبر</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2012</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r w:rsidR="006715D6" w:rsidRPr="00977A67" w:rsidTr="001E66FF">
        <w:trPr>
          <w:gridAfter w:val="1"/>
          <w:wAfter w:w="212" w:type="dxa"/>
        </w:trPr>
        <w:tc>
          <w:tcPr>
            <w:tcW w:w="220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9</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25</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يوليو</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2012</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bl>
    <w:p w:rsidR="006715D6" w:rsidRPr="00977A67" w:rsidRDefault="006715D6" w:rsidP="006715D6">
      <w:pPr>
        <w:keepNext/>
        <w:bidi/>
        <w:spacing w:after="240" w:line="360" w:lineRule="exact"/>
        <w:rPr>
          <w:rFonts w:ascii="Arabic Typesetting" w:hAnsi="Arabic Typesetting" w:cs="Arabic Typesetting"/>
          <w:b/>
          <w:bCs/>
          <w:sz w:val="36"/>
          <w:szCs w:val="36"/>
          <w:rtl/>
        </w:rPr>
      </w:pPr>
      <w:bookmarkStart w:id="166" w:name="_Toc331497783"/>
      <w:bookmarkStart w:id="167" w:name="_Toc381088600"/>
    </w:p>
    <w:p w:rsidR="006715D6" w:rsidRPr="00977A67" w:rsidRDefault="006715D6" w:rsidP="006715D6">
      <w:pPr>
        <w:rPr>
          <w:rFonts w:ascii="Arabic Typesetting" w:hAnsi="Arabic Typesetting" w:cs="Arabic Typesetting"/>
          <w:b/>
          <w:bCs/>
          <w:sz w:val="36"/>
          <w:szCs w:val="36"/>
          <w:rtl/>
        </w:rPr>
      </w:pPr>
      <w:r w:rsidRPr="00977A67">
        <w:rPr>
          <w:b/>
          <w:bCs/>
          <w:sz w:val="40"/>
          <w:szCs w:val="40"/>
          <w:rtl/>
        </w:rPr>
        <w:br w:type="page"/>
      </w:r>
    </w:p>
    <w:p w:rsidR="006715D6" w:rsidRPr="00977A67" w:rsidRDefault="006715D6" w:rsidP="006715D6">
      <w:pPr>
        <w:pStyle w:val="Heading2"/>
        <w:bidi/>
        <w:rPr>
          <w:rFonts w:ascii="Arabic Typesetting" w:hAnsi="Arabic Typesetting" w:cs="Arabic Typesetting"/>
          <w:i/>
          <w:iCs w:val="0"/>
          <w:sz w:val="36"/>
          <w:szCs w:val="36"/>
          <w:rtl/>
        </w:rPr>
      </w:pPr>
      <w:bookmarkStart w:id="168" w:name="_Toc394905533"/>
      <w:bookmarkStart w:id="169" w:name="_Toc394914297"/>
      <w:r w:rsidRPr="00977A67">
        <w:rPr>
          <w:rFonts w:ascii="Arabic Typesetting" w:hAnsi="Arabic Typesetting" w:cs="Arabic Typesetting"/>
          <w:i/>
          <w:iCs w:val="0"/>
          <w:sz w:val="36"/>
          <w:szCs w:val="36"/>
          <w:rtl/>
        </w:rPr>
        <w:t xml:space="preserve">بروتوكول اتفاق مدريد - الرسوم الفردية – سنة </w:t>
      </w:r>
      <w:bookmarkEnd w:id="166"/>
      <w:bookmarkEnd w:id="167"/>
      <w:r w:rsidRPr="00977A67">
        <w:rPr>
          <w:rFonts w:ascii="Arabic Typesetting" w:hAnsi="Arabic Typesetting" w:cs="Arabic Typesetting" w:hint="cs"/>
          <w:i/>
          <w:iCs w:val="0"/>
          <w:sz w:val="36"/>
          <w:szCs w:val="36"/>
          <w:rtl/>
        </w:rPr>
        <w:t>2013</w:t>
      </w:r>
      <w:bookmarkEnd w:id="168"/>
      <w:bookmarkEnd w:id="169"/>
    </w:p>
    <w:p w:rsidR="006715D6" w:rsidRPr="00977A67" w:rsidRDefault="006715D6" w:rsidP="006715D6">
      <w:pPr>
        <w:bidi/>
        <w:spacing w:line="360" w:lineRule="exact"/>
        <w:rPr>
          <w:rFonts w:ascii="Arabic Typesetting" w:hAnsi="Arabic Typesetting" w:cs="Arabic Typesetting"/>
          <w:b/>
          <w:bCs/>
          <w:sz w:val="36"/>
          <w:szCs w:val="36"/>
          <w:rtl/>
        </w:rPr>
      </w:pPr>
      <w:r>
        <w:rPr>
          <w:rFonts w:ascii="Arabic Typesetting" w:hAnsi="Arabic Typesetting" w:cs="Arabic Typesetting"/>
          <w:b/>
          <w:bCs/>
          <w:sz w:val="36"/>
          <w:szCs w:val="36"/>
          <w:rtl/>
        </w:rPr>
        <w:t>الرسوم المحصلة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2013</w:t>
      </w:r>
      <w:r w:rsidRPr="00977A67">
        <w:rPr>
          <w:rFonts w:ascii="Arabic Typesetting" w:hAnsi="Arabic Typesetting" w:cs="Arabic Typesetting"/>
          <w:sz w:val="36"/>
          <w:szCs w:val="36"/>
          <w:rtl/>
        </w:rPr>
        <w:t xml:space="preserve"> على رسوم فردية بلغ مجموعها </w:t>
      </w:r>
      <w:r w:rsidRPr="00977A67">
        <w:rPr>
          <w:rFonts w:ascii="Arabic Typesetting" w:hAnsi="Arabic Typesetting" w:cs="Arabic Typesetting" w:hint="cs"/>
          <w:sz w:val="36"/>
          <w:szCs w:val="36"/>
          <w:rtl/>
        </w:rPr>
        <w:t>348 543 130</w:t>
      </w:r>
      <w:r w:rsidRPr="00977A67">
        <w:rPr>
          <w:rFonts w:ascii="Arabic Typesetting" w:hAnsi="Arabic Typesetting" w:cs="Arabic Typesetting"/>
          <w:sz w:val="36"/>
          <w:szCs w:val="36"/>
          <w:rtl/>
        </w:rPr>
        <w:t xml:space="preserve"> فرنكا سويسريا بناء على المادة 8(7) من بروتوكول اتفاق مدريد، وكان مبلغ </w:t>
      </w:r>
      <w:r w:rsidRPr="00977A67">
        <w:rPr>
          <w:rFonts w:ascii="Arabic Typesetting" w:hAnsi="Arabic Typesetting" w:cs="Arabic Typesetting" w:hint="cs"/>
          <w:sz w:val="36"/>
          <w:szCs w:val="36"/>
          <w:rtl/>
        </w:rPr>
        <w:t>496 012 122</w:t>
      </w:r>
      <w:r w:rsidRPr="00977A67">
        <w:rPr>
          <w:rFonts w:ascii="Arabic Typesetting" w:hAnsi="Arabic Typesetting" w:cs="Arabic Typesetting"/>
          <w:sz w:val="36"/>
          <w:szCs w:val="36"/>
          <w:rtl/>
        </w:rPr>
        <w:t xml:space="preserve"> منها في شكل مدفوعات كاملة أو الجزء الأول من الرسم الفردي ومبلغ</w:t>
      </w:r>
      <w:r w:rsidRPr="00977A67">
        <w:rPr>
          <w:rFonts w:ascii="Arabic Typesetting" w:hAnsi="Arabic Typesetting" w:cs="Arabic Typesetting" w:hint="cs"/>
          <w:sz w:val="36"/>
          <w:szCs w:val="36"/>
          <w:rtl/>
        </w:rPr>
        <w:t> 852 530 8</w:t>
      </w:r>
      <w:r w:rsidRPr="00977A67">
        <w:rPr>
          <w:rFonts w:ascii="Arabic Typesetting" w:hAnsi="Arabic Typesetting" w:cs="Arabic Typesetting"/>
          <w:sz w:val="36"/>
          <w:szCs w:val="36"/>
          <w:rtl/>
        </w:rPr>
        <w:t xml:space="preserve"> منها في شكل دفعات ثانية لأغراض التعيينات وفقا للقاعدة 34(3)(أ).</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(أ)</w:t>
      </w:r>
      <w:r w:rsidRPr="00977A67">
        <w:rPr>
          <w:rFonts w:ascii="Arabic Typesetting" w:hAnsi="Arabic Typesetting" w:cs="Arabic Typesetting" w:hint="cs"/>
          <w:sz w:val="36"/>
          <w:szCs w:val="36"/>
          <w:rtl/>
        </w:rPr>
        <w:tab/>
        <w:t>كان عدد التعيينات التي حصلت لقاءها الويبو على رسم فردي في شكل مدفوعات كاملة أو الجزء الأول منها كالآتي:</w:t>
      </w:r>
    </w:p>
    <w:p w:rsidR="006715D6" w:rsidRDefault="006715D6" w:rsidP="006715D6">
      <w:pPr>
        <w:bidi/>
        <w:spacing w:after="240"/>
        <w:ind w:left="566"/>
        <w:rPr>
          <w:szCs w:val="22"/>
          <w:lang w:bidi="ar-EG"/>
        </w:rPr>
      </w:pPr>
      <w:r w:rsidRPr="00240F87">
        <w:rPr>
          <w:rFonts w:hint="cs"/>
          <w:noProof/>
          <w:szCs w:val="22"/>
          <w:rtl/>
        </w:rPr>
        <w:drawing>
          <wp:inline distT="0" distB="0" distL="0" distR="0" wp14:anchorId="3DA34759" wp14:editId="3BF4FED8">
            <wp:extent cx="5603358" cy="6910622"/>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00148" cy="6906663"/>
                    </a:xfrm>
                    <a:prstGeom prst="rect">
                      <a:avLst/>
                    </a:prstGeom>
                    <a:noFill/>
                    <a:ln>
                      <a:noFill/>
                    </a:ln>
                  </pic:spPr>
                </pic:pic>
              </a:graphicData>
            </a:graphic>
          </wp:inline>
        </w:drawing>
      </w:r>
      <w:r w:rsidRPr="00240F87">
        <w:rPr>
          <w:rFonts w:hint="cs"/>
          <w:szCs w:val="22"/>
          <w:rtl/>
          <w:lang w:bidi="ar-EG"/>
        </w:rPr>
        <w:t xml:space="preserve"> </w:t>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hint="cs"/>
          <w:sz w:val="36"/>
          <w:szCs w:val="36"/>
          <w:rtl/>
        </w:rPr>
        <w:t>(ب)</w:t>
      </w:r>
      <w:r w:rsidRPr="00977A67">
        <w:rPr>
          <w:rFonts w:ascii="Arabic Typesetting" w:hAnsi="Arabic Typesetting" w:cs="Arabic Typesetting" w:hint="cs"/>
          <w:sz w:val="36"/>
          <w:szCs w:val="36"/>
          <w:rtl/>
        </w:rPr>
        <w:tab/>
        <w:t>وكان عدد التعيينات التي حصلت لقاءها الويبو على الدفعة الثانية كالآتي:</w:t>
      </w:r>
    </w:p>
    <w:p w:rsidR="006715D6" w:rsidRDefault="006715D6" w:rsidP="006715D6">
      <w:pPr>
        <w:bidi/>
        <w:spacing w:after="240"/>
        <w:ind w:left="566"/>
        <w:rPr>
          <w:rFonts w:ascii="Arabic Typesetting" w:hAnsi="Arabic Typesetting" w:cs="Arabic Typesetting"/>
          <w:sz w:val="36"/>
          <w:szCs w:val="36"/>
        </w:rPr>
      </w:pPr>
      <w:r w:rsidRPr="00240F87">
        <w:rPr>
          <w:rFonts w:hint="cs"/>
          <w:noProof/>
          <w:szCs w:val="22"/>
          <w:rtl/>
        </w:rPr>
        <w:drawing>
          <wp:inline distT="0" distB="0" distL="0" distR="0" wp14:anchorId="40E17252" wp14:editId="23EB8311">
            <wp:extent cx="5598795" cy="1095375"/>
            <wp:effectExtent l="0" t="0" r="190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98795" cy="1095375"/>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b/>
          <w:bCs/>
          <w:sz w:val="36"/>
          <w:szCs w:val="36"/>
          <w:rtl/>
        </w:rPr>
      </w:pPr>
      <w:r w:rsidRPr="00977A67">
        <w:rPr>
          <w:rFonts w:ascii="Arabic Typesetting" w:hAnsi="Arabic Typesetting" w:cs="Arabic Typesetting"/>
          <w:b/>
          <w:bCs/>
          <w:sz w:val="36"/>
          <w:szCs w:val="36"/>
          <w:rtl/>
        </w:rPr>
        <w:t>توزيع الرسوم</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قيِّدت الرسوم الفردية في الحسابات الخاصة بالأطراف المتعاقدة لدى المكتب الدولي خلال الشهر التالي لتدوين التسجيل الدولي أو التعيين اللاحق أو التجديد الذي سدّد عنه الرسم الفردي [القاعدة 38 من اللائحة التنفيذية المشتركة].</w:t>
      </w:r>
    </w:p>
    <w:tbl>
      <w:tblPr>
        <w:tblStyle w:val="TableGrid"/>
        <w:tblpPr w:leftFromText="180" w:rightFromText="180" w:vertAnchor="text" w:horzAnchor="margin" w:tblpY="40"/>
        <w:bidiVisual/>
        <w:tblW w:w="9562"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00"/>
        <w:gridCol w:w="212"/>
        <w:gridCol w:w="6938"/>
        <w:gridCol w:w="212"/>
      </w:tblGrid>
      <w:tr w:rsidR="006715D6" w:rsidRPr="00977A67" w:rsidTr="001E66FF">
        <w:tc>
          <w:tcPr>
            <w:tcW w:w="2412" w:type="dxa"/>
            <w:gridSpan w:val="2"/>
          </w:tcPr>
          <w:p w:rsidR="006715D6" w:rsidRPr="00977A67" w:rsidRDefault="006715D6" w:rsidP="001E66FF">
            <w:pPr>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10</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8</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يوليو</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2013</w:t>
            </w:r>
            <w:r w:rsidRPr="00977A67">
              <w:rPr>
                <w:rFonts w:ascii="Arabic Typesetting" w:hAnsi="Arabic Typesetting" w:cs="Arabic Typesetting"/>
                <w:sz w:val="28"/>
                <w:szCs w:val="28"/>
                <w:rtl/>
              </w:rPr>
              <w:t>.</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r w:rsidR="006715D6" w:rsidRPr="00977A67" w:rsidTr="001E66FF">
        <w:trPr>
          <w:gridAfter w:val="1"/>
          <w:wAfter w:w="212" w:type="dxa"/>
        </w:trPr>
        <w:tc>
          <w:tcPr>
            <w:tcW w:w="220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11</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19</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فبراير</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2013</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r w:rsidR="006715D6" w:rsidRPr="00977A67" w:rsidTr="001E66FF">
        <w:trPr>
          <w:gridAfter w:val="1"/>
          <w:wAfter w:w="212" w:type="dxa"/>
        </w:trPr>
        <w:tc>
          <w:tcPr>
            <w:tcW w:w="2200" w:type="dxa"/>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r w:rsidRPr="00977A67">
              <w:rPr>
                <w:rFonts w:ascii="Arabic Typesetting" w:hAnsi="Arabic Typesetting" w:cs="Arabic Typesetting" w:hint="cs"/>
                <w:sz w:val="28"/>
                <w:szCs w:val="28"/>
                <w:vertAlign w:val="superscript"/>
                <w:rtl/>
              </w:rPr>
              <w:t>12</w:t>
            </w:r>
            <w:r w:rsidRPr="00977A67">
              <w:rPr>
                <w:rFonts w:ascii="Arabic Typesetting" w:hAnsi="Arabic Typesetting" w:cs="Arabic Typesetting"/>
                <w:sz w:val="28"/>
                <w:szCs w:val="28"/>
                <w:rtl/>
              </w:rPr>
              <w:t xml:space="preserve"> اعتبارا من </w:t>
            </w:r>
            <w:r w:rsidRPr="00977A67">
              <w:rPr>
                <w:rFonts w:ascii="Arabic Typesetting" w:hAnsi="Arabic Typesetting" w:cs="Arabic Typesetting" w:hint="cs"/>
                <w:sz w:val="28"/>
                <w:szCs w:val="28"/>
                <w:rtl/>
              </w:rPr>
              <w:t>16</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أكتوبر</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2013</w:t>
            </w:r>
          </w:p>
        </w:tc>
        <w:tc>
          <w:tcPr>
            <w:tcW w:w="7150" w:type="dxa"/>
            <w:gridSpan w:val="2"/>
          </w:tcPr>
          <w:p w:rsidR="006715D6" w:rsidRPr="00977A67" w:rsidRDefault="006715D6" w:rsidP="001E66FF">
            <w:pPr>
              <w:tabs>
                <w:tab w:val="left" w:pos="281"/>
              </w:tabs>
              <w:bidi/>
              <w:spacing w:line="280" w:lineRule="exact"/>
              <w:jc w:val="both"/>
              <w:rPr>
                <w:rFonts w:ascii="Arabic Typesetting" w:hAnsi="Arabic Typesetting" w:cs="Arabic Typesetting"/>
                <w:sz w:val="28"/>
                <w:szCs w:val="28"/>
                <w:rtl/>
              </w:rPr>
            </w:pPr>
          </w:p>
        </w:tc>
      </w:tr>
    </w:tbl>
    <w:p w:rsidR="006715D6" w:rsidRPr="00977A67" w:rsidRDefault="006715D6" w:rsidP="006715D6">
      <w:pPr>
        <w:bidi/>
        <w:spacing w:after="240" w:line="360" w:lineRule="exact"/>
        <w:rPr>
          <w:rFonts w:ascii="Arabic Typesetting" w:hAnsi="Arabic Typesetting" w:cs="Arabic Typesetting"/>
          <w:sz w:val="36"/>
          <w:szCs w:val="36"/>
          <w:rtl/>
        </w:rPr>
      </w:pPr>
    </w:p>
    <w:p w:rsidR="006715D6" w:rsidRPr="00977A67" w:rsidRDefault="006715D6" w:rsidP="006715D6">
      <w:pPr>
        <w:rPr>
          <w:rFonts w:ascii="Arabic Typesetting" w:hAnsi="Arabic Typesetting" w:cs="Arabic Typesetting"/>
          <w:sz w:val="36"/>
          <w:szCs w:val="36"/>
          <w:rtl/>
        </w:rPr>
      </w:pPr>
      <w:r w:rsidRPr="00977A67">
        <w:rPr>
          <w:rtl/>
        </w:rPr>
        <w:br w:type="page"/>
      </w:r>
    </w:p>
    <w:p w:rsidR="006715D6" w:rsidRPr="00977A67" w:rsidRDefault="006715D6" w:rsidP="006715D6">
      <w:pPr>
        <w:pStyle w:val="Heading2"/>
        <w:bidi/>
        <w:rPr>
          <w:rFonts w:ascii="Arabic Typesetting" w:hAnsi="Arabic Typesetting" w:cs="Arabic Typesetting"/>
          <w:i/>
          <w:iCs w:val="0"/>
          <w:sz w:val="36"/>
          <w:szCs w:val="36"/>
          <w:rtl/>
        </w:rPr>
      </w:pPr>
      <w:bookmarkStart w:id="170" w:name="_Toc394905534"/>
      <w:bookmarkStart w:id="171" w:name="_Toc394914298"/>
      <w:bookmarkStart w:id="172" w:name="_Toc331497784"/>
      <w:bookmarkStart w:id="173" w:name="_Toc381088601"/>
      <w:r w:rsidRPr="00977A67">
        <w:rPr>
          <w:rFonts w:ascii="Arabic Typesetting" w:hAnsi="Arabic Typesetting" w:cs="Arabic Typesetting" w:hint="cs"/>
          <w:i/>
          <w:iCs w:val="0"/>
          <w:sz w:val="36"/>
          <w:szCs w:val="36"/>
          <w:rtl/>
        </w:rPr>
        <w:t xml:space="preserve">اتحاد </w:t>
      </w:r>
      <w:r w:rsidRPr="00977A67">
        <w:rPr>
          <w:rFonts w:ascii="Arabic Typesetting" w:hAnsi="Arabic Typesetting" w:cs="Arabic Typesetting"/>
          <w:i/>
          <w:iCs w:val="0"/>
          <w:sz w:val="36"/>
          <w:szCs w:val="36"/>
          <w:rtl/>
        </w:rPr>
        <w:t xml:space="preserve">مدريد - رسوم </w:t>
      </w:r>
      <w:r w:rsidRPr="00977A67">
        <w:rPr>
          <w:rFonts w:ascii="Arabic Typesetting" w:hAnsi="Arabic Typesetting" w:cs="Arabic Typesetting" w:hint="cs"/>
          <w:i/>
          <w:iCs w:val="0"/>
          <w:sz w:val="36"/>
          <w:szCs w:val="36"/>
          <w:rtl/>
        </w:rPr>
        <w:t xml:space="preserve">المعالجة الوطنية </w:t>
      </w:r>
      <w:r w:rsidRPr="00977A67">
        <w:rPr>
          <w:rFonts w:ascii="Arabic Typesetting" w:hAnsi="Arabic Typesetting" w:cs="Arabic Typesetting"/>
          <w:i/>
          <w:iCs w:val="0"/>
          <w:sz w:val="36"/>
          <w:szCs w:val="36"/>
          <w:rtl/>
        </w:rPr>
        <w:t xml:space="preserve">– سنة </w:t>
      </w:r>
      <w:r w:rsidRPr="00977A67">
        <w:rPr>
          <w:rFonts w:ascii="Arabic Typesetting" w:hAnsi="Arabic Typesetting" w:cs="Arabic Typesetting" w:hint="cs"/>
          <w:i/>
          <w:iCs w:val="0"/>
          <w:sz w:val="36"/>
          <w:szCs w:val="36"/>
          <w:rtl/>
        </w:rPr>
        <w:t>2013</w:t>
      </w:r>
      <w:bookmarkEnd w:id="170"/>
      <w:bookmarkEnd w:id="171"/>
    </w:p>
    <w:p w:rsidR="006715D6" w:rsidRPr="00977A67" w:rsidRDefault="006715D6" w:rsidP="006715D6">
      <w:pPr>
        <w:bidi/>
        <w:spacing w:line="360" w:lineRule="exact"/>
        <w:rPr>
          <w:rFonts w:ascii="Arabic Typesetting" w:hAnsi="Arabic Typesetting" w:cs="Arabic Typesetting"/>
          <w:b/>
          <w:bCs/>
          <w:sz w:val="36"/>
          <w:szCs w:val="36"/>
          <w:rtl/>
        </w:rPr>
      </w:pPr>
      <w:r>
        <w:rPr>
          <w:rFonts w:ascii="Arabic Typesetting" w:hAnsi="Arabic Typesetting" w:cs="Arabic Typesetting"/>
          <w:b/>
          <w:bCs/>
          <w:sz w:val="36"/>
          <w:szCs w:val="36"/>
          <w:rtl/>
        </w:rPr>
        <w:t>الرسوم المحصلة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2013</w:t>
      </w:r>
      <w:r w:rsidRPr="00977A67">
        <w:rPr>
          <w:rFonts w:ascii="Arabic Typesetting" w:hAnsi="Arabic Typesetting" w:cs="Arabic Typesetting"/>
          <w:sz w:val="36"/>
          <w:szCs w:val="36"/>
          <w:rtl/>
        </w:rPr>
        <w:t xml:space="preserve"> على رسوم </w:t>
      </w:r>
      <w:r w:rsidRPr="00977A67">
        <w:rPr>
          <w:rFonts w:ascii="Arabic Typesetting" w:hAnsi="Arabic Typesetting" w:cs="Arabic Typesetting" w:hint="cs"/>
          <w:sz w:val="36"/>
          <w:szCs w:val="36"/>
          <w:rtl/>
        </w:rPr>
        <w:t>معالجة وطنية</w:t>
      </w:r>
      <w:r w:rsidRPr="00977A67">
        <w:rPr>
          <w:rFonts w:ascii="Arabic Typesetting" w:hAnsi="Arabic Typesetting" w:cs="Arabic Typesetting"/>
          <w:sz w:val="36"/>
          <w:szCs w:val="36"/>
          <w:rtl/>
        </w:rPr>
        <w:t xml:space="preserve"> بلغ مجموعها </w:t>
      </w:r>
      <w:r w:rsidRPr="00977A67">
        <w:rPr>
          <w:rFonts w:ascii="Arabic Typesetting" w:hAnsi="Arabic Typesetting" w:cs="Arabic Typesetting" w:hint="cs"/>
          <w:sz w:val="36"/>
          <w:szCs w:val="36"/>
          <w:rtl/>
        </w:rPr>
        <w:t>700 4</w:t>
      </w:r>
      <w:r w:rsidRPr="00977A67">
        <w:rPr>
          <w:rFonts w:ascii="Arabic Typesetting" w:hAnsi="Arabic Typesetting" w:cs="Arabic Typesetting"/>
          <w:sz w:val="36"/>
          <w:szCs w:val="36"/>
          <w:rtl/>
        </w:rPr>
        <w:t xml:space="preserve"> فرنك سويسري</w:t>
      </w:r>
      <w:r w:rsidRPr="00977A67">
        <w:rPr>
          <w:rFonts w:ascii="Arabic Typesetting" w:hAnsi="Arabic Typesetting" w:cs="Arabic Typesetting" w:hint="cs"/>
          <w:sz w:val="36"/>
          <w:szCs w:val="36"/>
          <w:rtl/>
        </w:rPr>
        <w:t>، وفقا لما حددته المكاتب المعنية، بالنسبة لطلبات التسجيل الدولي المرسلة على مدى السنة عبر إجراء</w:t>
      </w:r>
      <w:r w:rsidRPr="00977A67">
        <w:rPr>
          <w:rFonts w:ascii="Arabic Typesetting" w:hAnsi="Arabic Typesetting" w:cs="Arabic Typesetting"/>
          <w:sz w:val="36"/>
          <w:szCs w:val="36"/>
          <w:rtl/>
        </w:rPr>
        <w:t xml:space="preserve"> دمج عمليات التسجيل الدولي</w:t>
      </w:r>
      <w:r w:rsidRPr="00977A67">
        <w:rPr>
          <w:rFonts w:ascii="Arabic Typesetting" w:hAnsi="Arabic Typesetting" w:cs="Arabic Typesetting" w:hint="cs"/>
          <w:sz w:val="36"/>
          <w:szCs w:val="36"/>
          <w:rtl/>
        </w:rPr>
        <w:t xml:space="preserve"> الذي يعد الوسيلة الجديدة للتواصل الإلكتروني بين الأطراف المتعاقدة في اتفاق مدريد و/أو برتوكو</w:t>
      </w:r>
      <w:r w:rsidRPr="00977A67">
        <w:rPr>
          <w:rFonts w:ascii="Arabic Typesetting" w:hAnsi="Arabic Typesetting" w:cs="Arabic Typesetting" w:hint="eastAsia"/>
          <w:sz w:val="36"/>
          <w:szCs w:val="36"/>
          <w:rtl/>
        </w:rPr>
        <w:t>ل</w:t>
      </w:r>
      <w:r w:rsidRPr="00977A67">
        <w:rPr>
          <w:rFonts w:ascii="Arabic Typesetting" w:hAnsi="Arabic Typesetting" w:cs="Arabic Typesetting" w:hint="cs"/>
          <w:sz w:val="36"/>
          <w:szCs w:val="36"/>
          <w:rtl/>
        </w:rPr>
        <w:t xml:space="preserve"> اتفاق مدريد والمكتب الدولي، والذي بدأ العمل به اعتبارا من ديسمبر 2013.</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وكان عدد طلبات التسجيل الدولي التي حصلت لقاءها الويبو على رسم للمعالجة الوطنية كالآتي:</w:t>
      </w:r>
    </w:p>
    <w:tbl>
      <w:tblPr>
        <w:bidiVisual/>
        <w:tblW w:w="8520" w:type="dxa"/>
        <w:tblInd w:w="93" w:type="dxa"/>
        <w:tblLook w:val="04A0" w:firstRow="1" w:lastRow="0" w:firstColumn="1" w:lastColumn="0" w:noHBand="0" w:noVBand="1"/>
      </w:tblPr>
      <w:tblGrid>
        <w:gridCol w:w="2840"/>
        <w:gridCol w:w="2940"/>
        <w:gridCol w:w="2740"/>
      </w:tblGrid>
      <w:tr w:rsidR="006715D6" w:rsidRPr="00977A67" w:rsidTr="001E66FF">
        <w:trPr>
          <w:trHeight w:val="450"/>
        </w:trPr>
        <w:tc>
          <w:tcPr>
            <w:tcW w:w="2840" w:type="dxa"/>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rsidR="006715D6" w:rsidRPr="00977A67" w:rsidRDefault="006715D6" w:rsidP="001E66FF">
            <w:pPr>
              <w:bidi/>
              <w:jc w:val="center"/>
              <w:rPr>
                <w:color w:val="000000"/>
                <w:sz w:val="17"/>
                <w:szCs w:val="17"/>
              </w:rPr>
            </w:pPr>
          </w:p>
        </w:tc>
        <w:tc>
          <w:tcPr>
            <w:tcW w:w="2940" w:type="dxa"/>
            <w:tcBorders>
              <w:top w:val="single" w:sz="4" w:space="0" w:color="595959"/>
              <w:left w:val="nil"/>
              <w:bottom w:val="single" w:sz="4" w:space="0" w:color="595959"/>
              <w:right w:val="single" w:sz="4" w:space="0" w:color="595959"/>
            </w:tcBorders>
            <w:shd w:val="clear" w:color="000000" w:fill="CCFFFF"/>
            <w:vAlign w:val="center"/>
            <w:hideMark/>
          </w:tcPr>
          <w:p w:rsidR="006715D6" w:rsidRPr="00977A67" w:rsidRDefault="006715D6" w:rsidP="001E66FF">
            <w:pPr>
              <w:bidi/>
              <w:jc w:val="center"/>
              <w:rPr>
                <w:color w:val="000000"/>
                <w:sz w:val="17"/>
                <w:szCs w:val="17"/>
              </w:rPr>
            </w:pPr>
            <w:r w:rsidRPr="00977A67">
              <w:rPr>
                <w:rFonts w:hint="cs"/>
                <w:color w:val="000000"/>
                <w:sz w:val="17"/>
                <w:szCs w:val="17"/>
                <w:rtl/>
              </w:rPr>
              <w:t>عدد طلبات التسجيل الدولي</w:t>
            </w:r>
          </w:p>
        </w:tc>
        <w:tc>
          <w:tcPr>
            <w:tcW w:w="2740" w:type="dxa"/>
            <w:tcBorders>
              <w:top w:val="single" w:sz="4" w:space="0" w:color="595959"/>
              <w:left w:val="nil"/>
              <w:bottom w:val="single" w:sz="4" w:space="0" w:color="595959"/>
              <w:right w:val="single" w:sz="4" w:space="0" w:color="595959"/>
            </w:tcBorders>
            <w:shd w:val="clear" w:color="000000" w:fill="CCFFFF"/>
            <w:vAlign w:val="center"/>
            <w:hideMark/>
          </w:tcPr>
          <w:p w:rsidR="006715D6" w:rsidRPr="00977A67" w:rsidRDefault="006715D6" w:rsidP="001E66FF">
            <w:pPr>
              <w:bidi/>
              <w:jc w:val="center"/>
              <w:rPr>
                <w:color w:val="000000"/>
                <w:sz w:val="17"/>
                <w:szCs w:val="17"/>
              </w:rPr>
            </w:pPr>
            <w:r w:rsidRPr="00977A67">
              <w:rPr>
                <w:rFonts w:hint="cs"/>
                <w:color w:val="000000"/>
                <w:sz w:val="17"/>
                <w:szCs w:val="17"/>
                <w:rtl/>
              </w:rPr>
              <w:t>رسوم المعالجة الوطنية المحصّلة، بالفرنك السويسري</w:t>
            </w:r>
          </w:p>
        </w:tc>
      </w:tr>
      <w:tr w:rsidR="006715D6" w:rsidRPr="00977A67" w:rsidTr="001E66FF">
        <w:trPr>
          <w:trHeight w:val="525"/>
        </w:trPr>
        <w:tc>
          <w:tcPr>
            <w:tcW w:w="2840" w:type="dxa"/>
            <w:tcBorders>
              <w:top w:val="nil"/>
              <w:left w:val="single" w:sz="4" w:space="0" w:color="595959"/>
              <w:bottom w:val="single" w:sz="4" w:space="0" w:color="595959"/>
              <w:right w:val="single" w:sz="4" w:space="0" w:color="595959"/>
            </w:tcBorders>
            <w:shd w:val="clear" w:color="auto" w:fill="auto"/>
            <w:noWrap/>
            <w:vAlign w:val="center"/>
            <w:hideMark/>
          </w:tcPr>
          <w:p w:rsidR="006715D6" w:rsidRPr="00977A67" w:rsidRDefault="006715D6" w:rsidP="001E66FF">
            <w:pPr>
              <w:bidi/>
              <w:rPr>
                <w:color w:val="000000"/>
                <w:sz w:val="17"/>
                <w:szCs w:val="17"/>
              </w:rPr>
            </w:pPr>
            <w:proofErr w:type="spellStart"/>
            <w:r w:rsidRPr="00977A67">
              <w:rPr>
                <w:color w:val="000000"/>
                <w:sz w:val="17"/>
                <w:szCs w:val="17"/>
                <w:rtl/>
              </w:rPr>
              <w:t>بنلوكس</w:t>
            </w:r>
            <w:proofErr w:type="spellEnd"/>
            <w:r w:rsidRPr="00977A67">
              <w:rPr>
                <w:color w:val="000000"/>
                <w:sz w:val="17"/>
                <w:szCs w:val="17"/>
              </w:rPr>
              <w:t xml:space="preserve"> </w:t>
            </w:r>
            <w:r w:rsidRPr="00977A67">
              <w:rPr>
                <w:rFonts w:hint="cs"/>
                <w:color w:val="000000"/>
                <w:sz w:val="17"/>
                <w:szCs w:val="17"/>
                <w:rtl/>
              </w:rPr>
              <w:t>*</w:t>
            </w:r>
          </w:p>
        </w:tc>
        <w:tc>
          <w:tcPr>
            <w:tcW w:w="2940" w:type="dxa"/>
            <w:tcBorders>
              <w:top w:val="single" w:sz="4" w:space="0" w:color="595959"/>
              <w:left w:val="nil"/>
              <w:bottom w:val="single" w:sz="4" w:space="0" w:color="595959"/>
              <w:right w:val="single" w:sz="4" w:space="0" w:color="595959"/>
            </w:tcBorders>
            <w:shd w:val="clear" w:color="auto" w:fill="auto"/>
            <w:vAlign w:val="center"/>
            <w:hideMark/>
          </w:tcPr>
          <w:p w:rsidR="006715D6" w:rsidRPr="00977A67" w:rsidRDefault="006715D6" w:rsidP="001E66FF">
            <w:pPr>
              <w:bidi/>
              <w:jc w:val="center"/>
              <w:rPr>
                <w:color w:val="000000"/>
                <w:sz w:val="17"/>
                <w:szCs w:val="17"/>
              </w:rPr>
            </w:pPr>
            <w:r w:rsidRPr="00977A67">
              <w:rPr>
                <w:color w:val="000000"/>
                <w:sz w:val="17"/>
                <w:szCs w:val="17"/>
              </w:rPr>
              <w:t>47</w:t>
            </w:r>
          </w:p>
        </w:tc>
        <w:tc>
          <w:tcPr>
            <w:tcW w:w="2740" w:type="dxa"/>
            <w:tcBorders>
              <w:top w:val="single" w:sz="4" w:space="0" w:color="595959"/>
              <w:left w:val="nil"/>
              <w:bottom w:val="single" w:sz="4" w:space="0" w:color="595959"/>
              <w:right w:val="single" w:sz="4" w:space="0" w:color="595959"/>
            </w:tcBorders>
            <w:shd w:val="clear" w:color="auto" w:fill="auto"/>
            <w:vAlign w:val="center"/>
            <w:hideMark/>
          </w:tcPr>
          <w:p w:rsidR="006715D6" w:rsidRPr="00977A67" w:rsidRDefault="006715D6" w:rsidP="001E66FF">
            <w:pPr>
              <w:bidi/>
              <w:jc w:val="center"/>
              <w:rPr>
                <w:color w:val="000000"/>
                <w:sz w:val="17"/>
                <w:szCs w:val="17"/>
              </w:rPr>
            </w:pPr>
            <w:r w:rsidRPr="00977A67">
              <w:rPr>
                <w:color w:val="000000"/>
                <w:sz w:val="17"/>
                <w:szCs w:val="17"/>
              </w:rPr>
              <w:t xml:space="preserve"> 4 700</w:t>
            </w:r>
          </w:p>
        </w:tc>
      </w:tr>
    </w:tbl>
    <w:p w:rsidR="006715D6" w:rsidRPr="00977A67" w:rsidRDefault="006715D6" w:rsidP="006715D6">
      <w:pPr>
        <w:keepNext/>
        <w:bidi/>
        <w:spacing w:after="120" w:line="400" w:lineRule="exact"/>
        <w:jc w:val="both"/>
        <w:rPr>
          <w:rFonts w:ascii="Arabic Typesetting" w:hAnsi="Arabic Typesetting" w:cs="Arabic Typesetting"/>
          <w:sz w:val="34"/>
          <w:szCs w:val="34"/>
          <w:lang w:bidi="ar-EG"/>
        </w:rPr>
      </w:pP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قيِّدت رسوم </w:t>
      </w:r>
      <w:r w:rsidRPr="00977A67">
        <w:rPr>
          <w:rFonts w:ascii="Arabic Typesetting" w:hAnsi="Arabic Typesetting" w:cs="Arabic Typesetting" w:hint="cs"/>
          <w:sz w:val="36"/>
          <w:szCs w:val="36"/>
          <w:rtl/>
        </w:rPr>
        <w:t>المعالجة الوطنية</w:t>
      </w:r>
      <w:r w:rsidRPr="00977A67">
        <w:rPr>
          <w:rFonts w:ascii="Arabic Typesetting" w:hAnsi="Arabic Typesetting" w:cs="Arabic Typesetting"/>
          <w:sz w:val="36"/>
          <w:szCs w:val="36"/>
          <w:rtl/>
        </w:rPr>
        <w:t xml:space="preserve"> في الحسابات الخاصة بالأطراف المتعاقدة لدى المكتب الدولي </w:t>
      </w:r>
      <w:r w:rsidRPr="00977A67">
        <w:rPr>
          <w:rFonts w:ascii="Arabic Typesetting" w:hAnsi="Arabic Typesetting" w:cs="Arabic Typesetting" w:hint="cs"/>
          <w:sz w:val="36"/>
          <w:szCs w:val="36"/>
          <w:rtl/>
        </w:rPr>
        <w:t>في</w:t>
      </w:r>
      <w:r w:rsidRPr="00977A67">
        <w:rPr>
          <w:rFonts w:ascii="Arabic Typesetting" w:hAnsi="Arabic Typesetting" w:cs="Arabic Typesetting"/>
          <w:sz w:val="36"/>
          <w:szCs w:val="36"/>
          <w:rtl/>
        </w:rPr>
        <w:t xml:space="preserve"> الشهر التالي </w:t>
      </w:r>
      <w:r w:rsidRPr="00977A67">
        <w:rPr>
          <w:rFonts w:ascii="Arabic Typesetting" w:hAnsi="Arabic Typesetting" w:cs="Arabic Typesetting" w:hint="cs"/>
          <w:sz w:val="36"/>
          <w:szCs w:val="36"/>
          <w:rtl/>
        </w:rPr>
        <w:t>لاستلام</w:t>
      </w:r>
      <w:r w:rsidRPr="00977A67">
        <w:rPr>
          <w:rFonts w:ascii="Arabic Typesetting" w:hAnsi="Arabic Typesetting" w:cs="Arabic Typesetting"/>
          <w:sz w:val="36"/>
          <w:szCs w:val="36"/>
          <w:rtl/>
        </w:rPr>
        <w:t xml:space="preserve"> </w:t>
      </w:r>
      <w:r w:rsidRPr="00977A67">
        <w:rPr>
          <w:rFonts w:ascii="Arabic Typesetting" w:hAnsi="Arabic Typesetting" w:cs="Arabic Typesetting" w:hint="cs"/>
          <w:sz w:val="36"/>
          <w:szCs w:val="36"/>
          <w:rtl/>
        </w:rPr>
        <w:t xml:space="preserve">طلب </w:t>
      </w:r>
      <w:r w:rsidRPr="00977A67">
        <w:rPr>
          <w:rFonts w:ascii="Arabic Typesetting" w:hAnsi="Arabic Typesetting" w:cs="Arabic Typesetting"/>
          <w:sz w:val="36"/>
          <w:szCs w:val="36"/>
          <w:rtl/>
        </w:rPr>
        <w:t>التسجيل الدولي</w:t>
      </w:r>
      <w:r w:rsidRPr="00977A67">
        <w:rPr>
          <w:rFonts w:ascii="Arabic Typesetting" w:hAnsi="Arabic Typesetting" w:cs="Arabic Typesetting" w:hint="cs"/>
          <w:sz w:val="36"/>
          <w:szCs w:val="36"/>
          <w:rtl/>
        </w:rPr>
        <w:t>.</w:t>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hint="cs"/>
          <w:sz w:val="28"/>
          <w:szCs w:val="28"/>
          <w:vertAlign w:val="superscript"/>
          <w:rtl/>
        </w:rPr>
        <w:t xml:space="preserve">* </w:t>
      </w:r>
      <w:r w:rsidRPr="00977A67">
        <w:rPr>
          <w:rFonts w:ascii="Arabic Typesetting" w:hAnsi="Arabic Typesetting" w:cs="Arabic Typesetting"/>
          <w:sz w:val="28"/>
          <w:szCs w:val="28"/>
          <w:rtl/>
        </w:rPr>
        <w:t xml:space="preserve">اعتبارا من </w:t>
      </w:r>
      <w:r w:rsidRPr="00977A67">
        <w:rPr>
          <w:rFonts w:ascii="Arabic Typesetting" w:hAnsi="Arabic Typesetting" w:cs="Arabic Typesetting" w:hint="cs"/>
          <w:sz w:val="28"/>
          <w:szCs w:val="28"/>
          <w:rtl/>
        </w:rPr>
        <w:t>4</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ديسمبر</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2013</w:t>
      </w:r>
    </w:p>
    <w:p w:rsidR="006715D6" w:rsidRPr="00977A67" w:rsidRDefault="006715D6" w:rsidP="006715D6">
      <w:pPr>
        <w:bidi/>
        <w:rPr>
          <w:rFonts w:ascii="Arabic Typesetting" w:hAnsi="Arabic Typesetting" w:cs="Arabic Typesetting"/>
          <w:b/>
          <w:bCs/>
          <w:sz w:val="36"/>
          <w:szCs w:val="36"/>
          <w:rtl/>
        </w:rPr>
      </w:pPr>
      <w:r w:rsidRPr="00977A67">
        <w:rPr>
          <w:b/>
          <w:bCs/>
          <w:color w:val="C00000"/>
          <w:rtl/>
        </w:rPr>
        <w:br w:type="page"/>
      </w:r>
    </w:p>
    <w:p w:rsidR="006715D6" w:rsidRPr="00977A67" w:rsidRDefault="006715D6" w:rsidP="006715D6">
      <w:pPr>
        <w:pStyle w:val="Heading2"/>
        <w:bidi/>
        <w:rPr>
          <w:rFonts w:ascii="Arabic Typesetting" w:hAnsi="Arabic Typesetting" w:cs="Arabic Typesetting"/>
          <w:i/>
          <w:iCs w:val="0"/>
          <w:sz w:val="36"/>
          <w:szCs w:val="36"/>
          <w:rtl/>
        </w:rPr>
      </w:pPr>
      <w:bookmarkStart w:id="174" w:name="_Toc394905535"/>
      <w:bookmarkStart w:id="175" w:name="_Toc394914299"/>
      <w:r w:rsidRPr="00977A67">
        <w:rPr>
          <w:rFonts w:ascii="Arabic Typesetting" w:hAnsi="Arabic Typesetting" w:cs="Arabic Typesetting" w:hint="cs"/>
          <w:i/>
          <w:iCs w:val="0"/>
          <w:sz w:val="36"/>
          <w:szCs w:val="36"/>
          <w:rtl/>
        </w:rPr>
        <w:t xml:space="preserve">اتحاد مدريد </w:t>
      </w:r>
      <w:r w:rsidRPr="00977A67">
        <w:rPr>
          <w:rFonts w:ascii="Arabic Typesetting" w:hAnsi="Arabic Typesetting" w:cs="Arabic Typesetting"/>
          <w:i/>
          <w:iCs w:val="0"/>
          <w:sz w:val="36"/>
          <w:szCs w:val="36"/>
          <w:rtl/>
        </w:rPr>
        <w:t>–</w:t>
      </w:r>
      <w:r w:rsidRPr="00977A67">
        <w:rPr>
          <w:rFonts w:ascii="Arabic Typesetting" w:hAnsi="Arabic Typesetting" w:cs="Arabic Typesetting" w:hint="cs"/>
          <w:i/>
          <w:iCs w:val="0"/>
          <w:sz w:val="36"/>
          <w:szCs w:val="36"/>
          <w:rtl/>
        </w:rPr>
        <w:t xml:space="preserve"> المبالغ المسددة وفقا للقاعدة 39 من اللائحة التنفيذية المشتركة بين اتفاق مدريد وبروتوكوله</w:t>
      </w:r>
      <w:bookmarkEnd w:id="172"/>
      <w:bookmarkEnd w:id="173"/>
      <w:bookmarkEnd w:id="174"/>
      <w:bookmarkEnd w:id="175"/>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تجيز القاعدة 39 من اللائحة التنفيذية المشتركة بين اتفاق مدريد وبروتوكول مدريد بشأن التسجيل الدولي للعلامات (التي اعتمدتها جمعية اتحاد مدريد ودخلت حيز النفاذ في 1 أبريل 1996) استمرار آثار التسجيلات الدولية في بعض الدول (يشار إليها فيما يلي "الدول الخلف") التي حصلت على استقلالها وكانت أراضيها قبل الاستقلال جزءا من أراضي بلد طرف في اتفاق مدريد. ويتألف كل مبلغ يسدد إلى المكتب الدولي لاستمرار آثار كل تسجيل من رسم قدره 41 فرنكا سويسريا يحوله المكتب الدولي إلى المكتب الوطني للدولة الخلف، ورسم قدره 23 فرنكا سويسريا يسدد إلى المكتب الدولي.</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(أ)</w:t>
      </w:r>
      <w:r w:rsidRPr="00977A67">
        <w:rPr>
          <w:rFonts w:ascii="Arabic Typesetting" w:hAnsi="Arabic Typesetting" w:cs="Arabic Typesetting" w:hint="cs"/>
          <w:sz w:val="36"/>
          <w:szCs w:val="36"/>
          <w:rtl/>
        </w:rPr>
        <w:tab/>
        <w:t>وفي سنة 2012 بلغ عدد حالات استمرار الآثار المدونة 22 حالة، استلم المكتب الدولي مقابلها مبلغا قدره (22</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23</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506 فرنكات واستلم المكتب الوطني للدولة الخلف التالي اسمها مبلغا قدره (22</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41</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902 فرنك حول إليه على النحو التالي:</w:t>
      </w:r>
    </w:p>
    <w:p w:rsidR="006715D6" w:rsidRPr="00977A67" w:rsidRDefault="006715D6" w:rsidP="006715D6">
      <w:pPr>
        <w:keepNext/>
        <w:bidi/>
        <w:spacing w:after="120"/>
        <w:jc w:val="both"/>
        <w:rPr>
          <w:rFonts w:ascii="Arabic Typesetting" w:hAnsi="Arabic Typesetting" w:cs="Arabic Typesetting"/>
          <w:sz w:val="34"/>
          <w:szCs w:val="34"/>
          <w:lang w:bidi="ar-EG"/>
        </w:rPr>
      </w:pPr>
      <w:r w:rsidRPr="00240F87">
        <w:rPr>
          <w:noProof/>
          <w:szCs w:val="22"/>
          <w:rtl/>
        </w:rPr>
        <w:drawing>
          <wp:inline distT="0" distB="0" distL="0" distR="0" wp14:anchorId="7D851A7E" wp14:editId="7656442A">
            <wp:extent cx="5667375" cy="802005"/>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667375" cy="80200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(ب)</w:t>
      </w:r>
      <w:r w:rsidRPr="00977A67">
        <w:rPr>
          <w:rFonts w:ascii="Arabic Typesetting" w:hAnsi="Arabic Typesetting" w:cs="Arabic Typesetting" w:hint="cs"/>
          <w:sz w:val="36"/>
          <w:szCs w:val="36"/>
          <w:rtl/>
        </w:rPr>
        <w:tab/>
        <w:t>وفي سنة 2013، لم يستلم المكتب الدولي أية حالة استمرار الآثار.</w:t>
      </w:r>
    </w:p>
    <w:p w:rsidR="006715D6" w:rsidRPr="00977A67" w:rsidRDefault="006715D6" w:rsidP="006715D6">
      <w:pPr>
        <w:pStyle w:val="Heading2"/>
        <w:bidi/>
        <w:rPr>
          <w:rFonts w:ascii="Arabic Typesetting" w:hAnsi="Arabic Typesetting" w:cs="Arabic Typesetting"/>
          <w:i/>
          <w:iCs w:val="0"/>
          <w:sz w:val="36"/>
          <w:szCs w:val="36"/>
        </w:rPr>
      </w:pPr>
      <w:r w:rsidRPr="00977A67">
        <w:rPr>
          <w:rFonts w:ascii="Arabic Typesetting" w:hAnsi="Arabic Typesetting" w:cs="Arabic Typesetting"/>
          <w:i/>
          <w:iCs w:val="0"/>
          <w:color w:val="C00000"/>
          <w:sz w:val="40"/>
          <w:szCs w:val="40"/>
          <w:rtl/>
          <w:lang w:bidi="ar-EG"/>
        </w:rPr>
        <w:br w:type="page"/>
      </w:r>
      <w:bookmarkStart w:id="176" w:name="_Toc331497785"/>
      <w:bookmarkStart w:id="177" w:name="_Toc381088602"/>
      <w:bookmarkStart w:id="178" w:name="_Toc394905536"/>
      <w:bookmarkStart w:id="179" w:name="_Toc394914300"/>
      <w:r w:rsidRPr="00977A67">
        <w:rPr>
          <w:rFonts w:ascii="Arabic Typesetting" w:hAnsi="Arabic Typesetting" w:cs="Arabic Typesetting"/>
          <w:i/>
          <w:iCs w:val="0"/>
          <w:sz w:val="36"/>
          <w:szCs w:val="36"/>
          <w:rtl/>
        </w:rPr>
        <w:t xml:space="preserve">اتحاد لاهاي - رسوم الدولة ورسوم التعيين - سنة </w:t>
      </w:r>
      <w:bookmarkEnd w:id="176"/>
      <w:bookmarkEnd w:id="177"/>
      <w:r w:rsidRPr="00977A67">
        <w:rPr>
          <w:rFonts w:ascii="Arabic Typesetting" w:hAnsi="Arabic Typesetting" w:cs="Arabic Typesetting" w:hint="cs"/>
          <w:i/>
          <w:iCs w:val="0"/>
          <w:sz w:val="36"/>
          <w:szCs w:val="36"/>
          <w:rtl/>
        </w:rPr>
        <w:t>2012</w:t>
      </w:r>
      <w:bookmarkEnd w:id="178"/>
      <w:bookmarkEnd w:id="179"/>
    </w:p>
    <w:p w:rsidR="006715D6" w:rsidRPr="00977A67" w:rsidRDefault="006715D6" w:rsidP="006715D6">
      <w:pPr>
        <w:bidi/>
        <w:spacing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الرسوم المحصلة</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حصلت الويبو في سنة </w:t>
      </w:r>
      <w:r w:rsidRPr="00977A67">
        <w:rPr>
          <w:rFonts w:ascii="Arabic Typesetting" w:hAnsi="Arabic Typesetting" w:cs="Arabic Typesetting" w:hint="cs"/>
          <w:sz w:val="36"/>
          <w:szCs w:val="36"/>
          <w:rtl/>
        </w:rPr>
        <w:t>2012</w:t>
      </w:r>
      <w:r w:rsidRPr="00977A67">
        <w:rPr>
          <w:rFonts w:ascii="Arabic Typesetting" w:hAnsi="Arabic Typesetting" w:cs="Arabic Typesetting"/>
          <w:sz w:val="36"/>
          <w:szCs w:val="36"/>
          <w:rtl/>
        </w:rPr>
        <w:t xml:space="preserve"> على مبلغ قدره </w:t>
      </w:r>
      <w:r w:rsidRPr="00977A67">
        <w:rPr>
          <w:rFonts w:ascii="Arabic Typesetting" w:hAnsi="Arabic Typesetting" w:cs="Arabic Typesetting" w:hint="cs"/>
          <w:sz w:val="36"/>
          <w:szCs w:val="36"/>
          <w:rtl/>
        </w:rPr>
        <w:t>931 394 2</w:t>
      </w:r>
      <w:r w:rsidRPr="00977A67">
        <w:rPr>
          <w:rFonts w:ascii="Arabic Typesetting" w:hAnsi="Arabic Typesetting" w:cs="Arabic Typesetting"/>
          <w:sz w:val="36"/>
          <w:szCs w:val="36"/>
          <w:rtl/>
        </w:rPr>
        <w:t xml:space="preserve"> فرنكا</w:t>
      </w:r>
      <w:r w:rsidRPr="00977A67">
        <w:rPr>
          <w:rFonts w:ascii="Arabic Typesetting" w:hAnsi="Arabic Typesetting" w:cs="Arabic Typesetting" w:hint="cs"/>
          <w:sz w:val="36"/>
          <w:szCs w:val="36"/>
          <w:rtl/>
        </w:rPr>
        <w:t xml:space="preserve"> سويسريا</w:t>
      </w:r>
      <w:r w:rsidRPr="00977A67">
        <w:rPr>
          <w:rFonts w:ascii="Arabic Typesetting" w:hAnsi="Arabic Typesetting" w:cs="Arabic Typesetting"/>
          <w:sz w:val="36"/>
          <w:szCs w:val="36"/>
          <w:rtl/>
        </w:rPr>
        <w:t xml:space="preserve"> من رسوم </w:t>
      </w:r>
      <w:r w:rsidRPr="00977A67">
        <w:rPr>
          <w:rFonts w:ascii="Arabic Typesetting" w:hAnsi="Arabic Typesetting" w:cs="Arabic Typesetting" w:hint="cs"/>
          <w:sz w:val="36"/>
          <w:szCs w:val="36"/>
          <w:rtl/>
        </w:rPr>
        <w:t>التعيين ال</w:t>
      </w:r>
      <w:r w:rsidRPr="00977A67">
        <w:rPr>
          <w:rFonts w:ascii="Arabic Typesetting" w:hAnsi="Arabic Typesetting" w:cs="Arabic Typesetting"/>
          <w:sz w:val="36"/>
          <w:szCs w:val="36"/>
          <w:rtl/>
        </w:rPr>
        <w:t xml:space="preserve">عادية </w:t>
      </w:r>
      <w:r w:rsidRPr="00977A67">
        <w:rPr>
          <w:rFonts w:ascii="Arabic Typesetting" w:hAnsi="Arabic Typesetting" w:cs="Arabic Typesetting" w:hint="cs"/>
          <w:sz w:val="36"/>
          <w:szCs w:val="36"/>
          <w:rtl/>
        </w:rPr>
        <w:t>بناء على القاعدتين</w:t>
      </w:r>
      <w:r w:rsidRPr="00977A67">
        <w:rPr>
          <w:rFonts w:ascii="Arabic Typesetting" w:hAnsi="Arabic Typesetting" w:cs="Arabic Typesetting" w:hint="eastAsia"/>
          <w:sz w:val="36"/>
          <w:szCs w:val="36"/>
          <w:rtl/>
        </w:rPr>
        <w:t> </w:t>
      </w:r>
      <w:r w:rsidRPr="00977A67">
        <w:rPr>
          <w:rFonts w:ascii="Arabic Typesetting" w:hAnsi="Arabic Typesetting" w:cs="Arabic Typesetting" w:hint="cs"/>
          <w:sz w:val="36"/>
          <w:szCs w:val="36"/>
          <w:rtl/>
        </w:rPr>
        <w:t xml:space="preserve">1.12(أ)"2" و1.12(ب) أو من رسوم التعيين الفردية لقاء التسجيلات الدولية الخاضعة </w:t>
      </w:r>
      <w:r w:rsidRPr="00977A67">
        <w:rPr>
          <w:rFonts w:ascii="Arabic Typesetting" w:hAnsi="Arabic Typesetting" w:cs="Arabic Typesetting"/>
          <w:sz w:val="36"/>
          <w:szCs w:val="36"/>
          <w:rtl/>
        </w:rPr>
        <w:t>كليا أو جزئيا لأحكام وثيقة سنة 1960 أو وثيقة سنة</w:t>
      </w:r>
      <w:r w:rsidRPr="00977A67">
        <w:rPr>
          <w:rFonts w:ascii="Arabic Typesetting" w:hAnsi="Arabic Typesetting" w:cs="Arabic Typesetting" w:hint="cs"/>
          <w:sz w:val="36"/>
          <w:szCs w:val="36"/>
          <w:rtl/>
        </w:rPr>
        <w:t> </w:t>
      </w:r>
      <w:r w:rsidRPr="00977A67">
        <w:rPr>
          <w:rFonts w:ascii="Arabic Typesetting" w:hAnsi="Arabic Typesetting" w:cs="Arabic Typesetting"/>
          <w:sz w:val="36"/>
          <w:szCs w:val="36"/>
          <w:rtl/>
        </w:rPr>
        <w:t>1999 بناء على القاعد</w:t>
      </w:r>
      <w:r w:rsidRPr="00977A67">
        <w:rPr>
          <w:rFonts w:ascii="Arabic Typesetting" w:hAnsi="Arabic Typesetting" w:cs="Arabic Typesetting" w:hint="cs"/>
          <w:sz w:val="36"/>
          <w:szCs w:val="36"/>
          <w:rtl/>
        </w:rPr>
        <w:t>ة 1.12(أ)"3" أو من رسوم التعيين العادية لقاء تجديدها بناء على القاعدة 1.24(أ)"2" أو من رسوم التعيين الفردية بناء على القاعدة 1.24(أ)"3" من اللائحة التنفيذية المشتركة لاتفاق لاهاي، بالاستناد إلى جدول الرسوم الساري منذ 1 يناير 2010.</w:t>
      </w:r>
    </w:p>
    <w:p w:rsidR="006715D6" w:rsidRDefault="006715D6" w:rsidP="006715D6">
      <w:pPr>
        <w:bidi/>
        <w:spacing w:after="120"/>
        <w:jc w:val="both"/>
        <w:rPr>
          <w:rFonts w:ascii="Arabic Typesetting" w:hAnsi="Arabic Typesetting" w:cs="Arabic Typesetting"/>
          <w:sz w:val="34"/>
          <w:szCs w:val="34"/>
          <w:lang w:bidi="ar-EG"/>
        </w:rPr>
      </w:pPr>
      <w:r w:rsidRPr="00240F87">
        <w:rPr>
          <w:noProof/>
          <w:szCs w:val="22"/>
          <w:rtl/>
        </w:rPr>
        <w:drawing>
          <wp:inline distT="0" distB="0" distL="0" distR="0" wp14:anchorId="6681EAC7" wp14:editId="2118C74F">
            <wp:extent cx="5876925" cy="6911103"/>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76925" cy="6911103"/>
                    </a:xfrm>
                    <a:prstGeom prst="rect">
                      <a:avLst/>
                    </a:prstGeom>
                    <a:noFill/>
                    <a:ln>
                      <a:noFill/>
                    </a:ln>
                  </pic:spPr>
                </pic:pic>
              </a:graphicData>
            </a:graphic>
          </wp:inline>
        </w:drawing>
      </w:r>
    </w:p>
    <w:p w:rsidR="006715D6" w:rsidRDefault="006715D6" w:rsidP="006715D6">
      <w:pPr>
        <w:bidi/>
        <w:spacing w:line="200" w:lineRule="exact"/>
        <w:rPr>
          <w:rFonts w:ascii="Arabic Typesetting" w:hAnsi="Arabic Typesetting" w:cs="Arabic Typesetting"/>
          <w:sz w:val="28"/>
          <w:szCs w:val="28"/>
          <w:rtl/>
        </w:rPr>
      </w:pPr>
      <w:r>
        <w:rPr>
          <w:rFonts w:ascii="Arabic Typesetting" w:hAnsi="Arabic Typesetting" w:cs="Arabic Typesetting" w:hint="cs"/>
          <w:sz w:val="28"/>
          <w:szCs w:val="28"/>
          <w:vertAlign w:val="superscript"/>
          <w:rtl/>
        </w:rPr>
        <w:t>13</w:t>
      </w:r>
      <w:r w:rsidRPr="00977A67">
        <w:rPr>
          <w:rFonts w:ascii="Arabic Typesetting" w:hAnsi="Arabic Typesetting" w:cs="Arabic Typesetting" w:hint="cs"/>
          <w:sz w:val="28"/>
          <w:szCs w:val="28"/>
          <w:vertAlign w:val="superscript"/>
          <w:rtl/>
        </w:rPr>
        <w:t xml:space="preserve"> </w:t>
      </w:r>
      <w:r w:rsidRPr="00977A67">
        <w:rPr>
          <w:rFonts w:ascii="Arabic Typesetting" w:hAnsi="Arabic Typesetting" w:cs="Arabic Typesetting"/>
          <w:sz w:val="28"/>
          <w:szCs w:val="28"/>
          <w:rtl/>
        </w:rPr>
        <w:t xml:space="preserve">اعتبارا من </w:t>
      </w:r>
      <w:r>
        <w:rPr>
          <w:rFonts w:ascii="Arabic Typesetting" w:hAnsi="Arabic Typesetting" w:cs="Arabic Typesetting" w:hint="cs"/>
          <w:sz w:val="28"/>
          <w:szCs w:val="28"/>
          <w:rtl/>
        </w:rPr>
        <w:t>21 مارس</w:t>
      </w:r>
      <w:r w:rsidRPr="00977A67">
        <w:rPr>
          <w:rFonts w:ascii="Arabic Typesetting" w:hAnsi="Arabic Typesetting" w:cs="Arabic Typesetting"/>
          <w:sz w:val="28"/>
          <w:szCs w:val="28"/>
          <w:rtl/>
        </w:rPr>
        <w:t xml:space="preserve"> </w:t>
      </w:r>
      <w:r>
        <w:rPr>
          <w:rFonts w:ascii="Arabic Typesetting" w:hAnsi="Arabic Typesetting" w:cs="Arabic Typesetting" w:hint="cs"/>
          <w:sz w:val="28"/>
          <w:szCs w:val="28"/>
          <w:rtl/>
        </w:rPr>
        <w:t>2012</w:t>
      </w:r>
    </w:p>
    <w:p w:rsidR="006715D6" w:rsidRDefault="006715D6" w:rsidP="006715D6">
      <w:pPr>
        <w:bidi/>
        <w:spacing w:line="200" w:lineRule="exact"/>
        <w:rPr>
          <w:rFonts w:ascii="Arabic Typesetting" w:hAnsi="Arabic Typesetting" w:cs="Arabic Typesetting"/>
          <w:sz w:val="28"/>
          <w:szCs w:val="28"/>
          <w:rtl/>
        </w:rPr>
      </w:pPr>
      <w:r>
        <w:rPr>
          <w:rFonts w:ascii="Arabic Typesetting" w:hAnsi="Arabic Typesetting" w:cs="Arabic Typesetting" w:hint="cs"/>
          <w:sz w:val="28"/>
          <w:szCs w:val="28"/>
          <w:vertAlign w:val="superscript"/>
          <w:rtl/>
        </w:rPr>
        <w:t>14</w:t>
      </w:r>
      <w:r w:rsidRPr="00977A67">
        <w:rPr>
          <w:rFonts w:ascii="Arabic Typesetting" w:hAnsi="Arabic Typesetting" w:cs="Arabic Typesetting" w:hint="cs"/>
          <w:sz w:val="28"/>
          <w:szCs w:val="28"/>
          <w:vertAlign w:val="superscript"/>
          <w:rtl/>
        </w:rPr>
        <w:t xml:space="preserve"> </w:t>
      </w:r>
      <w:r w:rsidRPr="00977A67">
        <w:rPr>
          <w:rFonts w:ascii="Arabic Typesetting" w:hAnsi="Arabic Typesetting" w:cs="Arabic Typesetting"/>
          <w:sz w:val="28"/>
          <w:szCs w:val="28"/>
          <w:rtl/>
        </w:rPr>
        <w:t xml:space="preserve">اعتبارا من </w:t>
      </w:r>
      <w:r>
        <w:rPr>
          <w:rFonts w:ascii="Arabic Typesetting" w:hAnsi="Arabic Typesetting" w:cs="Arabic Typesetting" w:hint="cs"/>
          <w:sz w:val="28"/>
          <w:szCs w:val="28"/>
          <w:rtl/>
        </w:rPr>
        <w:t>13 يونيو</w:t>
      </w:r>
      <w:r w:rsidRPr="00977A67">
        <w:rPr>
          <w:rFonts w:ascii="Arabic Typesetting" w:hAnsi="Arabic Typesetting" w:cs="Arabic Typesetting"/>
          <w:sz w:val="28"/>
          <w:szCs w:val="28"/>
          <w:rtl/>
        </w:rPr>
        <w:t xml:space="preserve"> </w:t>
      </w:r>
      <w:r>
        <w:rPr>
          <w:rFonts w:ascii="Arabic Typesetting" w:hAnsi="Arabic Typesetting" w:cs="Arabic Typesetting" w:hint="cs"/>
          <w:sz w:val="28"/>
          <w:szCs w:val="28"/>
          <w:rtl/>
        </w:rPr>
        <w:t>2012</w:t>
      </w:r>
    </w:p>
    <w:p w:rsidR="006715D6" w:rsidRPr="00977A67" w:rsidRDefault="006715D6" w:rsidP="006715D6">
      <w:pPr>
        <w:pStyle w:val="Heading2"/>
        <w:bidi/>
        <w:rPr>
          <w:rFonts w:ascii="Arabic Typesetting" w:hAnsi="Arabic Typesetting" w:cs="Arabic Typesetting"/>
          <w:i/>
          <w:iCs w:val="0"/>
          <w:sz w:val="36"/>
          <w:szCs w:val="36"/>
          <w:rtl/>
        </w:rPr>
      </w:pPr>
      <w:r w:rsidRPr="00977A67">
        <w:rPr>
          <w:rFonts w:ascii="Arabic Typesetting" w:hAnsi="Arabic Typesetting" w:cs="Arabic Typesetting"/>
          <w:i/>
          <w:iCs w:val="0"/>
          <w:color w:val="C00000"/>
          <w:sz w:val="40"/>
          <w:szCs w:val="40"/>
          <w:lang w:bidi="ar-EG"/>
        </w:rPr>
        <w:br w:type="page"/>
      </w:r>
      <w:bookmarkStart w:id="180" w:name="_Toc331497786"/>
      <w:bookmarkStart w:id="181" w:name="_Toc381088603"/>
      <w:bookmarkStart w:id="182" w:name="_Toc394905537"/>
      <w:bookmarkStart w:id="183" w:name="_Toc394914301"/>
      <w:r w:rsidRPr="00977A67">
        <w:rPr>
          <w:rFonts w:ascii="Arabic Typesetting" w:hAnsi="Arabic Typesetting" w:cs="Arabic Typesetting"/>
          <w:i/>
          <w:iCs w:val="0"/>
          <w:sz w:val="36"/>
          <w:szCs w:val="36"/>
          <w:rtl/>
        </w:rPr>
        <w:t xml:space="preserve">اتحاد لاهاي - رسوم الدولة ورسوم التعيين - سنة </w:t>
      </w:r>
      <w:bookmarkEnd w:id="180"/>
      <w:bookmarkEnd w:id="181"/>
      <w:r w:rsidRPr="00977A67">
        <w:rPr>
          <w:rFonts w:ascii="Arabic Typesetting" w:hAnsi="Arabic Typesetting" w:cs="Arabic Typesetting"/>
          <w:sz w:val="36"/>
          <w:szCs w:val="36"/>
        </w:rPr>
        <w:t>2013</w:t>
      </w:r>
      <w:bookmarkEnd w:id="182"/>
      <w:bookmarkEnd w:id="183"/>
    </w:p>
    <w:p w:rsidR="006715D6" w:rsidRPr="00977A67" w:rsidRDefault="006715D6" w:rsidP="006715D6">
      <w:pPr>
        <w:bidi/>
        <w:spacing w:line="360" w:lineRule="exact"/>
        <w:rPr>
          <w:rFonts w:ascii="Arabic Typesetting" w:hAnsi="Arabic Typesetting" w:cs="Arabic Typesetting"/>
          <w:b/>
          <w:bCs/>
          <w:sz w:val="36"/>
          <w:szCs w:val="36"/>
          <w:rtl/>
          <w:lang w:bidi="ar-EG"/>
        </w:rPr>
      </w:pPr>
      <w:r>
        <w:rPr>
          <w:rFonts w:ascii="Arabic Typesetting" w:hAnsi="Arabic Typesetting" w:cs="Arabic Typesetting" w:hint="cs"/>
          <w:b/>
          <w:bCs/>
          <w:sz w:val="36"/>
          <w:szCs w:val="36"/>
          <w:rtl/>
          <w:lang w:bidi="ar-EG"/>
        </w:rPr>
        <w:t>الرسوم المحصلة</w:t>
      </w:r>
    </w:p>
    <w:p w:rsidR="006715D6" w:rsidRPr="00977A67" w:rsidRDefault="006715D6" w:rsidP="006715D6">
      <w:pPr>
        <w:bidi/>
        <w:spacing w:after="120" w:line="360" w:lineRule="exact"/>
        <w:rPr>
          <w:rFonts w:ascii="Arabic Typesetting" w:hAnsi="Arabic Typesetting" w:cs="Arabic Typesetting"/>
          <w:sz w:val="36"/>
          <w:szCs w:val="36"/>
          <w:rtl/>
          <w:lang w:bidi="ar-EG"/>
        </w:rPr>
      </w:pPr>
      <w:r w:rsidRPr="00977A67">
        <w:rPr>
          <w:rFonts w:ascii="Arabic Typesetting" w:hAnsi="Arabic Typesetting" w:cs="Arabic Typesetting"/>
          <w:sz w:val="36"/>
          <w:szCs w:val="36"/>
          <w:rtl/>
          <w:lang w:bidi="ar-EG"/>
        </w:rPr>
        <w:t xml:space="preserve">حصلت </w:t>
      </w:r>
      <w:r w:rsidRPr="00977A67">
        <w:rPr>
          <w:rFonts w:ascii="Arabic Typesetting" w:hAnsi="Arabic Typesetting" w:cs="Arabic Typesetting"/>
          <w:sz w:val="36"/>
          <w:szCs w:val="36"/>
          <w:rtl/>
        </w:rPr>
        <w:t xml:space="preserve">الويبو </w:t>
      </w:r>
      <w:r w:rsidRPr="00977A67">
        <w:rPr>
          <w:rFonts w:ascii="Arabic Typesetting" w:hAnsi="Arabic Typesetting" w:cs="Arabic Typesetting"/>
          <w:sz w:val="36"/>
          <w:szCs w:val="36"/>
          <w:rtl/>
          <w:lang w:bidi="ar-EG"/>
        </w:rPr>
        <w:t xml:space="preserve">في سنة </w:t>
      </w:r>
      <w:r w:rsidRPr="00977A67">
        <w:rPr>
          <w:rFonts w:ascii="Arabic Typesetting" w:hAnsi="Arabic Typesetting" w:cs="Arabic Typesetting"/>
          <w:sz w:val="36"/>
          <w:szCs w:val="36"/>
          <w:lang w:bidi="ar-EG"/>
        </w:rPr>
        <w:t>2013</w:t>
      </w:r>
      <w:r w:rsidRPr="00977A67">
        <w:rPr>
          <w:rFonts w:ascii="Arabic Typesetting" w:hAnsi="Arabic Typesetting" w:cs="Arabic Typesetting"/>
          <w:sz w:val="36"/>
          <w:szCs w:val="36"/>
          <w:rtl/>
          <w:lang w:bidi="ar-EG"/>
        </w:rPr>
        <w:t xml:space="preserve"> على مبلغ قدره </w:t>
      </w:r>
      <w:r w:rsidRPr="00977A67">
        <w:rPr>
          <w:rFonts w:ascii="Arabic Typesetting" w:hAnsi="Arabic Typesetting" w:cs="Arabic Typesetting" w:hint="cs"/>
          <w:sz w:val="36"/>
          <w:szCs w:val="36"/>
          <w:rtl/>
          <w:lang w:bidi="ar-EG"/>
        </w:rPr>
        <w:t>667 569 2</w:t>
      </w:r>
      <w:r w:rsidRPr="00977A67">
        <w:rPr>
          <w:rFonts w:ascii="Arabic Typesetting" w:hAnsi="Arabic Typesetting" w:cs="Arabic Typesetting"/>
          <w:sz w:val="36"/>
          <w:szCs w:val="36"/>
          <w:rtl/>
          <w:lang w:bidi="ar-EG"/>
        </w:rPr>
        <w:t xml:space="preserve"> فرنكا سويسري</w:t>
      </w:r>
      <w:r w:rsidRPr="00977A67">
        <w:rPr>
          <w:rFonts w:ascii="Arabic Typesetting" w:hAnsi="Arabic Typesetting" w:cs="Arabic Typesetting" w:hint="cs"/>
          <w:sz w:val="36"/>
          <w:szCs w:val="36"/>
          <w:rtl/>
          <w:lang w:bidi="ar-EG"/>
        </w:rPr>
        <w:t>ا</w:t>
      </w:r>
      <w:r w:rsidRPr="00977A67">
        <w:rPr>
          <w:rFonts w:ascii="Arabic Typesetting" w:hAnsi="Arabic Typesetting" w:cs="Arabic Typesetting"/>
          <w:sz w:val="36"/>
          <w:szCs w:val="36"/>
          <w:rtl/>
          <w:lang w:bidi="ar-EG"/>
        </w:rPr>
        <w:t xml:space="preserve"> من رسوم</w:t>
      </w:r>
      <w:r w:rsidRPr="00977A67">
        <w:rPr>
          <w:rFonts w:ascii="Arabic Typesetting" w:hAnsi="Arabic Typesetting" w:cs="Arabic Typesetting" w:hint="cs"/>
          <w:sz w:val="36"/>
          <w:szCs w:val="36"/>
          <w:rtl/>
          <w:lang w:bidi="ar-EG"/>
        </w:rPr>
        <w:t xml:space="preserve"> التعيين</w:t>
      </w:r>
      <w:r w:rsidRPr="00977A67">
        <w:rPr>
          <w:rFonts w:ascii="Arabic Typesetting" w:hAnsi="Arabic Typesetting" w:cs="Arabic Typesetting"/>
          <w:sz w:val="36"/>
          <w:szCs w:val="36"/>
          <w:rtl/>
          <w:lang w:bidi="ar-EG"/>
        </w:rPr>
        <w:t xml:space="preserve"> </w:t>
      </w:r>
      <w:r w:rsidRPr="00977A67">
        <w:rPr>
          <w:rFonts w:ascii="Arabic Typesetting" w:hAnsi="Arabic Typesetting" w:cs="Arabic Typesetting" w:hint="cs"/>
          <w:sz w:val="36"/>
          <w:szCs w:val="36"/>
          <w:rtl/>
          <w:lang w:bidi="ar-EG"/>
        </w:rPr>
        <w:t>ال</w:t>
      </w:r>
      <w:r w:rsidRPr="00977A67">
        <w:rPr>
          <w:rFonts w:ascii="Arabic Typesetting" w:hAnsi="Arabic Typesetting" w:cs="Arabic Typesetting"/>
          <w:sz w:val="36"/>
          <w:szCs w:val="36"/>
          <w:rtl/>
          <w:lang w:bidi="ar-EG"/>
        </w:rPr>
        <w:t>عادية</w:t>
      </w:r>
      <w:r w:rsidRPr="00977A67">
        <w:rPr>
          <w:rFonts w:ascii="Arabic Typesetting" w:hAnsi="Arabic Typesetting" w:cs="Arabic Typesetting" w:hint="cs"/>
          <w:sz w:val="36"/>
          <w:szCs w:val="36"/>
          <w:rtl/>
          <w:lang w:bidi="ar-EG"/>
        </w:rPr>
        <w:t xml:space="preserve"> </w:t>
      </w:r>
      <w:r w:rsidRPr="00977A67">
        <w:rPr>
          <w:rFonts w:ascii="Arabic Typesetting" w:hAnsi="Arabic Typesetting" w:cs="Arabic Typesetting"/>
          <w:sz w:val="36"/>
          <w:szCs w:val="36"/>
          <w:rtl/>
          <w:lang w:bidi="ar-EG"/>
        </w:rPr>
        <w:t>بناء على القاعدتين</w:t>
      </w:r>
      <w:r w:rsidRPr="00977A67">
        <w:rPr>
          <w:rFonts w:ascii="Arabic Typesetting" w:hAnsi="Arabic Typesetting" w:cs="Arabic Typesetting" w:hint="cs"/>
          <w:sz w:val="36"/>
          <w:szCs w:val="36"/>
          <w:rtl/>
          <w:lang w:bidi="ar-EG"/>
        </w:rPr>
        <w:t> </w:t>
      </w:r>
      <w:r w:rsidRPr="00977A67">
        <w:rPr>
          <w:rFonts w:ascii="Arabic Typesetting" w:hAnsi="Arabic Typesetting" w:cs="Arabic Typesetting"/>
          <w:sz w:val="36"/>
          <w:szCs w:val="36"/>
          <w:rtl/>
          <w:lang w:bidi="ar-EG"/>
        </w:rPr>
        <w:t>1.12(أ)"2" و1.12(ب) ومن رسوم التعيين الفردية لقاء التسجيلات الدولية الخاضعة كليا أو جزئيا لأحكام وثيقة سنة 1960 أو وثيقة سنة 1999 بناء على القاعدة 1.12(أ)"3" أو من رسوم التعيين العادية لقاء تجديدها بناء على القاعدة</w:t>
      </w:r>
      <w:r w:rsidRPr="00977A67">
        <w:rPr>
          <w:rFonts w:ascii="Arabic Typesetting" w:hAnsi="Arabic Typesetting" w:cs="Arabic Typesetting" w:hint="cs"/>
          <w:sz w:val="36"/>
          <w:szCs w:val="36"/>
          <w:rtl/>
          <w:lang w:bidi="ar-EG"/>
        </w:rPr>
        <w:t> </w:t>
      </w:r>
      <w:r w:rsidRPr="00977A67">
        <w:rPr>
          <w:rFonts w:ascii="Arabic Typesetting" w:hAnsi="Arabic Typesetting" w:cs="Arabic Typesetting"/>
          <w:sz w:val="36"/>
          <w:szCs w:val="36"/>
          <w:rtl/>
          <w:lang w:bidi="ar-EG"/>
        </w:rPr>
        <w:t xml:space="preserve">1.24(أ)"2" أو من رسوم التعيين الفردية بناء على القاعدة 1.24(أ)"3" من اللائحة التنفيذية المشتركة لاتفاق لاهاي، بالاستناد إلى جدول الرسوم الساري منذ 1 يناير </w:t>
      </w:r>
      <w:r w:rsidRPr="00977A67">
        <w:rPr>
          <w:rFonts w:ascii="Arabic Typesetting" w:hAnsi="Arabic Typesetting" w:cs="Arabic Typesetting" w:hint="cs"/>
          <w:sz w:val="36"/>
          <w:szCs w:val="36"/>
          <w:rtl/>
          <w:lang w:bidi="ar-EG"/>
        </w:rPr>
        <w:t>2010</w:t>
      </w:r>
      <w:r w:rsidRPr="00977A67">
        <w:rPr>
          <w:rFonts w:ascii="Arabic Typesetting" w:hAnsi="Arabic Typesetting" w:cs="Arabic Typesetting"/>
          <w:sz w:val="36"/>
          <w:szCs w:val="36"/>
          <w:rtl/>
          <w:lang w:bidi="ar-EG"/>
        </w:rPr>
        <w:t>.</w:t>
      </w:r>
    </w:p>
    <w:p w:rsidR="006715D6" w:rsidRPr="00977A67" w:rsidRDefault="006715D6" w:rsidP="006715D6">
      <w:pPr>
        <w:bidi/>
        <w:spacing w:after="120"/>
        <w:jc w:val="both"/>
        <w:rPr>
          <w:rFonts w:ascii="Arabic Typesetting" w:hAnsi="Arabic Typesetting" w:cs="Arabic Typesetting"/>
          <w:sz w:val="34"/>
          <w:szCs w:val="34"/>
          <w:lang w:bidi="ar-EG"/>
        </w:rPr>
      </w:pPr>
      <w:r w:rsidRPr="00C82023">
        <w:rPr>
          <w:noProof/>
          <w:szCs w:val="22"/>
          <w:rtl/>
        </w:rPr>
        <w:drawing>
          <wp:inline distT="0" distB="0" distL="0" distR="0" wp14:anchorId="4EA2F492" wp14:editId="5C8D5AD5">
            <wp:extent cx="5826641" cy="6815470"/>
            <wp:effectExtent l="0" t="0" r="3175"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31205" cy="6820809"/>
                    </a:xfrm>
                    <a:prstGeom prst="rect">
                      <a:avLst/>
                    </a:prstGeom>
                    <a:noFill/>
                    <a:ln>
                      <a:noFill/>
                    </a:ln>
                  </pic:spPr>
                </pic:pic>
              </a:graphicData>
            </a:graphic>
          </wp:inline>
        </w:drawing>
      </w:r>
    </w:p>
    <w:p w:rsidR="006715D6" w:rsidRPr="00977A67" w:rsidRDefault="006715D6" w:rsidP="006715D6">
      <w:pPr>
        <w:bidi/>
        <w:spacing w:after="240"/>
        <w:rPr>
          <w:rFonts w:ascii="Arabic Typesetting" w:hAnsi="Arabic Typesetting" w:cs="Arabic Typesetting"/>
          <w:sz w:val="36"/>
          <w:szCs w:val="36"/>
          <w:rtl/>
        </w:rPr>
      </w:pPr>
      <w:r>
        <w:rPr>
          <w:rFonts w:ascii="Arabic Typesetting" w:hAnsi="Arabic Typesetting" w:cs="Arabic Typesetting" w:hint="cs"/>
          <w:sz w:val="28"/>
          <w:szCs w:val="28"/>
          <w:vertAlign w:val="superscript"/>
          <w:rtl/>
        </w:rPr>
        <w:t>15</w:t>
      </w:r>
      <w:r w:rsidRPr="00977A67">
        <w:rPr>
          <w:rFonts w:ascii="Arabic Typesetting" w:hAnsi="Arabic Typesetting" w:cs="Arabic Typesetting" w:hint="cs"/>
          <w:sz w:val="28"/>
          <w:szCs w:val="28"/>
          <w:vertAlign w:val="superscript"/>
          <w:rtl/>
        </w:rPr>
        <w:t xml:space="preserve"> </w:t>
      </w:r>
      <w:r w:rsidRPr="00977A67">
        <w:rPr>
          <w:rFonts w:ascii="Arabic Typesetting" w:hAnsi="Arabic Typesetting" w:cs="Arabic Typesetting"/>
          <w:sz w:val="28"/>
          <w:szCs w:val="28"/>
          <w:rtl/>
        </w:rPr>
        <w:t xml:space="preserve">اعتبارا من </w:t>
      </w:r>
      <w:r>
        <w:rPr>
          <w:rFonts w:ascii="Arabic Typesetting" w:hAnsi="Arabic Typesetting" w:cs="Arabic Typesetting" w:hint="cs"/>
          <w:sz w:val="28"/>
          <w:szCs w:val="28"/>
          <w:rtl/>
        </w:rPr>
        <w:t>24</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ديسمبر</w:t>
      </w:r>
      <w:r w:rsidRPr="00977A67">
        <w:rPr>
          <w:rFonts w:ascii="Arabic Typesetting" w:hAnsi="Arabic Typesetting" w:cs="Arabic Typesetting"/>
          <w:sz w:val="28"/>
          <w:szCs w:val="28"/>
          <w:rtl/>
        </w:rPr>
        <w:t xml:space="preserve"> </w:t>
      </w:r>
      <w:r w:rsidRPr="00977A67">
        <w:rPr>
          <w:rFonts w:ascii="Arabic Typesetting" w:hAnsi="Arabic Typesetting" w:cs="Arabic Typesetting" w:hint="cs"/>
          <w:sz w:val="28"/>
          <w:szCs w:val="28"/>
          <w:rtl/>
        </w:rPr>
        <w:t>2013</w:t>
      </w:r>
    </w:p>
    <w:p w:rsidR="006715D6" w:rsidRPr="00A5275A" w:rsidRDefault="006715D6" w:rsidP="006715D6">
      <w:pPr>
        <w:pStyle w:val="Heading2"/>
        <w:bidi/>
        <w:spacing w:line="220" w:lineRule="exact"/>
        <w:rPr>
          <w:rFonts w:ascii="Arabic Typesetting" w:hAnsi="Arabic Typesetting" w:cs="Arabic Typesetting"/>
          <w:i/>
          <w:iCs w:val="0"/>
          <w:sz w:val="32"/>
          <w:szCs w:val="32"/>
          <w:rtl/>
        </w:rPr>
      </w:pPr>
      <w:bookmarkStart w:id="184" w:name="_Toc331497787"/>
      <w:bookmarkStart w:id="185" w:name="_Toc381088604"/>
      <w:bookmarkStart w:id="186" w:name="_Toc394905538"/>
      <w:bookmarkStart w:id="187" w:name="_Toc394914302"/>
      <w:r w:rsidRPr="00A5275A">
        <w:rPr>
          <w:rFonts w:ascii="Arabic Typesetting" w:hAnsi="Arabic Typesetting" w:cs="Arabic Typesetting" w:hint="cs"/>
          <w:i/>
          <w:iCs w:val="0"/>
          <w:sz w:val="32"/>
          <w:szCs w:val="32"/>
          <w:rtl/>
        </w:rPr>
        <w:t xml:space="preserve">اتحاد مدريد واتحاد لاهاي </w:t>
      </w:r>
      <w:r w:rsidRPr="00A5275A">
        <w:rPr>
          <w:rFonts w:ascii="Arabic Typesetting" w:hAnsi="Arabic Typesetting" w:cs="Arabic Typesetting"/>
          <w:i/>
          <w:iCs w:val="0"/>
          <w:sz w:val="32"/>
          <w:szCs w:val="32"/>
          <w:rtl/>
        </w:rPr>
        <w:t>–</w:t>
      </w:r>
      <w:r w:rsidRPr="00A5275A">
        <w:rPr>
          <w:rFonts w:ascii="Arabic Typesetting" w:hAnsi="Arabic Typesetting" w:cs="Arabic Typesetting" w:hint="cs"/>
          <w:i/>
          <w:iCs w:val="0"/>
          <w:sz w:val="32"/>
          <w:szCs w:val="32"/>
          <w:rtl/>
        </w:rPr>
        <w:t xml:space="preserve"> توزيع رسوم سنة </w:t>
      </w:r>
      <w:bookmarkEnd w:id="184"/>
      <w:bookmarkEnd w:id="185"/>
      <w:r w:rsidRPr="00A5275A">
        <w:rPr>
          <w:rFonts w:ascii="Arabic Typesetting" w:hAnsi="Arabic Typesetting" w:cs="Arabic Typesetting" w:hint="cs"/>
          <w:i/>
          <w:iCs w:val="0"/>
          <w:sz w:val="32"/>
          <w:szCs w:val="32"/>
          <w:rtl/>
        </w:rPr>
        <w:t>2012</w:t>
      </w:r>
      <w:bookmarkEnd w:id="186"/>
      <w:bookmarkEnd w:id="187"/>
    </w:p>
    <w:p w:rsidR="006715D6" w:rsidRPr="00A5275A" w:rsidRDefault="006715D6" w:rsidP="006715D6">
      <w:pPr>
        <w:bidi/>
        <w:spacing w:line="220" w:lineRule="exact"/>
        <w:rPr>
          <w:rFonts w:ascii="Arabic Typesetting" w:hAnsi="Arabic Typesetting" w:cs="Arabic Typesetting"/>
          <w:sz w:val="28"/>
          <w:szCs w:val="28"/>
          <w:rtl/>
        </w:rPr>
      </w:pPr>
      <w:r w:rsidRPr="00A5275A">
        <w:rPr>
          <w:rFonts w:ascii="Arabic Typesetting" w:hAnsi="Arabic Typesetting" w:cs="Arabic Typesetting" w:hint="cs"/>
          <w:sz w:val="28"/>
          <w:szCs w:val="28"/>
          <w:rtl/>
        </w:rPr>
        <w:t>(المبالغ مبينة بالفرنك السويسري)</w:t>
      </w:r>
    </w:p>
    <w:p w:rsidR="006715D6" w:rsidRPr="00A5275A" w:rsidRDefault="006715D6" w:rsidP="006715D6">
      <w:pPr>
        <w:bidi/>
        <w:spacing w:line="220" w:lineRule="exact"/>
        <w:rPr>
          <w:rFonts w:ascii="Arabic Typesetting" w:hAnsi="Arabic Typesetting" w:cs="Arabic Typesetting"/>
          <w:sz w:val="32"/>
          <w:szCs w:val="32"/>
          <w:rtl/>
        </w:rPr>
      </w:pPr>
      <w:r w:rsidRPr="00A5275A">
        <w:rPr>
          <w:rFonts w:ascii="Arabic Typesetting" w:hAnsi="Arabic Typesetting" w:cs="Arabic Typesetting"/>
          <w:sz w:val="32"/>
          <w:szCs w:val="32"/>
          <w:rtl/>
        </w:rPr>
        <w:t>- خدمة التسجيل الدولي للعلامات (مدريد): الرسوم الإضافية والرسوم التكميلية</w:t>
      </w:r>
      <w:r w:rsidRPr="00A5275A">
        <w:rPr>
          <w:rFonts w:ascii="Arabic Typesetting" w:hAnsi="Arabic Typesetting" w:cs="Arabic Typesetting" w:hint="cs"/>
          <w:sz w:val="32"/>
          <w:szCs w:val="32"/>
          <w:rtl/>
        </w:rPr>
        <w:t xml:space="preserve"> </w:t>
      </w:r>
      <w:r w:rsidRPr="00A5275A">
        <w:rPr>
          <w:rFonts w:ascii="Arabic Typesetting" w:hAnsi="Arabic Typesetting" w:cs="Arabic Typesetting"/>
          <w:sz w:val="32"/>
          <w:szCs w:val="32"/>
          <w:rtl/>
        </w:rPr>
        <w:t>ورسوم استمرار الآثار</w:t>
      </w:r>
    </w:p>
    <w:p w:rsidR="006715D6" w:rsidRPr="00A5275A" w:rsidRDefault="006715D6" w:rsidP="006715D6">
      <w:pPr>
        <w:bidi/>
        <w:spacing w:after="20" w:line="200" w:lineRule="exact"/>
        <w:rPr>
          <w:rFonts w:ascii="Arabic Typesetting" w:hAnsi="Arabic Typesetting" w:cs="Arabic Typesetting"/>
          <w:sz w:val="32"/>
          <w:szCs w:val="32"/>
          <w:rtl/>
        </w:rPr>
      </w:pPr>
      <w:r w:rsidRPr="00A5275A">
        <w:rPr>
          <w:rFonts w:ascii="Arabic Typesetting" w:hAnsi="Arabic Typesetting" w:cs="Arabic Typesetting"/>
          <w:sz w:val="32"/>
          <w:szCs w:val="32"/>
          <w:rtl/>
        </w:rPr>
        <w:t>- خدمة التسجيل الدولي للتصاميم الصناعية (لاهاي): رسوم الدولة ورسوم التعيين</w:t>
      </w:r>
    </w:p>
    <w:p w:rsidR="006715D6" w:rsidRPr="00977A67" w:rsidRDefault="006715D6" w:rsidP="006715D6">
      <w:pPr>
        <w:bidi/>
        <w:spacing w:after="120"/>
        <w:jc w:val="both"/>
        <w:rPr>
          <w:rFonts w:ascii="Arabic Typesetting" w:hAnsi="Arabic Typesetting" w:cs="Arabic Typesetting"/>
          <w:sz w:val="34"/>
          <w:szCs w:val="34"/>
          <w:lang w:bidi="ar-EG"/>
        </w:rPr>
      </w:pPr>
      <w:r w:rsidRPr="0017640A">
        <w:rPr>
          <w:noProof/>
          <w:szCs w:val="22"/>
          <w:rtl/>
        </w:rPr>
        <w:drawing>
          <wp:inline distT="0" distB="0" distL="0" distR="0" wp14:anchorId="35E27665" wp14:editId="4BE4D270">
            <wp:extent cx="5943600" cy="814454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2001" cy="8142349"/>
                    </a:xfrm>
                    <a:prstGeom prst="rect">
                      <a:avLst/>
                    </a:prstGeom>
                    <a:noFill/>
                    <a:ln>
                      <a:noFill/>
                    </a:ln>
                  </pic:spPr>
                </pic:pic>
              </a:graphicData>
            </a:graphic>
          </wp:inline>
        </w:drawing>
      </w:r>
    </w:p>
    <w:p w:rsidR="006715D6" w:rsidRPr="00A5275A" w:rsidRDefault="006715D6" w:rsidP="006715D6">
      <w:pPr>
        <w:pStyle w:val="Heading2"/>
        <w:bidi/>
        <w:spacing w:line="220" w:lineRule="exact"/>
        <w:rPr>
          <w:rFonts w:ascii="Arabic Typesetting" w:hAnsi="Arabic Typesetting" w:cs="Arabic Typesetting"/>
          <w:i/>
          <w:iCs w:val="0"/>
          <w:sz w:val="32"/>
          <w:szCs w:val="32"/>
          <w:rtl/>
        </w:rPr>
      </w:pPr>
      <w:bookmarkStart w:id="188" w:name="_Toc331497788"/>
      <w:bookmarkStart w:id="189" w:name="_Toc381088605"/>
      <w:bookmarkStart w:id="190" w:name="_Toc394905539"/>
      <w:bookmarkStart w:id="191" w:name="_Toc394914303"/>
      <w:r w:rsidRPr="00A5275A">
        <w:rPr>
          <w:rFonts w:ascii="Arabic Typesetting" w:hAnsi="Arabic Typesetting" w:cs="Arabic Typesetting" w:hint="cs"/>
          <w:i/>
          <w:iCs w:val="0"/>
          <w:sz w:val="32"/>
          <w:szCs w:val="32"/>
          <w:rtl/>
        </w:rPr>
        <w:t xml:space="preserve">اتحاد مدريد واتحاد لاهاي </w:t>
      </w:r>
      <w:r w:rsidRPr="00A5275A">
        <w:rPr>
          <w:rFonts w:ascii="Arabic Typesetting" w:hAnsi="Arabic Typesetting" w:cs="Arabic Typesetting"/>
          <w:i/>
          <w:iCs w:val="0"/>
          <w:sz w:val="32"/>
          <w:szCs w:val="32"/>
          <w:rtl/>
        </w:rPr>
        <w:t>–</w:t>
      </w:r>
      <w:r w:rsidRPr="00A5275A">
        <w:rPr>
          <w:rFonts w:ascii="Arabic Typesetting" w:hAnsi="Arabic Typesetting" w:cs="Arabic Typesetting" w:hint="cs"/>
          <w:i/>
          <w:iCs w:val="0"/>
          <w:sz w:val="32"/>
          <w:szCs w:val="32"/>
          <w:rtl/>
        </w:rPr>
        <w:t xml:space="preserve"> توزيع رسوم سنة </w:t>
      </w:r>
      <w:bookmarkEnd w:id="188"/>
      <w:bookmarkEnd w:id="189"/>
      <w:r w:rsidRPr="00A5275A">
        <w:rPr>
          <w:rFonts w:ascii="Arabic Typesetting" w:hAnsi="Arabic Typesetting" w:cs="Arabic Typesetting" w:hint="cs"/>
          <w:i/>
          <w:iCs w:val="0"/>
          <w:sz w:val="32"/>
          <w:szCs w:val="32"/>
          <w:rtl/>
        </w:rPr>
        <w:t>2013</w:t>
      </w:r>
      <w:bookmarkEnd w:id="190"/>
      <w:bookmarkEnd w:id="191"/>
    </w:p>
    <w:p w:rsidR="006715D6" w:rsidRPr="00A5275A" w:rsidRDefault="006715D6" w:rsidP="006715D6">
      <w:pPr>
        <w:bidi/>
        <w:spacing w:line="220" w:lineRule="exact"/>
        <w:rPr>
          <w:rFonts w:ascii="Arabic Typesetting" w:hAnsi="Arabic Typesetting" w:cs="Arabic Typesetting"/>
          <w:sz w:val="28"/>
          <w:szCs w:val="28"/>
          <w:rtl/>
        </w:rPr>
      </w:pPr>
      <w:r w:rsidRPr="00A5275A">
        <w:rPr>
          <w:rFonts w:ascii="Arabic Typesetting" w:hAnsi="Arabic Typesetting" w:cs="Arabic Typesetting" w:hint="cs"/>
          <w:sz w:val="28"/>
          <w:szCs w:val="28"/>
          <w:rtl/>
        </w:rPr>
        <w:t>(المبالغ مبينة بالفرنك السويسري)</w:t>
      </w:r>
    </w:p>
    <w:p w:rsidR="006715D6" w:rsidRPr="00A5275A" w:rsidRDefault="006715D6" w:rsidP="006715D6">
      <w:pPr>
        <w:bidi/>
        <w:spacing w:line="220" w:lineRule="exact"/>
        <w:rPr>
          <w:rFonts w:ascii="Arabic Typesetting" w:hAnsi="Arabic Typesetting" w:cs="Arabic Typesetting"/>
          <w:sz w:val="32"/>
          <w:szCs w:val="32"/>
          <w:rtl/>
        </w:rPr>
      </w:pPr>
      <w:r w:rsidRPr="00A5275A">
        <w:rPr>
          <w:rFonts w:ascii="Arabic Typesetting" w:hAnsi="Arabic Typesetting" w:cs="Arabic Typesetting"/>
          <w:sz w:val="32"/>
          <w:szCs w:val="32"/>
          <w:rtl/>
        </w:rPr>
        <w:t>- خدمة التسجيل الدولي للعلامات (مدريد): الرسوم الإضافية والرسوم التكميلية</w:t>
      </w:r>
      <w:r w:rsidRPr="00A5275A">
        <w:rPr>
          <w:rFonts w:ascii="Arabic Typesetting" w:hAnsi="Arabic Typesetting" w:cs="Arabic Typesetting" w:hint="cs"/>
          <w:sz w:val="32"/>
          <w:szCs w:val="32"/>
          <w:rtl/>
        </w:rPr>
        <w:t xml:space="preserve"> </w:t>
      </w:r>
      <w:r w:rsidRPr="00A5275A">
        <w:rPr>
          <w:rFonts w:ascii="Arabic Typesetting" w:hAnsi="Arabic Typesetting" w:cs="Arabic Typesetting"/>
          <w:sz w:val="32"/>
          <w:szCs w:val="32"/>
          <w:rtl/>
        </w:rPr>
        <w:t xml:space="preserve">ورسوم </w:t>
      </w:r>
      <w:r w:rsidRPr="00A5275A">
        <w:rPr>
          <w:rFonts w:ascii="Arabic Typesetting" w:hAnsi="Arabic Typesetting" w:cs="Arabic Typesetting" w:hint="cs"/>
          <w:sz w:val="32"/>
          <w:szCs w:val="32"/>
          <w:rtl/>
        </w:rPr>
        <w:t>المعالجة</w:t>
      </w:r>
    </w:p>
    <w:p w:rsidR="006715D6" w:rsidRPr="00A5275A" w:rsidRDefault="006715D6" w:rsidP="006715D6">
      <w:pPr>
        <w:bidi/>
        <w:spacing w:after="20" w:line="200" w:lineRule="exact"/>
        <w:rPr>
          <w:rFonts w:ascii="Arabic Typesetting" w:hAnsi="Arabic Typesetting" w:cs="Arabic Typesetting"/>
          <w:sz w:val="32"/>
          <w:szCs w:val="32"/>
          <w:rtl/>
        </w:rPr>
      </w:pPr>
      <w:r w:rsidRPr="00A5275A">
        <w:rPr>
          <w:rFonts w:ascii="Arabic Typesetting" w:hAnsi="Arabic Typesetting" w:cs="Arabic Typesetting"/>
          <w:sz w:val="32"/>
          <w:szCs w:val="32"/>
          <w:rtl/>
        </w:rPr>
        <w:t>- خدمة التسجيل الدولي للتصاميم الصناعية (لاهاي): رسوم الدولة ورسوم التعيين</w:t>
      </w:r>
    </w:p>
    <w:p w:rsidR="006715D6" w:rsidRPr="00977A67" w:rsidRDefault="006715D6" w:rsidP="006715D6">
      <w:pPr>
        <w:bidi/>
        <w:spacing w:after="120"/>
        <w:jc w:val="both"/>
        <w:rPr>
          <w:rFonts w:ascii="Arabic Typesetting" w:hAnsi="Arabic Typesetting" w:cs="Arabic Typesetting"/>
          <w:sz w:val="34"/>
          <w:szCs w:val="34"/>
          <w:lang w:bidi="ar-EG"/>
        </w:rPr>
      </w:pPr>
      <w:r w:rsidRPr="0017640A">
        <w:rPr>
          <w:noProof/>
          <w:szCs w:val="22"/>
          <w:rtl/>
        </w:rPr>
        <w:drawing>
          <wp:inline distT="0" distB="0" distL="0" distR="0" wp14:anchorId="2469F30C" wp14:editId="0F9DDD77">
            <wp:extent cx="5943600" cy="838691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1969" cy="8384610"/>
                    </a:xfrm>
                    <a:prstGeom prst="rect">
                      <a:avLst/>
                    </a:prstGeom>
                    <a:noFill/>
                    <a:ln>
                      <a:noFill/>
                    </a:ln>
                  </pic:spPr>
                </pic:pic>
              </a:graphicData>
            </a:graphic>
          </wp:inline>
        </w:drawing>
      </w:r>
    </w:p>
    <w:p w:rsidR="006715D6" w:rsidRPr="00A5275A" w:rsidRDefault="006715D6" w:rsidP="006715D6">
      <w:pPr>
        <w:pStyle w:val="Heading2"/>
        <w:bidi/>
        <w:spacing w:line="240" w:lineRule="exact"/>
        <w:rPr>
          <w:rFonts w:ascii="Arabic Typesetting" w:hAnsi="Arabic Typesetting" w:cs="Arabic Typesetting"/>
          <w:i/>
          <w:iCs w:val="0"/>
          <w:sz w:val="32"/>
          <w:szCs w:val="32"/>
          <w:rtl/>
        </w:rPr>
      </w:pPr>
      <w:r w:rsidRPr="00977A67">
        <w:rPr>
          <w:rFonts w:ascii="Arabic Typesetting" w:hAnsi="Arabic Typesetting" w:cs="Arabic Typesetting"/>
          <w:i/>
          <w:iCs w:val="0"/>
          <w:color w:val="C00000"/>
          <w:sz w:val="40"/>
          <w:szCs w:val="40"/>
        </w:rPr>
        <w:br w:type="page"/>
      </w:r>
      <w:bookmarkStart w:id="192" w:name="_Toc331497789"/>
      <w:bookmarkStart w:id="193" w:name="_Toc381088606"/>
      <w:bookmarkStart w:id="194" w:name="_Toc394905540"/>
      <w:bookmarkStart w:id="195" w:name="_Toc394914304"/>
      <w:r w:rsidRPr="00A5275A">
        <w:rPr>
          <w:rFonts w:ascii="Arabic Typesetting" w:hAnsi="Arabic Typesetting" w:cs="Arabic Typesetting" w:hint="cs"/>
          <w:i/>
          <w:iCs w:val="0"/>
          <w:sz w:val="32"/>
          <w:szCs w:val="32"/>
          <w:rtl/>
        </w:rPr>
        <w:t xml:space="preserve">اتحاد مدريد واتحاد لاهاي </w:t>
      </w:r>
      <w:r w:rsidRPr="00A5275A">
        <w:rPr>
          <w:rFonts w:ascii="Arabic Typesetting" w:hAnsi="Arabic Typesetting" w:cs="Arabic Typesetting"/>
          <w:i/>
          <w:iCs w:val="0"/>
          <w:sz w:val="32"/>
          <w:szCs w:val="32"/>
          <w:rtl/>
        </w:rPr>
        <w:t>–</w:t>
      </w:r>
      <w:r w:rsidRPr="00A5275A">
        <w:rPr>
          <w:rFonts w:ascii="Arabic Typesetting" w:hAnsi="Arabic Typesetting" w:cs="Arabic Typesetting" w:hint="cs"/>
          <w:i/>
          <w:iCs w:val="0"/>
          <w:sz w:val="32"/>
          <w:szCs w:val="32"/>
          <w:rtl/>
        </w:rPr>
        <w:t xml:space="preserve"> حساب إجمالي للثنائية 2012/13</w:t>
      </w:r>
      <w:bookmarkEnd w:id="192"/>
      <w:bookmarkEnd w:id="193"/>
      <w:bookmarkEnd w:id="194"/>
      <w:bookmarkEnd w:id="195"/>
    </w:p>
    <w:p w:rsidR="006715D6" w:rsidRPr="00A5275A" w:rsidRDefault="006715D6" w:rsidP="006715D6">
      <w:pPr>
        <w:bidi/>
        <w:spacing w:after="20" w:line="200" w:lineRule="exact"/>
        <w:rPr>
          <w:rFonts w:ascii="Arabic Typesetting" w:hAnsi="Arabic Typesetting" w:cs="Arabic Typesetting"/>
          <w:sz w:val="28"/>
          <w:szCs w:val="28"/>
          <w:rtl/>
        </w:rPr>
      </w:pPr>
      <w:r w:rsidRPr="00A5275A">
        <w:rPr>
          <w:rFonts w:ascii="Arabic Typesetting" w:hAnsi="Arabic Typesetting" w:cs="Arabic Typesetting" w:hint="cs"/>
          <w:sz w:val="28"/>
          <w:szCs w:val="28"/>
          <w:rtl/>
        </w:rPr>
        <w:t>(المبالغ مبينة بالفرنك السويسري)</w:t>
      </w:r>
    </w:p>
    <w:p w:rsidR="006715D6" w:rsidRDefault="006715D6" w:rsidP="006715D6">
      <w:pPr>
        <w:bidi/>
        <w:spacing w:after="120"/>
        <w:jc w:val="both"/>
        <w:rPr>
          <w:rFonts w:ascii="Arabic Typesetting" w:hAnsi="Arabic Typesetting" w:cs="Arabic Typesetting"/>
          <w:sz w:val="34"/>
          <w:szCs w:val="34"/>
          <w:rtl/>
          <w:lang w:bidi="ar-EG"/>
        </w:rPr>
        <w:sectPr w:rsidR="006715D6" w:rsidSect="00741BC4">
          <w:headerReference w:type="default" r:id="rId114"/>
          <w:headerReference w:type="first" r:id="rId115"/>
          <w:pgSz w:w="11907" w:h="16840" w:code="9"/>
          <w:pgMar w:top="567" w:right="1418" w:bottom="550" w:left="1134" w:header="510" w:footer="1021" w:gutter="0"/>
          <w:cols w:space="720"/>
          <w:titlePg/>
          <w:docGrid w:linePitch="299"/>
        </w:sectPr>
      </w:pPr>
      <w:bookmarkStart w:id="196" w:name="_Toc331497790"/>
      <w:bookmarkStart w:id="197" w:name="_Toc381088607"/>
      <w:r w:rsidRPr="00345DA5">
        <w:rPr>
          <w:noProof/>
          <w:szCs w:val="22"/>
          <w:rtl/>
        </w:rPr>
        <w:drawing>
          <wp:inline distT="0" distB="0" distL="0" distR="0" wp14:anchorId="3645EA5C" wp14:editId="333C93E1">
            <wp:extent cx="5943008" cy="8559209"/>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347" cy="8559697"/>
                    </a:xfrm>
                    <a:prstGeom prst="rect">
                      <a:avLst/>
                    </a:prstGeom>
                    <a:noFill/>
                    <a:ln>
                      <a:noFill/>
                    </a:ln>
                  </pic:spPr>
                </pic:pic>
              </a:graphicData>
            </a:graphic>
          </wp:inline>
        </w:drawing>
      </w:r>
    </w:p>
    <w:p w:rsidR="006715D6" w:rsidRPr="00345DA5" w:rsidRDefault="006715D6" w:rsidP="006715D6">
      <w:pPr>
        <w:keepNext/>
        <w:bidi/>
        <w:spacing w:line="340" w:lineRule="exact"/>
        <w:jc w:val="center"/>
        <w:rPr>
          <w:rFonts w:ascii="Arabic Typesetting" w:hAnsi="Arabic Typesetting" w:cs="Arabic Typesetting"/>
          <w:b/>
          <w:bCs/>
          <w:sz w:val="36"/>
          <w:szCs w:val="36"/>
          <w:rtl/>
        </w:rPr>
      </w:pPr>
      <w:bookmarkStart w:id="198" w:name="_Toc394905541"/>
      <w:bookmarkStart w:id="199" w:name="_Toc394911955"/>
      <w:bookmarkStart w:id="200" w:name="_Toc394914305"/>
      <w:r w:rsidRPr="00345DA5">
        <w:rPr>
          <w:rFonts w:ascii="Arabic Typesetting" w:hAnsi="Arabic Typesetting" w:cs="Arabic Typesetting" w:hint="cs"/>
          <w:b/>
          <w:bCs/>
          <w:sz w:val="36"/>
          <w:szCs w:val="36"/>
          <w:rtl/>
        </w:rPr>
        <w:t xml:space="preserve">الصناديق </w:t>
      </w:r>
      <w:proofErr w:type="spellStart"/>
      <w:r w:rsidRPr="00345DA5">
        <w:rPr>
          <w:rFonts w:ascii="Arabic Typesetting" w:hAnsi="Arabic Typesetting" w:cs="Arabic Typesetting" w:hint="cs"/>
          <w:b/>
          <w:bCs/>
          <w:sz w:val="36"/>
          <w:szCs w:val="36"/>
          <w:rtl/>
        </w:rPr>
        <w:t>الاستئمانية</w:t>
      </w:r>
      <w:bookmarkEnd w:id="198"/>
      <w:bookmarkEnd w:id="199"/>
      <w:bookmarkEnd w:id="200"/>
      <w:proofErr w:type="spellEnd"/>
    </w:p>
    <w:p w:rsidR="006715D6" w:rsidRDefault="006715D6" w:rsidP="006715D6">
      <w:pPr>
        <w:keepNext/>
        <w:bidi/>
        <w:spacing w:line="340" w:lineRule="exact"/>
        <w:jc w:val="center"/>
        <w:rPr>
          <w:rFonts w:ascii="Arabic Typesetting" w:hAnsi="Arabic Typesetting" w:cs="Arabic Typesetting"/>
          <w:b/>
          <w:bCs/>
          <w:sz w:val="36"/>
          <w:szCs w:val="36"/>
          <w:rtl/>
        </w:rPr>
      </w:pPr>
      <w:r w:rsidRPr="00977A67">
        <w:rPr>
          <w:rFonts w:ascii="Arabic Typesetting" w:hAnsi="Arabic Typesetting" w:cs="Arabic Typesetting"/>
          <w:b/>
          <w:bCs/>
          <w:sz w:val="36"/>
          <w:szCs w:val="36"/>
          <w:rtl/>
        </w:rPr>
        <w:t xml:space="preserve">الصناديق </w:t>
      </w:r>
      <w:proofErr w:type="spellStart"/>
      <w:r w:rsidRPr="00977A67">
        <w:rPr>
          <w:rFonts w:ascii="Arabic Typesetting" w:hAnsi="Arabic Typesetting" w:cs="Arabic Typesetting"/>
          <w:b/>
          <w:bCs/>
          <w:sz w:val="36"/>
          <w:szCs w:val="36"/>
          <w:rtl/>
        </w:rPr>
        <w:t>الاستئمانية</w:t>
      </w:r>
      <w:proofErr w:type="spellEnd"/>
      <w:r w:rsidRPr="00977A67">
        <w:rPr>
          <w:rFonts w:ascii="Arabic Typesetting" w:hAnsi="Arabic Typesetting" w:cs="Arabic Typesetting"/>
          <w:b/>
          <w:bCs/>
          <w:sz w:val="36"/>
          <w:szCs w:val="36"/>
          <w:rtl/>
        </w:rPr>
        <w:t xml:space="preserve"> في 31 ديسمبر</w:t>
      </w:r>
      <w:r w:rsidRPr="00977A67">
        <w:rPr>
          <w:rFonts w:ascii="Arabic Typesetting" w:hAnsi="Arabic Typesetting" w:cs="Arabic Typesetting" w:hint="cs"/>
          <w:b/>
          <w:bCs/>
          <w:sz w:val="36"/>
          <w:szCs w:val="36"/>
          <w:rtl/>
        </w:rPr>
        <w:t xml:space="preserve"> </w:t>
      </w:r>
      <w:r w:rsidRPr="00977A67">
        <w:rPr>
          <w:rFonts w:ascii="Arabic Typesetting" w:hAnsi="Arabic Typesetting" w:cs="Arabic Typesetting"/>
          <w:b/>
          <w:bCs/>
          <w:sz w:val="36"/>
          <w:szCs w:val="36"/>
        </w:rPr>
        <w:t>2013</w:t>
      </w:r>
    </w:p>
    <w:p w:rsidR="006715D6" w:rsidRPr="00977A67" w:rsidRDefault="006715D6" w:rsidP="006715D6">
      <w:pPr>
        <w:keepNext/>
        <w:bidi/>
        <w:spacing w:line="340" w:lineRule="exact"/>
        <w:jc w:val="center"/>
        <w:rPr>
          <w:rFonts w:ascii="Arabic Typesetting" w:hAnsi="Arabic Typesetting" w:cs="Arabic Typesetting"/>
          <w:b/>
          <w:bCs/>
          <w:sz w:val="36"/>
          <w:szCs w:val="36"/>
        </w:rPr>
      </w:pPr>
    </w:p>
    <w:p w:rsidR="006715D6" w:rsidRDefault="006715D6" w:rsidP="006715D6">
      <w:pPr>
        <w:bidi/>
        <w:spacing w:after="120"/>
        <w:jc w:val="center"/>
        <w:rPr>
          <w:rFonts w:ascii="Arabic Typesetting" w:hAnsi="Arabic Typesetting" w:cs="Arabic Typesetting"/>
          <w:sz w:val="34"/>
          <w:szCs w:val="34"/>
          <w:rtl/>
          <w:lang w:bidi="ar-EG"/>
        </w:rPr>
        <w:sectPr w:rsidR="006715D6" w:rsidSect="0018238D">
          <w:headerReference w:type="first" r:id="rId117"/>
          <w:pgSz w:w="16840" w:h="11907" w:orient="landscape" w:code="9"/>
          <w:pgMar w:top="284" w:right="567" w:bottom="1418" w:left="550" w:header="510" w:footer="1021" w:gutter="0"/>
          <w:cols w:space="720"/>
          <w:titlePg/>
          <w:docGrid w:linePitch="299"/>
        </w:sectPr>
      </w:pPr>
      <w:r w:rsidRPr="0018238D">
        <w:rPr>
          <w:noProof/>
          <w:szCs w:val="22"/>
          <w:rtl/>
        </w:rPr>
        <w:drawing>
          <wp:inline distT="0" distB="0" distL="0" distR="0" wp14:anchorId="3601EB04" wp14:editId="02A1CED9">
            <wp:extent cx="9405258" cy="5211475"/>
            <wp:effectExtent l="0" t="0" r="5715" b="825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405258" cy="5211475"/>
                    </a:xfrm>
                    <a:prstGeom prst="rect">
                      <a:avLst/>
                    </a:prstGeom>
                    <a:noFill/>
                    <a:ln>
                      <a:noFill/>
                    </a:ln>
                  </pic:spPr>
                </pic:pic>
              </a:graphicData>
            </a:graphic>
          </wp:inline>
        </w:drawing>
      </w:r>
    </w:p>
    <w:bookmarkEnd w:id="196"/>
    <w:bookmarkEnd w:id="197"/>
    <w:p w:rsidR="006715D6" w:rsidRPr="00977A67" w:rsidRDefault="006715D6" w:rsidP="006715D6">
      <w:pPr>
        <w:bidi/>
        <w:spacing w:line="340" w:lineRule="exact"/>
        <w:jc w:val="both"/>
        <w:rPr>
          <w:rFonts w:ascii="Arabic Typesetting" w:hAnsi="Arabic Typesetting" w:cs="Arabic Typesetting"/>
          <w:b/>
          <w:bCs/>
          <w:sz w:val="36"/>
          <w:szCs w:val="36"/>
        </w:rPr>
      </w:pPr>
      <w:r w:rsidRPr="00977A67">
        <w:rPr>
          <w:rFonts w:ascii="Arabic Typesetting" w:hAnsi="Arabic Typesetting" w:cs="Arabic Typesetting"/>
          <w:b/>
          <w:bCs/>
          <w:sz w:val="36"/>
          <w:szCs w:val="36"/>
          <w:rtl/>
        </w:rPr>
        <w:t xml:space="preserve">الصناديق </w:t>
      </w:r>
      <w:proofErr w:type="spellStart"/>
      <w:r w:rsidRPr="00977A67">
        <w:rPr>
          <w:rFonts w:ascii="Arabic Typesetting" w:hAnsi="Arabic Typesetting" w:cs="Arabic Typesetting"/>
          <w:b/>
          <w:bCs/>
          <w:sz w:val="36"/>
          <w:szCs w:val="36"/>
          <w:rtl/>
        </w:rPr>
        <w:t>الاستئمانية</w:t>
      </w:r>
      <w:proofErr w:type="spellEnd"/>
      <w:r w:rsidRPr="00977A67">
        <w:rPr>
          <w:rFonts w:ascii="Arabic Typesetting" w:hAnsi="Arabic Typesetting" w:cs="Arabic Typesetting"/>
          <w:b/>
          <w:bCs/>
          <w:sz w:val="36"/>
          <w:szCs w:val="36"/>
          <w:rtl/>
        </w:rPr>
        <w:t xml:space="preserve"> في 31 ديسمبر</w:t>
      </w:r>
      <w:r w:rsidRPr="00977A67">
        <w:rPr>
          <w:rFonts w:ascii="Arabic Typesetting" w:hAnsi="Arabic Typesetting" w:cs="Arabic Typesetting" w:hint="cs"/>
          <w:b/>
          <w:bCs/>
          <w:sz w:val="36"/>
          <w:szCs w:val="36"/>
          <w:rtl/>
        </w:rPr>
        <w:t xml:space="preserve"> </w:t>
      </w:r>
      <w:r w:rsidRPr="00977A67">
        <w:rPr>
          <w:rFonts w:ascii="Arabic Typesetting" w:hAnsi="Arabic Typesetting" w:cs="Arabic Typesetting"/>
          <w:b/>
          <w:bCs/>
          <w:sz w:val="36"/>
          <w:szCs w:val="36"/>
        </w:rPr>
        <w:t>2013</w:t>
      </w:r>
    </w:p>
    <w:p w:rsidR="006715D6" w:rsidRPr="00977A67" w:rsidRDefault="006715D6" w:rsidP="006715D6">
      <w:pPr>
        <w:bidi/>
        <w:spacing w:line="340" w:lineRule="exact"/>
        <w:jc w:val="both"/>
        <w:rPr>
          <w:rFonts w:ascii="Arabic Typesetting" w:hAnsi="Arabic Typesetting" w:cs="Arabic Typesetting"/>
          <w:sz w:val="36"/>
          <w:szCs w:val="36"/>
          <w:rtl/>
        </w:rPr>
      </w:pPr>
      <w:r w:rsidRPr="00977A67">
        <w:rPr>
          <w:rFonts w:ascii="Arabic Typesetting" w:hAnsi="Arabic Typesetting" w:cs="Arabic Typesetting"/>
          <w:sz w:val="36"/>
          <w:szCs w:val="36"/>
          <w:rtl/>
        </w:rPr>
        <w:t>(مبيّنة بالفرنك السويسري)</w:t>
      </w:r>
    </w:p>
    <w:p w:rsidR="006715D6" w:rsidRPr="00977A67" w:rsidRDefault="006715D6" w:rsidP="006715D6">
      <w:pPr>
        <w:bidi/>
        <w:spacing w:after="120"/>
        <w:jc w:val="both"/>
        <w:rPr>
          <w:rFonts w:ascii="Arabic Typesetting" w:hAnsi="Arabic Typesetting" w:cs="Arabic Typesetting"/>
          <w:sz w:val="34"/>
          <w:szCs w:val="34"/>
          <w:lang w:bidi="ar-EG"/>
        </w:rPr>
      </w:pPr>
      <w:r w:rsidRPr="008523D5">
        <w:rPr>
          <w:noProof/>
          <w:szCs w:val="22"/>
          <w:rtl/>
        </w:rPr>
        <w:drawing>
          <wp:inline distT="0" distB="0" distL="0" distR="0" wp14:anchorId="14891EDF" wp14:editId="6B7201CA">
            <wp:extent cx="5807075" cy="1793240"/>
            <wp:effectExtent l="0" t="0" r="317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120" w:line="400" w:lineRule="exact"/>
        <w:jc w:val="both"/>
        <w:rPr>
          <w:rFonts w:ascii="Arabic Typesetting" w:hAnsi="Arabic Typesetting" w:cs="Arabic Typesetting"/>
          <w:sz w:val="34"/>
          <w:szCs w:val="34"/>
          <w:rtl/>
        </w:rPr>
      </w:pPr>
      <w:r w:rsidRPr="00977A67">
        <w:rPr>
          <w:rFonts w:ascii="Arabic Typesetting" w:hAnsi="Arabic Typesetting" w:cs="Arabic Typesetting" w:hint="cs"/>
          <w:sz w:val="34"/>
          <w:szCs w:val="34"/>
          <w:rtl/>
        </w:rPr>
        <w:t>ملاحظة:</w:t>
      </w:r>
      <w:r w:rsidRPr="00977A67">
        <w:rPr>
          <w:rFonts w:ascii="Arabic Typesetting" w:hAnsi="Arabic Typesetting" w:cs="Arabic Typesetting"/>
          <w:sz w:val="34"/>
          <w:szCs w:val="34"/>
          <w:rtl/>
        </w:rPr>
        <w:t xml:space="preserve"> صندوق استئماني في شكل صندوق تبرعات (من حكومات أستراليا وفرنسا والنرويج وجنوب أفريقيا والسويد وسويسرا ومن صندوق </w:t>
      </w:r>
      <w:proofErr w:type="spellStart"/>
      <w:r w:rsidRPr="00977A67">
        <w:rPr>
          <w:rFonts w:ascii="Arabic Typesetting" w:hAnsi="Arabic Typesetting" w:cs="Arabic Typesetting"/>
          <w:sz w:val="34"/>
          <w:szCs w:val="34"/>
          <w:rtl/>
        </w:rPr>
        <w:t>كريستنسن</w:t>
      </w:r>
      <w:proofErr w:type="spellEnd"/>
      <w:r w:rsidRPr="00977A67">
        <w:rPr>
          <w:rFonts w:ascii="Arabic Typesetting" w:hAnsi="Arabic Typesetting" w:cs="Arabic Typesetting" w:hint="cs"/>
          <w:sz w:val="34"/>
          <w:szCs w:val="34"/>
          <w:rtl/>
        </w:rPr>
        <w:t xml:space="preserve"> ونيوزيلندا</w:t>
      </w:r>
      <w:r w:rsidRPr="00977A67">
        <w:rPr>
          <w:rFonts w:ascii="Arabic Typesetting" w:hAnsi="Arabic Typesetting" w:cs="Arabic Typesetting"/>
          <w:sz w:val="34"/>
          <w:szCs w:val="34"/>
          <w:rtl/>
        </w:rPr>
        <w:t>) يرمي إلى تيسير مشاركة ممثلي الجماعات الأصلية والمحلية المعتمدة في أعمال اللجنة الحكومية الدولية المعنية بالملكية الفكرية والموارد الوراثية والمعارف التقليدية والفولكلور.</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0FBB9CBE" wp14:editId="2B78F054">
            <wp:extent cx="5807075" cy="2921635"/>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07075" cy="2921635"/>
                    </a:xfrm>
                    <a:prstGeom prst="rect">
                      <a:avLst/>
                    </a:prstGeom>
                    <a:noFill/>
                    <a:ln>
                      <a:noFill/>
                    </a:ln>
                  </pic:spPr>
                </pic:pic>
              </a:graphicData>
            </a:graphic>
          </wp:inline>
        </w:drawing>
      </w:r>
    </w:p>
    <w:p w:rsidR="006715D6" w:rsidRPr="00977A67" w:rsidRDefault="006715D6" w:rsidP="006715D6">
      <w:pPr>
        <w:bidi/>
        <w:spacing w:after="120" w:line="400" w:lineRule="exact"/>
        <w:jc w:val="both"/>
        <w:rPr>
          <w:rFonts w:ascii="Arabic Typesetting" w:hAnsi="Arabic Typesetting" w:cs="Arabic Typesetting"/>
          <w:sz w:val="34"/>
          <w:szCs w:val="34"/>
          <w:rtl/>
          <w:lang w:bidi="ar-EG"/>
        </w:rPr>
      </w:pPr>
      <w:r w:rsidRPr="00977A67">
        <w:rPr>
          <w:rFonts w:ascii="Arabic Typesetting" w:hAnsi="Arabic Typesetting" w:cs="Arabic Typesetting"/>
          <w:sz w:val="34"/>
          <w:szCs w:val="34"/>
          <w:rtl/>
          <w:lang w:bidi="ar-EG"/>
        </w:rPr>
        <w:t>ملاحظة</w:t>
      </w:r>
      <w:r w:rsidRPr="00977A67">
        <w:rPr>
          <w:rFonts w:ascii="Arabic Typesetting" w:hAnsi="Arabic Typesetting" w:cs="Arabic Typesetting" w:hint="cs"/>
          <w:sz w:val="34"/>
          <w:szCs w:val="34"/>
          <w:rtl/>
          <w:lang w:bidi="ar-EG"/>
        </w:rPr>
        <w:t>:</w:t>
      </w:r>
      <w:r w:rsidRPr="00977A67">
        <w:rPr>
          <w:rFonts w:ascii="Arabic Typesetting" w:hAnsi="Arabic Typesetting" w:cs="Arabic Typesetting"/>
          <w:sz w:val="34"/>
          <w:szCs w:val="34"/>
          <w:rtl/>
          <w:lang w:bidi="ar-EG"/>
        </w:rPr>
        <w:t xml:space="preserve"> صندوق استئماني في شكل اتفاق للتعاون التقني بين حكومة </w:t>
      </w:r>
      <w:r w:rsidRPr="00977A67">
        <w:rPr>
          <w:rFonts w:ascii="Arabic Typesetting" w:hAnsi="Arabic Typesetting" w:cs="Arabic Typesetting" w:hint="cs"/>
          <w:sz w:val="34"/>
          <w:szCs w:val="34"/>
          <w:rtl/>
          <w:lang w:bidi="ar-EG"/>
        </w:rPr>
        <w:t xml:space="preserve">أستراليا </w:t>
      </w:r>
      <w:proofErr w:type="spellStart"/>
      <w:r w:rsidRPr="00977A67">
        <w:rPr>
          <w:rFonts w:ascii="Arabic Typesetting" w:hAnsi="Arabic Typesetting" w:cs="Arabic Typesetting"/>
          <w:sz w:val="34"/>
          <w:szCs w:val="34"/>
          <w:rtl/>
          <w:lang w:bidi="ar-EG"/>
        </w:rPr>
        <w:t>والو</w:t>
      </w:r>
      <w:r w:rsidRPr="00977A67">
        <w:rPr>
          <w:rFonts w:ascii="Arabic Typesetting" w:hAnsi="Arabic Typesetting" w:cs="Arabic Typesetting" w:hint="cs"/>
          <w:sz w:val="34"/>
          <w:szCs w:val="34"/>
          <w:rtl/>
          <w:lang w:bidi="ar-EG"/>
        </w:rPr>
        <w:t>يبو</w:t>
      </w:r>
      <w:proofErr w:type="spellEnd"/>
      <w:r w:rsidRPr="00977A67">
        <w:rPr>
          <w:rFonts w:ascii="Arabic Typesetting" w:hAnsi="Arabic Typesetting" w:cs="Arabic Typesetting"/>
          <w:sz w:val="34"/>
          <w:szCs w:val="34"/>
          <w:rtl/>
          <w:lang w:bidi="ar-EG"/>
        </w:rPr>
        <w:t xml:space="preserve"> من</w:t>
      </w:r>
      <w:r w:rsidRPr="00977A67">
        <w:rPr>
          <w:rFonts w:ascii="Arabic Typesetting" w:hAnsi="Arabic Typesetting" w:cs="Arabic Typesetting" w:hint="cs"/>
          <w:sz w:val="34"/>
          <w:szCs w:val="34"/>
          <w:rtl/>
          <w:lang w:bidi="ar-EG"/>
        </w:rPr>
        <w:t xml:space="preserve"> أجل المضي في تطوير أنظمة الملكية الفكرية في البلدان الأقل نموا والبلدان النامية.</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59A88F0C" wp14:editId="3284929B">
            <wp:extent cx="5807075" cy="1306195"/>
            <wp:effectExtent l="0" t="0" r="3175"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07075" cy="1306195"/>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البرازيل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توفير التدريب وتكوين الكفاءات للموظفين التقنيين في المعهد الوطني للملكية الصناعية وتعميم ثقافة الملكية الفكرية في البرازيل.</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بالدولار الأمريكي.</w:t>
      </w:r>
      <w:r w:rsidRPr="00977A67">
        <w:rPr>
          <w:rFonts w:ascii="Arabic Typesetting" w:hAnsi="Arabic Typesetting" w:cs="Arabic Typesetting" w:hint="cs"/>
          <w:sz w:val="36"/>
          <w:szCs w:val="36"/>
          <w:rtl/>
        </w:rPr>
        <w:t xml:space="preserve"> ونتيجة لذلك تم تكبّد تكاليف في فوارق صرف العملة الأجنبية واستوعبتها الويبو.</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22F91695" wp14:editId="48E4168A">
            <wp:extent cx="5807075" cy="2434590"/>
            <wp:effectExtent l="0" t="0" r="3175"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07075" cy="243459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ملاحظة: صندوق استئماني في شكل اتفاق تعاون تقني بين حكومة البرازيل </w:t>
      </w:r>
      <w:proofErr w:type="spellStart"/>
      <w:r w:rsidRPr="00977A67">
        <w:rPr>
          <w:rFonts w:ascii="Arabic Typesetting" w:hAnsi="Arabic Typesetting" w:cs="Arabic Typesetting" w:hint="cs"/>
          <w:sz w:val="36"/>
          <w:szCs w:val="36"/>
          <w:rtl/>
        </w:rPr>
        <w:t>والويبو</w:t>
      </w:r>
      <w:proofErr w:type="spellEnd"/>
      <w:r w:rsidRPr="00977A67">
        <w:rPr>
          <w:rFonts w:ascii="Arabic Typesetting" w:hAnsi="Arabic Typesetting" w:cs="Arabic Typesetting" w:hint="cs"/>
          <w:sz w:val="36"/>
          <w:szCs w:val="36"/>
          <w:rtl/>
        </w:rPr>
        <w:t xml:space="preserve"> لتعميم ثقافة الملكية الفكرية واعتماد أفضل الممارسات.</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71417FC0" wp14:editId="78CEDDDC">
            <wp:extent cx="5807075" cy="2280285"/>
            <wp:effectExtent l="0" t="0" r="3175"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07075" cy="228028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البرازيل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hint="cs"/>
          <w:sz w:val="36"/>
          <w:szCs w:val="36"/>
          <w:rtl/>
        </w:rPr>
        <w:t xml:space="preserve"> من أجل تنفيذ مبادرات التعاون التقني بين بلدان الجنوب وتعزيز كفاءات البلدان النامية في استخدام أدوات الملكية الفكرية.</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33223D87" wp14:editId="439F4094">
            <wp:extent cx="5807075" cy="1793240"/>
            <wp:effectExtent l="0" t="0" r="317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كوستا ريكا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تحديث نظامي البراءات والعلامات في المكتب الوطني للملكية الفكرية. 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w:t>
      </w:r>
      <w:r w:rsidRPr="00977A67">
        <w:rPr>
          <w:rFonts w:ascii="Arabic Typesetting" w:hAnsi="Arabic Typesetting" w:cs="Arabic Typesetting" w:hint="cs"/>
          <w:sz w:val="36"/>
          <w:szCs w:val="36"/>
          <w:rtl/>
        </w:rPr>
        <w:t xml:space="preserve"> بالدولار الأمريكي.</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4F7D541E" wp14:editId="1610E163">
            <wp:extent cx="5807075" cy="1793240"/>
            <wp:effectExtent l="0" t="0" r="317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السلفادور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تحديث النظام الوطني للملكية الصناعية وتعزيزه. 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بالدولار الأمريكي.</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20A34851" wp14:editId="331A0B7E">
            <wp:extent cx="5807075" cy="1472565"/>
            <wp:effectExtent l="0" t="0" r="317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07075" cy="1472565"/>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بين الجماعة الأوروبية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تحديث نظام الملكية الفكرية في بنغلاديش.</w:t>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r w:rsidRPr="00977A67">
        <w:rPr>
          <w:rFonts w:ascii="Arabic Typesetting" w:hAnsi="Arabic Typesetting" w:cs="Arabic Typesetting" w:hint="cs"/>
          <w:sz w:val="36"/>
          <w:szCs w:val="36"/>
          <w:rtl/>
        </w:rPr>
        <w:t xml:space="preserve"> ونتيجة لذلك تم تكبّد تكاليف في فوارق صرف العملة الأجنبية واستوعبتها الويبو.</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09379FDE" wp14:editId="35FCB8E1">
            <wp:extent cx="5807075" cy="3408045"/>
            <wp:effectExtent l="0" t="0" r="3175"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807075" cy="340804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 xml:space="preserve">ملاحظة: صندوق استئماني في شكل اتفاق بين الجماعة الأوروبية </w:t>
      </w:r>
      <w:proofErr w:type="spellStart"/>
      <w:r w:rsidRPr="00977A67">
        <w:rPr>
          <w:rFonts w:ascii="Arabic Typesetting" w:hAnsi="Arabic Typesetting" w:cs="Arabic Typesetting" w:hint="cs"/>
          <w:sz w:val="36"/>
          <w:szCs w:val="36"/>
          <w:rtl/>
        </w:rPr>
        <w:t>والويبو</w:t>
      </w:r>
      <w:proofErr w:type="spellEnd"/>
      <w:r w:rsidRPr="00977A67">
        <w:rPr>
          <w:rFonts w:ascii="Arabic Typesetting" w:hAnsi="Arabic Typesetting" w:cs="Arabic Typesetting" w:hint="cs"/>
          <w:sz w:val="36"/>
          <w:szCs w:val="36"/>
          <w:rtl/>
        </w:rPr>
        <w:t xml:space="preserve"> من أجل تحديث نظام الملكية الفكرية في باكستان. </w:t>
      </w: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r w:rsidRPr="00977A67">
        <w:rPr>
          <w:rFonts w:ascii="Arabic Typesetting" w:hAnsi="Arabic Typesetting" w:cs="Arabic Typesetting" w:hint="cs"/>
          <w:sz w:val="36"/>
          <w:szCs w:val="36"/>
          <w:rtl/>
        </w:rPr>
        <w:t>.</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3B4D502D" wp14:editId="2009B048">
            <wp:extent cx="5807075" cy="1793240"/>
            <wp:effectExtent l="0" t="0" r="317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للتعاون التقني بين جمعية فنلندا لحق المؤلف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أنشطة شعبة الصناعات الإبداعية التابعة </w:t>
      </w:r>
      <w:proofErr w:type="spellStart"/>
      <w:r w:rsidRPr="00977A67">
        <w:rPr>
          <w:rFonts w:ascii="Arabic Typesetting" w:hAnsi="Arabic Typesetting" w:cs="Arabic Typesetting" w:hint="cs"/>
          <w:sz w:val="36"/>
          <w:szCs w:val="36"/>
          <w:rtl/>
        </w:rPr>
        <w:t>ل</w:t>
      </w:r>
      <w:r w:rsidRPr="00977A67">
        <w:rPr>
          <w:rFonts w:ascii="Arabic Typesetting" w:hAnsi="Arabic Typesetting" w:cs="Arabic Typesetting"/>
          <w:sz w:val="36"/>
          <w:szCs w:val="36"/>
          <w:rtl/>
        </w:rPr>
        <w:t>لويبو</w:t>
      </w:r>
      <w:proofErr w:type="spellEnd"/>
      <w:r w:rsidRPr="00977A67">
        <w:rPr>
          <w:rFonts w:ascii="Arabic Typesetting" w:hAnsi="Arabic Typesetting" w:cs="Arabic Typesetting"/>
          <w:sz w:val="36"/>
          <w:szCs w:val="36"/>
          <w:rtl/>
        </w:rPr>
        <w:t>.</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p>
    <w:p w:rsidR="006715D6" w:rsidRDefault="006715D6" w:rsidP="006715D6">
      <w:pPr>
        <w:bidi/>
        <w:spacing w:after="120"/>
        <w:jc w:val="both"/>
        <w:rPr>
          <w:rFonts w:ascii="Arabic Typesetting" w:hAnsi="Arabic Typesetting" w:cs="Arabic Typesetting"/>
          <w:sz w:val="34"/>
          <w:szCs w:val="34"/>
          <w:rtl/>
          <w:lang w:bidi="ar-EG"/>
        </w:rPr>
      </w:pPr>
      <w:r w:rsidRPr="008523D5">
        <w:rPr>
          <w:rFonts w:hint="cs"/>
          <w:noProof/>
          <w:szCs w:val="22"/>
          <w:rtl/>
        </w:rPr>
        <w:drawing>
          <wp:inline distT="0" distB="0" distL="0" distR="0" wp14:anchorId="2EBC7D25" wp14:editId="1019B6C2">
            <wp:extent cx="5807075" cy="1947545"/>
            <wp:effectExtent l="0" t="0" r="317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07075" cy="194754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للتعاون التقني بين وزارة فنلندا للتعليم والثقافة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أنشطة شعبة الصناعات الإبداعية التابعة. 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4584DA70" wp14:editId="14BCC9BD">
            <wp:extent cx="5807075" cy="2113915"/>
            <wp:effectExtent l="0" t="0" r="3175" b="6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07075" cy="211391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وزارة فنلندا للتعليم والثقافة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أنشطة قطاع الويبو لحق المؤلف والحقوق المجاورة. 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29942357" wp14:editId="331C859E">
            <wp:extent cx="5807075" cy="1793240"/>
            <wp:effectExtent l="0" t="0" r="317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فرنسا لفائدة برنامج الويبو للتعاون لأغراض التنمية في مجال التدريب على حق المؤلف.</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683EBD09" wp14:editId="49E6FCC7">
            <wp:extent cx="5807075" cy="2434590"/>
            <wp:effectExtent l="0" t="0" r="3175"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07075" cy="243459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فرنسا لفائدة برنامج الويبو للتعاون لأغراض التنمية في مجال الملكية الصناعية (اتحاد باريس).</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3D7C3775" wp14:editId="61686330">
            <wp:extent cx="5807075" cy="2113915"/>
            <wp:effectExtent l="0" t="0" r="3175" b="63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807075" cy="211391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ألمانيا من أجل تزويد الويبو بموظفين مهنيين مبتدئين.</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7CB2008D" wp14:editId="53CC1270">
            <wp:extent cx="5807075" cy="1626870"/>
            <wp:effectExtent l="0" t="0" r="317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07075" cy="162687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w:t>
      </w:r>
      <w:r w:rsidRPr="00977A67">
        <w:rPr>
          <w:rFonts w:ascii="Arabic Typesetting" w:hAnsi="Arabic Typesetting" w:cs="Arabic Typesetting" w:hint="cs"/>
          <w:sz w:val="36"/>
          <w:szCs w:val="36"/>
          <w:rtl/>
        </w:rPr>
        <w:t>الأمانة التقنية ل</w:t>
      </w:r>
      <w:r w:rsidRPr="00977A67">
        <w:rPr>
          <w:rFonts w:ascii="Arabic Typesetting" w:hAnsi="Arabic Typesetting" w:cs="Arabic Typesetting"/>
          <w:sz w:val="36"/>
          <w:szCs w:val="36"/>
          <w:rtl/>
        </w:rPr>
        <w:t xml:space="preserve">لبرنامج </w:t>
      </w:r>
      <w:proofErr w:type="spellStart"/>
      <w:r w:rsidRPr="00977A67">
        <w:rPr>
          <w:rFonts w:ascii="Arabic Typesetting" w:hAnsi="Arabic Typesetting" w:cs="Arabic Typesetting"/>
          <w:sz w:val="36"/>
          <w:szCs w:val="36"/>
          <w:rtl/>
        </w:rPr>
        <w:t>ال</w:t>
      </w:r>
      <w:r w:rsidRPr="00977A67">
        <w:rPr>
          <w:rFonts w:ascii="Arabic Typesetting" w:hAnsi="Arabic Typesetting" w:cs="Arabic Typesetting" w:hint="cs"/>
          <w:sz w:val="36"/>
          <w:szCs w:val="36"/>
          <w:rtl/>
        </w:rPr>
        <w:t>إ</w:t>
      </w:r>
      <w:r w:rsidRPr="00977A67">
        <w:rPr>
          <w:rFonts w:ascii="Arabic Typesetting" w:hAnsi="Arabic Typesetting" w:cs="Arabic Typesetting"/>
          <w:sz w:val="36"/>
          <w:szCs w:val="36"/>
          <w:rtl/>
        </w:rPr>
        <w:t>يبيري</w:t>
      </w:r>
      <w:proofErr w:type="spellEnd"/>
      <w:r w:rsidRPr="00977A67">
        <w:rPr>
          <w:rFonts w:ascii="Arabic Typesetting" w:hAnsi="Arabic Typesetting" w:cs="Arabic Typesetting"/>
          <w:sz w:val="36"/>
          <w:szCs w:val="36"/>
          <w:rtl/>
        </w:rPr>
        <w:t>-الأمريكي للملكية الصناعية</w:t>
      </w:r>
      <w:r w:rsidRPr="00977A67">
        <w:rPr>
          <w:rFonts w:ascii="Arabic Typesetting" w:hAnsi="Arabic Typesetting" w:cs="Arabic Typesetting" w:hint="cs"/>
          <w:sz w:val="36"/>
          <w:szCs w:val="36"/>
          <w:rtl/>
        </w:rPr>
        <w:t xml:space="preserve"> وتعزيز التنمية </w:t>
      </w:r>
      <w:proofErr w:type="spellStart"/>
      <w:r w:rsidRPr="00977A67">
        <w:rPr>
          <w:rFonts w:ascii="Arabic Typesetting" w:hAnsi="Arabic Typesetting" w:cs="Arabic Typesetting" w:hint="cs"/>
          <w:sz w:val="36"/>
          <w:szCs w:val="36"/>
          <w:rtl/>
        </w:rPr>
        <w:t>والويبو</w:t>
      </w:r>
      <w:proofErr w:type="spellEnd"/>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من أجل تحديث النظام الوطني للملكية الصناعية وتعزيزه</w:t>
      </w:r>
      <w:r w:rsidRPr="00977A67">
        <w:rPr>
          <w:rFonts w:ascii="Arabic Typesetting" w:hAnsi="Arabic Typesetting" w:cs="Arabic Typesetting" w:hint="cs"/>
          <w:sz w:val="36"/>
          <w:szCs w:val="36"/>
          <w:rtl/>
        </w:rPr>
        <w:t xml:space="preserve"> في بلدان مختلفة في المنطقة </w:t>
      </w:r>
      <w:proofErr w:type="spellStart"/>
      <w:r w:rsidRPr="00977A67">
        <w:rPr>
          <w:rFonts w:ascii="Arabic Typesetting" w:hAnsi="Arabic Typesetting" w:cs="Arabic Typesetting" w:hint="cs"/>
          <w:sz w:val="36"/>
          <w:szCs w:val="36"/>
          <w:rtl/>
        </w:rPr>
        <w:t>الإيبيرية</w:t>
      </w:r>
      <w:proofErr w:type="spellEnd"/>
      <w:r w:rsidRPr="00977A67">
        <w:rPr>
          <w:rFonts w:ascii="Arabic Typesetting" w:hAnsi="Arabic Typesetting" w:cs="Arabic Typesetting" w:hint="cs"/>
          <w:sz w:val="36"/>
          <w:szCs w:val="36"/>
          <w:rtl/>
        </w:rPr>
        <w:t>-الأمريكية.</w:t>
      </w:r>
    </w:p>
    <w:p w:rsidR="006715D6" w:rsidRDefault="006715D6" w:rsidP="006715D6">
      <w:pPr>
        <w:bidi/>
        <w:spacing w:after="120"/>
        <w:jc w:val="both"/>
        <w:rPr>
          <w:rFonts w:ascii="Arabic Typesetting" w:hAnsi="Arabic Typesetting" w:cs="Arabic Typesetting"/>
          <w:sz w:val="34"/>
          <w:szCs w:val="34"/>
          <w:rtl/>
        </w:rPr>
      </w:pPr>
      <w:r w:rsidRPr="008523D5">
        <w:rPr>
          <w:rFonts w:hint="cs"/>
          <w:noProof/>
          <w:szCs w:val="22"/>
          <w:rtl/>
        </w:rPr>
        <w:drawing>
          <wp:inline distT="0" distB="0" distL="0" distR="0" wp14:anchorId="56EC3E35" wp14:editId="401B6A32">
            <wp:extent cx="5807075" cy="2280285"/>
            <wp:effectExtent l="0" t="0" r="3175"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07075" cy="228028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حكومة إيطاليا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النهوض بالملكية الفكرية ومكافحة التقليد وقرصنة منتجات الوسائل المتعددة.</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76C5CC10" wp14:editId="1D328218">
            <wp:extent cx="5807075" cy="1793240"/>
            <wp:effectExtent l="0" t="0" r="317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Default="006715D6" w:rsidP="006715D6">
      <w:pPr>
        <w:bidi/>
        <w:spacing w:after="120"/>
        <w:jc w:val="both"/>
        <w:rPr>
          <w:rFonts w:ascii="Arabic Typesetting" w:hAnsi="Arabic Typesetting" w:cs="Arabic Typesetting"/>
          <w:sz w:val="34"/>
          <w:szCs w:val="34"/>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إيطاليا من أجل تزويد الويبو بموظف مهني مبتدئ.</w:t>
      </w:r>
    </w:p>
    <w:p w:rsidR="006715D6" w:rsidRDefault="006715D6" w:rsidP="006715D6">
      <w:pPr>
        <w:rPr>
          <w:rFonts w:ascii="Arabic Typesetting" w:hAnsi="Arabic Typesetting" w:cs="Arabic Typesetting"/>
          <w:sz w:val="34"/>
          <w:szCs w:val="34"/>
          <w:rtl/>
          <w:lang w:bidi="ar-EG"/>
        </w:rPr>
      </w:pPr>
      <w:r>
        <w:rPr>
          <w:rFonts w:ascii="Arabic Typesetting" w:hAnsi="Arabic Typesetting" w:cs="Arabic Typesetting"/>
          <w:sz w:val="34"/>
          <w:szCs w:val="34"/>
          <w:rtl/>
          <w:lang w:bidi="ar-EG"/>
        </w:rPr>
        <w:br w:type="page"/>
      </w:r>
    </w:p>
    <w:p w:rsidR="006715D6" w:rsidRPr="00977A67" w:rsidRDefault="006715D6" w:rsidP="006715D6">
      <w:pPr>
        <w:bidi/>
        <w:spacing w:after="120"/>
        <w:jc w:val="both"/>
        <w:rPr>
          <w:rFonts w:ascii="Arabic Typesetting" w:hAnsi="Arabic Typesetting" w:cs="Arabic Typesetting"/>
          <w:sz w:val="34"/>
          <w:szCs w:val="34"/>
          <w:lang w:bidi="ar-EG"/>
        </w:rPr>
      </w:pPr>
      <w:r w:rsidRPr="00AB7DA0">
        <w:rPr>
          <w:noProof/>
          <w:szCs w:val="22"/>
          <w:rtl/>
        </w:rPr>
        <w:drawing>
          <wp:inline distT="0" distB="0" distL="0" distR="0" wp14:anchorId="35B584FF" wp14:editId="0FBBFFE9">
            <wp:extent cx="5807075" cy="3408045"/>
            <wp:effectExtent l="0" t="0" r="3175"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807075" cy="340804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الملكية الصناعية في أفريقيا والبلدان الأقل نموا.</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3A5535E2" wp14:editId="7200E754">
            <wp:extent cx="5807075" cy="2992755"/>
            <wp:effectExtent l="0" t="0" r="317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07075" cy="299275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حق المؤلف والحقوق المجاورة.</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27B7859E" wp14:editId="468DBADE">
            <wp:extent cx="5807075" cy="3895090"/>
            <wp:effectExtent l="0" t="0" r="317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07075" cy="389509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اليابان لفائدة برنامج الويبو للتعاون لأغراض التنمية في مجال الملكية الصناعية</w:t>
      </w:r>
      <w:r w:rsidRPr="00977A67">
        <w:rPr>
          <w:rFonts w:ascii="Arabic Typesetting" w:hAnsi="Arabic Typesetting" w:cs="Arabic Typesetting" w:hint="cs"/>
          <w:sz w:val="36"/>
          <w:szCs w:val="36"/>
          <w:rtl/>
        </w:rPr>
        <w:t>.</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4646A087" wp14:editId="1E8938A1">
            <wp:extent cx="5807075" cy="2172970"/>
            <wp:effectExtent l="0" t="0" r="317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807075" cy="217297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w:t>
      </w:r>
      <w:r w:rsidRPr="00977A67">
        <w:rPr>
          <w:rFonts w:ascii="Arabic Typesetting" w:hAnsi="Arabic Typesetting" w:cs="Arabic Typesetting" w:hint="cs"/>
          <w:sz w:val="36"/>
          <w:szCs w:val="36"/>
          <w:rtl/>
        </w:rPr>
        <w:t>اليابان</w:t>
      </w:r>
      <w:r w:rsidRPr="00977A67">
        <w:rPr>
          <w:rFonts w:ascii="Arabic Typesetting" w:hAnsi="Arabic Typesetting" w:cs="Arabic Typesetting"/>
          <w:sz w:val="36"/>
          <w:szCs w:val="36"/>
          <w:rtl/>
        </w:rPr>
        <w:t xml:space="preserve"> من أجل تزويد الويبو بموظف مهني مبتدئ.</w:t>
      </w:r>
    </w:p>
    <w:p w:rsidR="006715D6" w:rsidRDefault="006715D6" w:rsidP="006715D6">
      <w:pPr>
        <w:keepNext/>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114E4D4F" wp14:editId="03F89ADB">
            <wp:extent cx="5807075" cy="1365885"/>
            <wp:effectExtent l="0" t="0" r="3175" b="571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07075" cy="1365885"/>
                    </a:xfrm>
                    <a:prstGeom prst="rect">
                      <a:avLst/>
                    </a:prstGeom>
                    <a:noFill/>
                    <a:ln>
                      <a:noFill/>
                    </a:ln>
                  </pic:spPr>
                </pic:pic>
              </a:graphicData>
            </a:graphic>
          </wp:inline>
        </w:drawing>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حكومة </w:t>
      </w:r>
      <w:r w:rsidRPr="00977A67">
        <w:rPr>
          <w:rFonts w:ascii="Arabic Typesetting" w:hAnsi="Arabic Typesetting" w:cs="Arabic Typesetting" w:hint="cs"/>
          <w:sz w:val="36"/>
          <w:szCs w:val="36"/>
          <w:rtl/>
        </w:rPr>
        <w:t>ليبيا</w:t>
      </w:r>
      <w:r w:rsidRPr="00977A67">
        <w:rPr>
          <w:rFonts w:ascii="Arabic Typesetting" w:hAnsi="Arabic Typesetting" w:cs="Arabic Typesetting"/>
          <w:sz w:val="36"/>
          <w:szCs w:val="36"/>
          <w:rtl/>
        </w:rPr>
        <w:t xml:space="preserve">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تحديث النظام الوطني للملكية الصناعية وتعزيزه.</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73597E26" wp14:editId="4B4979A8">
            <wp:extent cx="5807075" cy="2113915"/>
            <wp:effectExtent l="0" t="0" r="3175" b="63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07075" cy="2113915"/>
                    </a:xfrm>
                    <a:prstGeom prst="rect">
                      <a:avLst/>
                    </a:prstGeom>
                    <a:noFill/>
                    <a:ln>
                      <a:noFill/>
                    </a:ln>
                  </pic:spPr>
                </pic:pic>
              </a:graphicData>
            </a:graphic>
          </wp:inline>
        </w:drawing>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حكومة </w:t>
      </w:r>
      <w:r w:rsidRPr="00977A67">
        <w:rPr>
          <w:rFonts w:ascii="Arabic Typesetting" w:hAnsi="Arabic Typesetting" w:cs="Arabic Typesetting" w:hint="cs"/>
          <w:sz w:val="36"/>
          <w:szCs w:val="36"/>
          <w:rtl/>
        </w:rPr>
        <w:t>المكسيك</w:t>
      </w:r>
      <w:r w:rsidRPr="00977A67">
        <w:rPr>
          <w:rFonts w:ascii="Arabic Typesetting" w:hAnsi="Arabic Typesetting" w:cs="Arabic Typesetting"/>
          <w:sz w:val="36"/>
          <w:szCs w:val="36"/>
          <w:rtl/>
        </w:rPr>
        <w:t xml:space="preserve">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w:t>
      </w:r>
      <w:r w:rsidRPr="00977A67">
        <w:rPr>
          <w:rFonts w:ascii="Arabic Typesetting" w:hAnsi="Arabic Typesetting" w:cs="Arabic Typesetting" w:hint="cs"/>
          <w:sz w:val="36"/>
          <w:szCs w:val="36"/>
          <w:rtl/>
        </w:rPr>
        <w:t>تطوير</w:t>
      </w:r>
      <w:r w:rsidRPr="00977A67">
        <w:rPr>
          <w:rFonts w:ascii="Arabic Typesetting" w:hAnsi="Arabic Typesetting" w:cs="Arabic Typesetting"/>
          <w:sz w:val="36"/>
          <w:szCs w:val="36"/>
          <w:rtl/>
        </w:rPr>
        <w:t xml:space="preserve"> النظام الوطني للملكية الصناعية وتعزيزه.</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5CCCF3A0" wp14:editId="3DAB39E9">
            <wp:extent cx="5807075" cy="2766695"/>
            <wp:effectExtent l="0" t="0" r="317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807075" cy="2766695"/>
                    </a:xfrm>
                    <a:prstGeom prst="rect">
                      <a:avLst/>
                    </a:prstGeom>
                    <a:noFill/>
                    <a:ln>
                      <a:noFill/>
                    </a:ln>
                  </pic:spPr>
                </pic:pic>
              </a:graphicData>
            </a:graphic>
          </wp:inline>
        </w:drawing>
      </w:r>
    </w:p>
    <w:p w:rsidR="006715D6"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بين المعهد الوطني البرتغالي للملكية الصناعية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تطوير أنشطة تعاونية مشتركة لفائدة البلدان الناطقة بالبرتغالية. 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باليورو.</w:t>
      </w:r>
    </w:p>
    <w:p w:rsidR="006715D6" w:rsidRDefault="006715D6" w:rsidP="006715D6">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6CD971FD" wp14:editId="6CF6E8A6">
            <wp:extent cx="5807075" cy="3087370"/>
            <wp:effectExtent l="0" t="0" r="317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807075" cy="308737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جمهورية كوريا </w:t>
      </w:r>
      <w:r w:rsidRPr="00977A67">
        <w:rPr>
          <w:rFonts w:ascii="Arabic Typesetting" w:hAnsi="Arabic Typesetting" w:cs="Arabic Typesetting" w:hint="cs"/>
          <w:sz w:val="36"/>
          <w:szCs w:val="36"/>
          <w:rtl/>
        </w:rPr>
        <w:t xml:space="preserve">لفائدة برنامج الويبو للتعاون </w:t>
      </w:r>
      <w:r w:rsidRPr="00977A67">
        <w:rPr>
          <w:rFonts w:ascii="Arabic Typesetting" w:hAnsi="Arabic Typesetting" w:cs="Arabic Typesetting"/>
          <w:sz w:val="36"/>
          <w:szCs w:val="36"/>
          <w:rtl/>
        </w:rPr>
        <w:t>لأغراض التنمية في مجال حق المؤلف والحقوق المجاورة.</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57481E2A" wp14:editId="04BA26D3">
            <wp:extent cx="5807075" cy="1793240"/>
            <wp:effectExtent l="0" t="0" r="317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مساهمة طوعية من حكومة جمهورية كوريا من أجل تزويد الويبو بموظف مهني يعنى بإدارة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/جمهورية كوريا/حق المؤلف.</w:t>
      </w:r>
    </w:p>
    <w:p w:rsidR="006715D6" w:rsidRDefault="006715D6" w:rsidP="006715D6">
      <w:pPr>
        <w:bidi/>
        <w:spacing w:after="120"/>
        <w:jc w:val="both"/>
        <w:rPr>
          <w:rFonts w:ascii="Arabic Typesetting" w:hAnsi="Arabic Typesetting" w:cs="Arabic Typesetting"/>
          <w:sz w:val="34"/>
          <w:szCs w:val="34"/>
          <w:rtl/>
        </w:rPr>
      </w:pPr>
      <w:r w:rsidRPr="00AB7DA0">
        <w:rPr>
          <w:rFonts w:hint="cs"/>
          <w:noProof/>
          <w:szCs w:val="22"/>
          <w:rtl/>
        </w:rPr>
        <w:drawing>
          <wp:inline distT="0" distB="0" distL="0" distR="0" wp14:anchorId="74701FE7" wp14:editId="0C84C40D">
            <wp:extent cx="5807075" cy="3147060"/>
            <wp:effectExtent l="0" t="0" r="317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07075" cy="314706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بين مكتب كوريا للملكية الفكرية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لفائدة برنامج الويبو للتعاون لأغراض التنمية في مجال الملكية </w:t>
      </w:r>
      <w:r w:rsidRPr="00977A67">
        <w:rPr>
          <w:rFonts w:ascii="Arabic Typesetting" w:hAnsi="Arabic Typesetting" w:cs="Arabic Typesetting" w:hint="cs"/>
          <w:sz w:val="36"/>
          <w:szCs w:val="36"/>
          <w:rtl/>
        </w:rPr>
        <w:t>الصناعية</w:t>
      </w:r>
      <w:r w:rsidRPr="00977A67">
        <w:rPr>
          <w:rFonts w:ascii="Arabic Typesetting" w:hAnsi="Arabic Typesetting" w:cs="Arabic Typesetting"/>
          <w:sz w:val="36"/>
          <w:szCs w:val="36"/>
          <w:rtl/>
        </w:rPr>
        <w:t xml:space="preserve"> في البلدان النامية والبلدان الأقل نموا.</w:t>
      </w:r>
    </w:p>
    <w:p w:rsidR="006715D6" w:rsidRDefault="006715D6" w:rsidP="006715D6">
      <w:pPr>
        <w:bidi/>
        <w:spacing w:after="240"/>
        <w:rPr>
          <w:rFonts w:ascii="Arabic Typesetting" w:hAnsi="Arabic Typesetting" w:cs="Arabic Typesetting"/>
          <w:sz w:val="36"/>
          <w:szCs w:val="36"/>
          <w:rtl/>
        </w:rPr>
      </w:pPr>
      <w:r w:rsidRPr="00772F9C">
        <w:rPr>
          <w:noProof/>
          <w:szCs w:val="22"/>
          <w:rtl/>
        </w:rPr>
        <w:drawing>
          <wp:inline distT="0" distB="0" distL="0" distR="0" wp14:anchorId="5C61E62F" wp14:editId="32C89382">
            <wp:extent cx="5807075" cy="1793240"/>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807075" cy="1793240"/>
                    </a:xfrm>
                    <a:prstGeom prst="rect">
                      <a:avLst/>
                    </a:prstGeom>
                    <a:noFill/>
                    <a:ln>
                      <a:noFill/>
                    </a:ln>
                  </pic:spPr>
                </pic:pic>
              </a:graphicData>
            </a:graphic>
          </wp:inline>
        </w:drawing>
      </w:r>
    </w:p>
    <w:p w:rsidR="006715D6" w:rsidRPr="00977A67" w:rsidRDefault="006715D6" w:rsidP="006715D6">
      <w:pPr>
        <w:bidi/>
        <w:spacing w:after="120" w:line="400" w:lineRule="exact"/>
        <w:jc w:val="both"/>
        <w:rPr>
          <w:rFonts w:ascii="Arabic Typesetting" w:hAnsi="Arabic Typesetting" w:cs="Arabic Typesetting"/>
          <w:sz w:val="34"/>
          <w:szCs w:val="34"/>
          <w:rtl/>
          <w:lang w:bidi="ar-EG"/>
        </w:rPr>
      </w:pPr>
      <w:r w:rsidRPr="00977A67">
        <w:rPr>
          <w:rFonts w:ascii="Arabic Typesetting" w:hAnsi="Arabic Typesetting" w:cs="Arabic Typesetting"/>
          <w:sz w:val="34"/>
          <w:szCs w:val="34"/>
          <w:rtl/>
          <w:lang w:bidi="ar-EG"/>
        </w:rPr>
        <w:t>ملاحظة</w:t>
      </w:r>
      <w:r w:rsidRPr="00977A67">
        <w:rPr>
          <w:rFonts w:ascii="Arabic Typesetting" w:hAnsi="Arabic Typesetting" w:cs="Arabic Typesetting" w:hint="cs"/>
          <w:sz w:val="34"/>
          <w:szCs w:val="34"/>
          <w:rtl/>
          <w:lang w:bidi="ar-EG"/>
        </w:rPr>
        <w:t>:</w:t>
      </w:r>
      <w:r w:rsidRPr="00977A67">
        <w:rPr>
          <w:rFonts w:ascii="Arabic Typesetting" w:hAnsi="Arabic Typesetting" w:cs="Arabic Typesetting"/>
          <w:sz w:val="34"/>
          <w:szCs w:val="34"/>
          <w:rtl/>
          <w:lang w:bidi="ar-EG"/>
        </w:rPr>
        <w:t xml:space="preserve"> صندوق استئماني في شكل مساهمة طوعية من حكومة جمهورية كوريا من أجل تزويد الويبو بموظف</w:t>
      </w:r>
      <w:r w:rsidRPr="00977A67">
        <w:rPr>
          <w:rFonts w:ascii="Arabic Typesetting" w:hAnsi="Arabic Typesetting" w:cs="Arabic Typesetting" w:hint="cs"/>
          <w:sz w:val="34"/>
          <w:szCs w:val="34"/>
          <w:rtl/>
          <w:lang w:bidi="ar-EG"/>
        </w:rPr>
        <w:t>ين</w:t>
      </w:r>
      <w:r w:rsidRPr="00977A67">
        <w:rPr>
          <w:rFonts w:ascii="Arabic Typesetting" w:hAnsi="Arabic Typesetting" w:cs="Arabic Typesetting"/>
          <w:sz w:val="34"/>
          <w:szCs w:val="34"/>
          <w:rtl/>
          <w:lang w:bidi="ar-EG"/>
        </w:rPr>
        <w:t xml:space="preserve"> مهني</w:t>
      </w:r>
      <w:r w:rsidRPr="00977A67">
        <w:rPr>
          <w:rFonts w:ascii="Arabic Typesetting" w:hAnsi="Arabic Typesetting" w:cs="Arabic Typesetting" w:hint="cs"/>
          <w:sz w:val="34"/>
          <w:szCs w:val="34"/>
          <w:rtl/>
          <w:lang w:bidi="ar-EG"/>
        </w:rPr>
        <w:t>ين.</w:t>
      </w:r>
    </w:p>
    <w:p w:rsidR="006715D6" w:rsidRDefault="006715D6" w:rsidP="006715D6">
      <w:pPr>
        <w:bidi/>
        <w:spacing w:after="120"/>
        <w:jc w:val="both"/>
        <w:rPr>
          <w:rFonts w:ascii="Arabic Typesetting" w:hAnsi="Arabic Typesetting" w:cs="Arabic Typesetting"/>
          <w:sz w:val="34"/>
          <w:szCs w:val="34"/>
          <w:rtl/>
          <w:lang w:bidi="ar-EG"/>
        </w:rPr>
      </w:pPr>
      <w:r w:rsidRPr="00772F9C">
        <w:rPr>
          <w:rFonts w:hint="cs"/>
          <w:noProof/>
          <w:szCs w:val="22"/>
          <w:rtl/>
        </w:rPr>
        <w:drawing>
          <wp:inline distT="0" distB="0" distL="0" distR="0" wp14:anchorId="53CFB46C" wp14:editId="62497709">
            <wp:extent cx="5807075" cy="1947545"/>
            <wp:effectExtent l="0" t="0" r="317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807075" cy="1947545"/>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بين مكتب كوريا للملكية الفكرية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hint="cs"/>
          <w:sz w:val="36"/>
          <w:szCs w:val="36"/>
          <w:rtl/>
        </w:rPr>
        <w:t xml:space="preserve"> لأغراض تعليم الملكية الفكرية.</w:t>
      </w:r>
    </w:p>
    <w:p w:rsidR="006715D6" w:rsidRDefault="006715D6" w:rsidP="006715D6">
      <w:pPr>
        <w:rPr>
          <w:rFonts w:ascii="Arabic Typesetting" w:hAnsi="Arabic Typesetting" w:cs="Arabic Typesetting"/>
          <w:sz w:val="34"/>
          <w:szCs w:val="34"/>
          <w:rtl/>
          <w:lang w:bidi="ar-EG"/>
        </w:rPr>
      </w:pPr>
      <w:r>
        <w:rPr>
          <w:rFonts w:ascii="Arabic Typesetting" w:hAnsi="Arabic Typesetting" w:cs="Arabic Typesetting"/>
          <w:sz w:val="34"/>
          <w:szCs w:val="34"/>
          <w:rtl/>
          <w:lang w:bidi="ar-EG"/>
        </w:rPr>
        <w:br w:type="page"/>
      </w:r>
    </w:p>
    <w:p w:rsidR="006715D6" w:rsidRDefault="006715D6" w:rsidP="006715D6">
      <w:pPr>
        <w:bidi/>
        <w:spacing w:after="120"/>
        <w:jc w:val="both"/>
        <w:rPr>
          <w:rFonts w:ascii="Arabic Typesetting" w:hAnsi="Arabic Typesetting" w:cs="Arabic Typesetting"/>
          <w:sz w:val="34"/>
          <w:szCs w:val="34"/>
          <w:rtl/>
          <w:lang w:bidi="ar-EG"/>
        </w:rPr>
      </w:pPr>
      <w:r w:rsidRPr="00772F9C">
        <w:rPr>
          <w:rFonts w:hint="cs"/>
          <w:noProof/>
          <w:szCs w:val="22"/>
          <w:rtl/>
        </w:rPr>
        <w:drawing>
          <wp:inline distT="0" distB="0" distL="0" distR="0" wp14:anchorId="37689260" wp14:editId="41C43B40">
            <wp:extent cx="5807075" cy="2137410"/>
            <wp:effectExtent l="0" t="0" r="317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07075" cy="2137410"/>
                    </a:xfrm>
                    <a:prstGeom prst="rect">
                      <a:avLst/>
                    </a:prstGeom>
                    <a:noFill/>
                    <a:ln>
                      <a:noFill/>
                    </a:ln>
                  </pic:spPr>
                </pic:pic>
              </a:graphicData>
            </a:graphic>
          </wp:inline>
        </w:drawing>
      </w:r>
    </w:p>
    <w:p w:rsidR="006715D6" w:rsidRPr="00977A67" w:rsidRDefault="006715D6" w:rsidP="006715D6">
      <w:pPr>
        <w:bidi/>
        <w:spacing w:after="12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w:t>
      </w:r>
      <w:r w:rsidRPr="00977A67">
        <w:rPr>
          <w:rFonts w:ascii="Arabic Typesetting" w:hAnsi="Arabic Typesetting" w:cs="Arabic Typesetting" w:hint="cs"/>
          <w:sz w:val="36"/>
          <w:szCs w:val="36"/>
          <w:rtl/>
        </w:rPr>
        <w:t>مساهمة طوعية من حكومة إسبانيا</w:t>
      </w:r>
      <w:r w:rsidRPr="00977A67">
        <w:rPr>
          <w:rFonts w:ascii="Arabic Typesetting" w:hAnsi="Arabic Typesetting" w:cs="Arabic Typesetting"/>
          <w:sz w:val="36"/>
          <w:szCs w:val="36"/>
          <w:rtl/>
        </w:rPr>
        <w:t xml:space="preserve"> لفائدة برنامج الويبو للتعاون لأغراض التنمية في مجال الملكية </w:t>
      </w:r>
      <w:r w:rsidRPr="00977A67">
        <w:rPr>
          <w:rFonts w:ascii="Arabic Typesetting" w:hAnsi="Arabic Typesetting" w:cs="Arabic Typesetting" w:hint="cs"/>
          <w:sz w:val="36"/>
          <w:szCs w:val="36"/>
          <w:rtl/>
        </w:rPr>
        <w:t>الصناعية</w:t>
      </w:r>
      <w:r w:rsidRPr="00977A67">
        <w:rPr>
          <w:rFonts w:ascii="Arabic Typesetting" w:hAnsi="Arabic Typesetting" w:cs="Arabic Typesetting"/>
          <w:sz w:val="36"/>
          <w:szCs w:val="36"/>
          <w:rtl/>
        </w:rPr>
        <w:t xml:space="preserve"> في</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بلدان أمريكا اللاتينية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w:t>
      </w:r>
      <w:r w:rsidRPr="00977A67">
        <w:rPr>
          <w:rFonts w:ascii="Arabic Typesetting" w:hAnsi="Arabic Typesetting" w:cs="Arabic Typesetting" w:hint="cs"/>
          <w:sz w:val="36"/>
          <w:szCs w:val="36"/>
          <w:rtl/>
        </w:rPr>
        <w:t>باليورو</w:t>
      </w:r>
      <w:r w:rsidRPr="00977A67">
        <w:rPr>
          <w:rFonts w:ascii="Arabic Typesetting" w:hAnsi="Arabic Typesetting" w:cs="Arabic Typesetting"/>
          <w:sz w:val="36"/>
          <w:szCs w:val="36"/>
          <w:rtl/>
        </w:rPr>
        <w:t>.</w:t>
      </w:r>
      <w:r w:rsidRPr="00977A67">
        <w:rPr>
          <w:rFonts w:ascii="Arabic Typesetting" w:hAnsi="Arabic Typesetting" w:cs="Arabic Typesetting" w:hint="cs"/>
          <w:sz w:val="36"/>
          <w:szCs w:val="36"/>
          <w:rtl/>
        </w:rPr>
        <w:t xml:space="preserve"> ونتيجة لذلك تم تكبّد تكاليف في فوارق صرف العملة الأجنبية واستوعبتها الويبو.</w:t>
      </w:r>
    </w:p>
    <w:p w:rsidR="006715D6" w:rsidRDefault="006715D6" w:rsidP="006715D6">
      <w:pPr>
        <w:bidi/>
        <w:spacing w:after="120"/>
        <w:jc w:val="both"/>
        <w:rPr>
          <w:rFonts w:ascii="Arabic Typesetting" w:hAnsi="Arabic Typesetting" w:cs="Arabic Typesetting"/>
          <w:sz w:val="34"/>
          <w:szCs w:val="34"/>
          <w:rtl/>
        </w:rPr>
      </w:pPr>
      <w:r w:rsidRPr="00772F9C">
        <w:rPr>
          <w:rFonts w:hint="cs"/>
          <w:noProof/>
          <w:szCs w:val="22"/>
          <w:rtl/>
        </w:rPr>
        <w:drawing>
          <wp:inline distT="0" distB="0" distL="0" distR="0" wp14:anchorId="2021DFF1" wp14:editId="4E98E449">
            <wp:extent cx="5807075" cy="2778760"/>
            <wp:effectExtent l="0" t="0" r="3175"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07075" cy="2778760"/>
                    </a:xfrm>
                    <a:prstGeom prst="rect">
                      <a:avLst/>
                    </a:prstGeom>
                    <a:noFill/>
                    <a:ln>
                      <a:noFill/>
                    </a:ln>
                  </pic:spPr>
                </pic:pic>
              </a:graphicData>
            </a:graphic>
          </wp:inline>
        </w:drawing>
      </w:r>
    </w:p>
    <w:p w:rsidR="006715D6" w:rsidRPr="00977A67" w:rsidRDefault="006715D6" w:rsidP="006715D6">
      <w:pPr>
        <w:bidi/>
        <w:spacing w:after="240"/>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w:t>
      </w:r>
      <w:r w:rsidRPr="00977A67">
        <w:rPr>
          <w:rFonts w:ascii="Arabic Typesetting" w:hAnsi="Arabic Typesetting" w:cs="Arabic Typesetting" w:hint="cs"/>
          <w:sz w:val="36"/>
          <w:szCs w:val="36"/>
          <w:rtl/>
        </w:rPr>
        <w:t>مساهمة طوعية من حكومة إسبانيا</w:t>
      </w:r>
      <w:r w:rsidRPr="00977A67">
        <w:rPr>
          <w:rFonts w:ascii="Arabic Typesetting" w:hAnsi="Arabic Typesetting" w:cs="Arabic Typesetting"/>
          <w:sz w:val="36"/>
          <w:szCs w:val="36"/>
          <w:rtl/>
        </w:rPr>
        <w:t xml:space="preserve"> لفائدة برنامج الويبو للتعاون لأغراض التنمية في مجال الملكية </w:t>
      </w:r>
      <w:r w:rsidRPr="00977A67">
        <w:rPr>
          <w:rFonts w:ascii="Arabic Typesetting" w:hAnsi="Arabic Typesetting" w:cs="Arabic Typesetting" w:hint="cs"/>
          <w:sz w:val="36"/>
          <w:szCs w:val="36"/>
          <w:rtl/>
        </w:rPr>
        <w:t>الصناعية</w:t>
      </w:r>
      <w:r w:rsidRPr="00977A67">
        <w:rPr>
          <w:rFonts w:ascii="Arabic Typesetting" w:hAnsi="Arabic Typesetting" w:cs="Arabic Typesetting"/>
          <w:sz w:val="36"/>
          <w:szCs w:val="36"/>
          <w:rtl/>
        </w:rPr>
        <w:t xml:space="preserve"> في</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بلدان أمريكا اللاتينية</w:t>
      </w:r>
      <w:r w:rsidRPr="00977A67">
        <w:rPr>
          <w:rFonts w:ascii="Arabic Typesetting" w:hAnsi="Arabic Typesetting" w:cs="Arabic Typesetting" w:hint="cs"/>
          <w:sz w:val="36"/>
          <w:szCs w:val="36"/>
          <w:rtl/>
        </w:rPr>
        <w:t>.</w:t>
      </w:r>
    </w:p>
    <w:p w:rsidR="006715D6" w:rsidRDefault="006715D6" w:rsidP="006715D6">
      <w:pPr>
        <w:bidi/>
        <w:spacing w:after="120"/>
        <w:jc w:val="both"/>
        <w:rPr>
          <w:rFonts w:ascii="Arabic Typesetting" w:hAnsi="Arabic Typesetting" w:cs="Arabic Typesetting"/>
          <w:sz w:val="34"/>
          <w:szCs w:val="34"/>
          <w:rtl/>
        </w:rPr>
      </w:pPr>
      <w:r w:rsidRPr="00772F9C">
        <w:rPr>
          <w:rFonts w:hint="cs"/>
          <w:noProof/>
          <w:szCs w:val="22"/>
          <w:rtl/>
        </w:rPr>
        <w:drawing>
          <wp:inline distT="0" distB="0" distL="0" distR="0" wp14:anchorId="5A7AA626" wp14:editId="2E44F3A5">
            <wp:extent cx="5807075" cy="1626870"/>
            <wp:effectExtent l="0" t="0" r="317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07075" cy="1626870"/>
                    </a:xfrm>
                    <a:prstGeom prst="rect">
                      <a:avLst/>
                    </a:prstGeom>
                    <a:noFill/>
                    <a:ln>
                      <a:noFill/>
                    </a:ln>
                  </pic:spPr>
                </pic:pic>
              </a:graphicData>
            </a:graphic>
          </wp:inline>
        </w:drawing>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hint="cs"/>
          <w:sz w:val="36"/>
          <w:szCs w:val="36"/>
          <w:rtl/>
        </w:rPr>
        <w:t>ملاحظة: صندوق استئماني في شكل مساهمة طوعية من القطاع الخاص والمنظمات التي تسعى إلى تحقيق المصلحة العامة من أجل تيسير نفاذ الأشخاص معاقي البصر وغيرهم من الأشخاص العاجزين عن قراءة المطبوعات إلى المصنفات المحمية بحق المؤلف.</w:t>
      </w:r>
    </w:p>
    <w:p w:rsidR="006715D6" w:rsidRDefault="006715D6" w:rsidP="006715D6">
      <w:pPr>
        <w:bidi/>
        <w:spacing w:after="120"/>
        <w:jc w:val="both"/>
        <w:rPr>
          <w:rFonts w:ascii="Arabic Typesetting" w:hAnsi="Arabic Typesetting" w:cs="Arabic Typesetting"/>
          <w:sz w:val="34"/>
          <w:szCs w:val="34"/>
          <w:rtl/>
        </w:rPr>
      </w:pPr>
      <w:r w:rsidRPr="006F6777">
        <w:rPr>
          <w:rFonts w:hint="cs"/>
          <w:noProof/>
          <w:szCs w:val="22"/>
          <w:rtl/>
        </w:rPr>
        <w:drawing>
          <wp:inline distT="0" distB="0" distL="0" distR="0" wp14:anchorId="2643D3BD" wp14:editId="131EC87D">
            <wp:extent cx="5807075" cy="2778760"/>
            <wp:effectExtent l="0" t="0" r="317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07075" cy="2778760"/>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للتعاون بين مكتب الولايات المتحدة الأمريكية للبراءات والعلامات التجارية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حق المؤلف في البلدان النامية. </w:t>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وتعدّ تقاريره المالية بالدولار الأمريكي.</w:t>
      </w:r>
    </w:p>
    <w:p w:rsidR="006715D6" w:rsidRDefault="006715D6" w:rsidP="006715D6">
      <w:pPr>
        <w:bidi/>
        <w:spacing w:after="120"/>
        <w:jc w:val="both"/>
        <w:rPr>
          <w:rFonts w:ascii="Arabic Typesetting" w:hAnsi="Arabic Typesetting" w:cs="Arabic Typesetting"/>
          <w:sz w:val="34"/>
          <w:szCs w:val="34"/>
          <w:rtl/>
          <w:lang w:bidi="ar-EG"/>
        </w:rPr>
      </w:pPr>
      <w:r w:rsidRPr="006F6777">
        <w:rPr>
          <w:rFonts w:hint="cs"/>
          <w:noProof/>
          <w:szCs w:val="22"/>
          <w:rtl/>
        </w:rPr>
        <w:drawing>
          <wp:inline distT="0" distB="0" distL="0" distR="0" wp14:anchorId="1EFE1A2F" wp14:editId="153F4E73">
            <wp:extent cx="5807075" cy="2291715"/>
            <wp:effectExtent l="0" t="0" r="317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07075" cy="2291715"/>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 xml:space="preserve">: </w:t>
      </w:r>
      <w:r w:rsidRPr="00977A67">
        <w:rPr>
          <w:rFonts w:ascii="Arabic Typesetting" w:hAnsi="Arabic Typesetting" w:cs="Arabic Typesetting"/>
          <w:sz w:val="36"/>
          <w:szCs w:val="36"/>
          <w:rtl/>
        </w:rPr>
        <w:t xml:space="preserve">صندوق استئماني في شكل اتفاق للتعاون بين مكتب الولايات المتحدة الأمريكية للبراءات والعلامات التجارية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في مجال إنفاذ حقوق الملكية الفكرية.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بالدولار الأمريكي.</w:t>
      </w:r>
    </w:p>
    <w:p w:rsidR="006715D6" w:rsidRDefault="006715D6" w:rsidP="006715D6">
      <w:pPr>
        <w:keepNext/>
        <w:bidi/>
        <w:spacing w:after="120"/>
        <w:jc w:val="both"/>
        <w:rPr>
          <w:rFonts w:ascii="Arabic Typesetting" w:hAnsi="Arabic Typesetting" w:cs="Arabic Typesetting"/>
          <w:sz w:val="34"/>
          <w:szCs w:val="34"/>
          <w:rtl/>
          <w:lang w:bidi="ar-EG"/>
        </w:rPr>
      </w:pPr>
      <w:r w:rsidRPr="006F6777">
        <w:rPr>
          <w:rFonts w:hint="cs"/>
          <w:noProof/>
          <w:szCs w:val="22"/>
          <w:rtl/>
        </w:rPr>
        <w:drawing>
          <wp:inline distT="0" distB="0" distL="0" distR="0" wp14:anchorId="38B14F4B" wp14:editId="053BCEF6">
            <wp:extent cx="5807075" cy="2161540"/>
            <wp:effectExtent l="0" t="0" r="317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807075" cy="2161540"/>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بين مكتب الولايات المتحدة الأمريكية للبراءات والعلامات التجارية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خدمات تتعلق باحتياجات الشركات الصغيرة والمتوسطة في مجال إنفاذ الملكية الفكرية.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بالدولار الأمريكي.</w:t>
      </w:r>
    </w:p>
    <w:p w:rsidR="006715D6" w:rsidRDefault="006715D6" w:rsidP="006715D6">
      <w:pPr>
        <w:bidi/>
        <w:spacing w:after="120"/>
        <w:jc w:val="both"/>
        <w:rPr>
          <w:rFonts w:ascii="Arabic Typesetting" w:hAnsi="Arabic Typesetting" w:cs="Arabic Typesetting"/>
          <w:sz w:val="34"/>
          <w:szCs w:val="34"/>
          <w:rtl/>
          <w:lang w:bidi="ar-EG"/>
        </w:rPr>
      </w:pPr>
      <w:r w:rsidRPr="006F6777">
        <w:rPr>
          <w:rFonts w:hint="cs"/>
          <w:noProof/>
          <w:szCs w:val="22"/>
          <w:rtl/>
        </w:rPr>
        <w:drawing>
          <wp:inline distT="0" distB="0" distL="0" distR="0" wp14:anchorId="627F5742" wp14:editId="4A43590A">
            <wp:extent cx="5807075" cy="2137410"/>
            <wp:effectExtent l="0" t="0" r="317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07075" cy="2137410"/>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أوروغواي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تطوير النظام الوطني للملكية الفكرية.</w:t>
      </w:r>
    </w:p>
    <w:p w:rsidR="006715D6" w:rsidRPr="00977A67" w:rsidRDefault="006715D6" w:rsidP="006715D6">
      <w:pPr>
        <w:bidi/>
        <w:spacing w:after="240"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 xml:space="preserve">وتمسك حسابات هذا الصندوق </w:t>
      </w:r>
      <w:proofErr w:type="spellStart"/>
      <w:r w:rsidRPr="00977A67">
        <w:rPr>
          <w:rFonts w:ascii="Arabic Typesetting" w:hAnsi="Arabic Typesetting" w:cs="Arabic Typesetting"/>
          <w:sz w:val="36"/>
          <w:szCs w:val="36"/>
          <w:rtl/>
        </w:rPr>
        <w:t>الاستئماني</w:t>
      </w:r>
      <w:proofErr w:type="spellEnd"/>
      <w:r w:rsidRPr="00977A67">
        <w:rPr>
          <w:rFonts w:ascii="Arabic Typesetting" w:hAnsi="Arabic Typesetting" w:cs="Arabic Typesetting"/>
          <w:sz w:val="36"/>
          <w:szCs w:val="36"/>
          <w:rtl/>
        </w:rPr>
        <w:t xml:space="preserve"> وتعدّ تقاريره المالية بالدولار الأمريكي.</w:t>
      </w:r>
      <w:r w:rsidRPr="00977A67">
        <w:rPr>
          <w:rFonts w:ascii="Arabic Typesetting" w:hAnsi="Arabic Typesetting" w:cs="Arabic Typesetting" w:hint="cs"/>
          <w:sz w:val="36"/>
          <w:szCs w:val="36"/>
          <w:rtl/>
        </w:rPr>
        <w:t xml:space="preserve"> ونتيجة لذلك تم تكبّد تكاليف في فوارق صرف العملة الأجنبية واستوعبتها الويبو.</w:t>
      </w:r>
    </w:p>
    <w:p w:rsidR="006715D6" w:rsidRDefault="006715D6" w:rsidP="006715D6">
      <w:pPr>
        <w:keepNext/>
        <w:bidi/>
        <w:spacing w:after="120"/>
        <w:jc w:val="both"/>
        <w:rPr>
          <w:rFonts w:ascii="Arabic Typesetting" w:hAnsi="Arabic Typesetting" w:cs="Arabic Typesetting"/>
          <w:sz w:val="34"/>
          <w:szCs w:val="34"/>
          <w:rtl/>
          <w:lang w:bidi="ar-EG"/>
        </w:rPr>
      </w:pPr>
      <w:r w:rsidRPr="006F6777">
        <w:rPr>
          <w:rFonts w:hint="cs"/>
          <w:noProof/>
          <w:szCs w:val="22"/>
          <w:rtl/>
        </w:rPr>
        <w:drawing>
          <wp:inline distT="0" distB="0" distL="0" distR="0" wp14:anchorId="14BBBB36" wp14:editId="0109D3A6">
            <wp:extent cx="5807075" cy="2291715"/>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07075" cy="2291715"/>
                    </a:xfrm>
                    <a:prstGeom prst="rect">
                      <a:avLst/>
                    </a:prstGeom>
                    <a:noFill/>
                    <a:ln>
                      <a:noFill/>
                    </a:ln>
                  </pic:spPr>
                </pic:pic>
              </a:graphicData>
            </a:graphic>
          </wp:inline>
        </w:drawing>
      </w:r>
    </w:p>
    <w:p w:rsidR="006715D6" w:rsidRPr="00977A67" w:rsidRDefault="006715D6" w:rsidP="006715D6">
      <w:pPr>
        <w:bidi/>
        <w:spacing w:line="360" w:lineRule="exact"/>
        <w:rPr>
          <w:rFonts w:ascii="Arabic Typesetting" w:hAnsi="Arabic Typesetting" w:cs="Arabic Typesetting"/>
          <w:sz w:val="36"/>
          <w:szCs w:val="36"/>
          <w:rtl/>
        </w:rPr>
      </w:pPr>
      <w:r w:rsidRPr="00977A67">
        <w:rPr>
          <w:rFonts w:ascii="Arabic Typesetting" w:hAnsi="Arabic Typesetting" w:cs="Arabic Typesetting"/>
          <w:sz w:val="36"/>
          <w:szCs w:val="36"/>
          <w:rtl/>
        </w:rPr>
        <w:t>ملاحظة</w:t>
      </w:r>
      <w:r w:rsidRPr="00977A67">
        <w:rPr>
          <w:rFonts w:ascii="Arabic Typesetting" w:hAnsi="Arabic Typesetting" w:cs="Arabic Typesetting" w:hint="cs"/>
          <w:sz w:val="36"/>
          <w:szCs w:val="36"/>
          <w:rtl/>
        </w:rPr>
        <w:t>:</w:t>
      </w:r>
      <w:r w:rsidRPr="00977A67">
        <w:rPr>
          <w:rFonts w:ascii="Arabic Typesetting" w:hAnsi="Arabic Typesetting" w:cs="Arabic Typesetting"/>
          <w:sz w:val="36"/>
          <w:szCs w:val="36"/>
          <w:rtl/>
        </w:rPr>
        <w:t xml:space="preserve"> صندوق استئماني في شكل اتفاق للتعاون التقني بين حكومة أوروغواي </w:t>
      </w:r>
      <w:proofErr w:type="spellStart"/>
      <w:r w:rsidRPr="00977A67">
        <w:rPr>
          <w:rFonts w:ascii="Arabic Typesetting" w:hAnsi="Arabic Typesetting" w:cs="Arabic Typesetting"/>
          <w:sz w:val="36"/>
          <w:szCs w:val="36"/>
          <w:rtl/>
        </w:rPr>
        <w:t>والويبو</w:t>
      </w:r>
      <w:proofErr w:type="spellEnd"/>
      <w:r w:rsidRPr="00977A67">
        <w:rPr>
          <w:rFonts w:ascii="Arabic Typesetting" w:hAnsi="Arabic Typesetting" w:cs="Arabic Typesetting"/>
          <w:sz w:val="36"/>
          <w:szCs w:val="36"/>
          <w:rtl/>
        </w:rPr>
        <w:t xml:space="preserve"> من أجل تطوير النظام الوطني للملكية الفكرية.</w:t>
      </w:r>
    </w:p>
    <w:p w:rsidR="006715D6" w:rsidRPr="00C20986" w:rsidRDefault="006715D6" w:rsidP="006715D6">
      <w:pPr>
        <w:bidi/>
        <w:spacing w:after="240" w:line="360" w:lineRule="exact"/>
        <w:ind w:left="5534"/>
        <w:rPr>
          <w:rFonts w:ascii="Arabic Typesetting" w:hAnsi="Arabic Typesetting" w:cs="Arabic Typesetting"/>
          <w:sz w:val="36"/>
          <w:szCs w:val="36"/>
        </w:rPr>
      </w:pPr>
      <w:r w:rsidRPr="00977A67">
        <w:rPr>
          <w:rFonts w:ascii="Arabic Typesetting" w:hAnsi="Arabic Typesetting" w:cs="Arabic Typesetting" w:hint="cs"/>
          <w:sz w:val="36"/>
          <w:szCs w:val="36"/>
          <w:rtl/>
        </w:rPr>
        <w:t>[نهاية الوثيقة]</w:t>
      </w:r>
    </w:p>
    <w:p w:rsidR="00C20986" w:rsidRPr="00C20986" w:rsidRDefault="00C20986" w:rsidP="006715D6">
      <w:pPr>
        <w:bidi/>
        <w:spacing w:line="360" w:lineRule="exact"/>
        <w:rPr>
          <w:rFonts w:ascii="Arabic Typesetting" w:hAnsi="Arabic Typesetting" w:cs="Arabic Typesetting"/>
          <w:sz w:val="36"/>
          <w:szCs w:val="36"/>
        </w:rPr>
      </w:pPr>
      <w:bookmarkStart w:id="201" w:name="_GoBack"/>
      <w:bookmarkEnd w:id="201"/>
    </w:p>
    <w:sectPr w:rsidR="00C20986" w:rsidRPr="00C20986" w:rsidSect="005356F1">
      <w:headerReference w:type="first" r:id="rId157"/>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64D" w:rsidRDefault="005F164D">
      <w:r>
        <w:separator/>
      </w:r>
    </w:p>
  </w:endnote>
  <w:endnote w:type="continuationSeparator" w:id="0">
    <w:p w:rsidR="005F164D" w:rsidRDefault="005F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4D" w:rsidRDefault="005F164D" w:rsidP="00651720">
    <w:pPr>
      <w:pStyle w:val="Footer"/>
      <w:jc w:val="center"/>
    </w:pPr>
    <w:r>
      <w:fldChar w:fldCharType="begin"/>
    </w:r>
    <w:r>
      <w:instrText xml:space="preserve"> PAGE   \* MERGEFORMAT </w:instrText>
    </w:r>
    <w:r>
      <w:fldChar w:fldCharType="separate"/>
    </w:r>
    <w:r w:rsidR="00197C9F">
      <w:rPr>
        <w:noProof/>
      </w:rPr>
      <w:t>88</w:t>
    </w:r>
    <w:r>
      <w:rPr>
        <w:noProof/>
      </w:rPr>
      <w:fldChar w:fldCharType="end"/>
    </w:r>
  </w:p>
  <w:p w:rsidR="005F164D" w:rsidRDefault="005F16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4D" w:rsidRDefault="005F164D" w:rsidP="00651720">
    <w:pPr>
      <w:pStyle w:val="Footer"/>
      <w:jc w:val="center"/>
    </w:pPr>
    <w:r>
      <w:fldChar w:fldCharType="begin"/>
    </w:r>
    <w:r>
      <w:instrText xml:space="preserve"> PAGE   \* MERGEFORMAT </w:instrText>
    </w:r>
    <w:r>
      <w:fldChar w:fldCharType="separate"/>
    </w:r>
    <w:r w:rsidR="00197C9F">
      <w:rPr>
        <w:noProof/>
      </w:rPr>
      <w:t>88</w:t>
    </w:r>
    <w:r>
      <w:rPr>
        <w:noProof/>
      </w:rPr>
      <w:fldChar w:fldCharType="end"/>
    </w:r>
  </w:p>
  <w:p w:rsidR="005F164D" w:rsidRDefault="005F16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Default="006715D6" w:rsidP="00651720">
    <w:pPr>
      <w:pStyle w:val="Footer"/>
      <w:jc w:val="center"/>
    </w:pPr>
    <w:r>
      <w:fldChar w:fldCharType="begin"/>
    </w:r>
    <w:r>
      <w:instrText xml:space="preserve"> PAGE   \* MERGEFORMAT </w:instrText>
    </w:r>
    <w:r>
      <w:fldChar w:fldCharType="separate"/>
    </w:r>
    <w:r w:rsidR="00197C9F">
      <w:rPr>
        <w:noProof/>
      </w:rPr>
      <w:t>102</w:t>
    </w:r>
    <w:r>
      <w:rPr>
        <w:noProof/>
      </w:rPr>
      <w:fldChar w:fldCharType="end"/>
    </w:r>
  </w:p>
  <w:p w:rsidR="006715D6" w:rsidRDefault="006715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Default="006715D6" w:rsidP="00651720">
    <w:pPr>
      <w:pStyle w:val="Footer"/>
      <w:jc w:val="center"/>
    </w:pPr>
    <w:r>
      <w:fldChar w:fldCharType="begin"/>
    </w:r>
    <w:r>
      <w:instrText xml:space="preserve"> PAGE   \* MERGEFORMAT </w:instrText>
    </w:r>
    <w:r>
      <w:fldChar w:fldCharType="separate"/>
    </w:r>
    <w:r w:rsidR="00197C9F">
      <w:rPr>
        <w:noProof/>
      </w:rPr>
      <w:t>103</w:t>
    </w:r>
    <w:r>
      <w:rPr>
        <w:noProof/>
      </w:rPr>
      <w:fldChar w:fldCharType="end"/>
    </w:r>
  </w:p>
  <w:p w:rsidR="006715D6" w:rsidRDefault="006715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Default="006715D6" w:rsidP="00B326E5">
    <w:pPr>
      <w:pStyle w:val="Footer"/>
      <w:jc w:val="center"/>
    </w:pPr>
    <w:r>
      <w:fldChar w:fldCharType="begin"/>
    </w:r>
    <w:r>
      <w:instrText xml:space="preserve"> PAGE   \* MERGEFORMAT </w:instrText>
    </w:r>
    <w:r>
      <w:fldChar w:fldCharType="separate"/>
    </w:r>
    <w:r w:rsidR="00197C9F">
      <w:rPr>
        <w:noProof/>
      </w:rPr>
      <w:t>ii</w:t>
    </w:r>
    <w:r>
      <w:rPr>
        <w:noProof/>
      </w:rPr>
      <w:fldChar w:fldCharType="end"/>
    </w:r>
  </w:p>
  <w:p w:rsidR="006715D6" w:rsidRPr="00651720" w:rsidRDefault="006715D6" w:rsidP="0065172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Default="006715D6" w:rsidP="00651720">
    <w:pPr>
      <w:pStyle w:val="Footer"/>
      <w:jc w:val="center"/>
    </w:pPr>
    <w:r>
      <w:fldChar w:fldCharType="begin"/>
    </w:r>
    <w:r>
      <w:instrText xml:space="preserve"> PAGE   \* MERGEFORMAT </w:instrText>
    </w:r>
    <w:r>
      <w:fldChar w:fldCharType="separate"/>
    </w:r>
    <w:r w:rsidR="00197C9F">
      <w:rPr>
        <w:noProof/>
      </w:rPr>
      <w:t>iv</w:t>
    </w:r>
    <w:r>
      <w:rPr>
        <w:noProof/>
      </w:rPr>
      <w:fldChar w:fldCharType="end"/>
    </w:r>
  </w:p>
  <w:p w:rsidR="006715D6" w:rsidRPr="00651720" w:rsidRDefault="006715D6" w:rsidP="006517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64D" w:rsidRDefault="005F164D" w:rsidP="009622BF">
      <w:pPr>
        <w:bidi/>
      </w:pPr>
      <w:bookmarkStart w:id="0" w:name="OLE_LINK1"/>
      <w:bookmarkStart w:id="1" w:name="OLE_LINK2"/>
      <w:r>
        <w:separator/>
      </w:r>
      <w:bookmarkEnd w:id="0"/>
      <w:bookmarkEnd w:id="1"/>
    </w:p>
  </w:footnote>
  <w:footnote w:type="continuationSeparator" w:id="0">
    <w:p w:rsidR="005F164D" w:rsidRDefault="005F164D" w:rsidP="009622BF">
      <w:pPr>
        <w:bidi/>
      </w:pPr>
      <w:r>
        <w:separator/>
      </w:r>
    </w:p>
  </w:footnote>
  <w:footnote w:id="1">
    <w:p w:rsidR="006715D6" w:rsidRPr="00B24E8E" w:rsidRDefault="006715D6" w:rsidP="006715D6">
      <w:pPr>
        <w:pStyle w:val="FootnoteText"/>
        <w:rPr>
          <w:rtl/>
        </w:rPr>
      </w:pPr>
      <w:r w:rsidRPr="00B24E8E">
        <w:rPr>
          <w:rStyle w:val="FootnoteReference"/>
          <w:rtl/>
        </w:rPr>
        <w:t>*</w:t>
      </w:r>
      <w:r w:rsidRPr="00B24E8E">
        <w:rPr>
          <w:rtl/>
        </w:rPr>
        <w:t xml:space="preserve"> </w:t>
      </w:r>
      <w:r>
        <w:rPr>
          <w:rtl/>
        </w:rPr>
        <w:t>اتحاد باريس (السنتان</w:t>
      </w:r>
      <w:r>
        <w:rPr>
          <w:rFonts w:hint="cs"/>
          <w:rtl/>
        </w:rPr>
        <w:t> 128 و129</w:t>
      </w:r>
      <w:r w:rsidRPr="00B24E8E">
        <w:rPr>
          <w:rtl/>
        </w:rPr>
        <w:t>) واتحاد برن (السنتان</w:t>
      </w:r>
      <w:r>
        <w:rPr>
          <w:rFonts w:hint="cs"/>
          <w:rtl/>
        </w:rPr>
        <w:t> 125 و126</w:t>
      </w:r>
      <w:r w:rsidRPr="00B24E8E">
        <w:rPr>
          <w:rtl/>
        </w:rPr>
        <w:t>) واتحاد مدريد (السنتان</w:t>
      </w:r>
      <w:r>
        <w:rPr>
          <w:rFonts w:hint="cs"/>
          <w:rtl/>
        </w:rPr>
        <w:t> 121 و122</w:t>
      </w:r>
      <w:r w:rsidRPr="00B24E8E">
        <w:rPr>
          <w:rtl/>
        </w:rPr>
        <w:t>) واتحاد لاهاي (السنتان</w:t>
      </w:r>
      <w:r>
        <w:rPr>
          <w:rFonts w:hint="cs"/>
          <w:rtl/>
        </w:rPr>
        <w:t> 87 و88</w:t>
      </w:r>
      <w:r w:rsidRPr="00B24E8E">
        <w:rPr>
          <w:rtl/>
        </w:rPr>
        <w:t>) واتحاد نيس (السنتان</w:t>
      </w:r>
      <w:r>
        <w:rPr>
          <w:rFonts w:hint="cs"/>
          <w:rtl/>
        </w:rPr>
        <w:t> 55</w:t>
      </w:r>
      <w:r w:rsidRPr="00B24E8E">
        <w:rPr>
          <w:rtl/>
        </w:rPr>
        <w:t xml:space="preserve"> </w:t>
      </w:r>
      <w:r>
        <w:rPr>
          <w:rFonts w:hint="cs"/>
          <w:rtl/>
        </w:rPr>
        <w:t>و56</w:t>
      </w:r>
      <w:r w:rsidRPr="00B24E8E">
        <w:rPr>
          <w:rtl/>
        </w:rPr>
        <w:t>) واتحاد لشبونة (السنتان</w:t>
      </w:r>
      <w:r>
        <w:rPr>
          <w:rFonts w:hint="cs"/>
          <w:rtl/>
        </w:rPr>
        <w:t> 54</w:t>
      </w:r>
      <w:r w:rsidRPr="00B24E8E">
        <w:rPr>
          <w:rtl/>
        </w:rPr>
        <w:t xml:space="preserve"> </w:t>
      </w:r>
      <w:r>
        <w:rPr>
          <w:rFonts w:hint="cs"/>
          <w:rtl/>
        </w:rPr>
        <w:t>و55</w:t>
      </w:r>
      <w:r w:rsidRPr="00B24E8E">
        <w:rPr>
          <w:rtl/>
        </w:rPr>
        <w:t xml:space="preserve">) </w:t>
      </w:r>
      <w:proofErr w:type="spellStart"/>
      <w:r w:rsidRPr="00B24E8E">
        <w:rPr>
          <w:rtl/>
        </w:rPr>
        <w:t>والويبو</w:t>
      </w:r>
      <w:proofErr w:type="spellEnd"/>
      <w:r w:rsidRPr="00B24E8E">
        <w:rPr>
          <w:rtl/>
        </w:rPr>
        <w:t xml:space="preserve"> (السنتان</w:t>
      </w:r>
      <w:r>
        <w:rPr>
          <w:rFonts w:hint="cs"/>
          <w:rtl/>
        </w:rPr>
        <w:t> 43</w:t>
      </w:r>
      <w:r w:rsidRPr="00B24E8E">
        <w:rPr>
          <w:rtl/>
        </w:rPr>
        <w:t xml:space="preserve"> </w:t>
      </w:r>
      <w:r>
        <w:rPr>
          <w:rFonts w:hint="cs"/>
          <w:rtl/>
        </w:rPr>
        <w:t>و44</w:t>
      </w:r>
      <w:r w:rsidRPr="00B24E8E">
        <w:rPr>
          <w:rtl/>
        </w:rPr>
        <w:t xml:space="preserve">) واتحاد </w:t>
      </w:r>
      <w:proofErr w:type="spellStart"/>
      <w:r w:rsidRPr="00B24E8E">
        <w:rPr>
          <w:rtl/>
        </w:rPr>
        <w:t>لوكارنو</w:t>
      </w:r>
      <w:proofErr w:type="spellEnd"/>
      <w:r w:rsidRPr="00B24E8E">
        <w:rPr>
          <w:rtl/>
        </w:rPr>
        <w:t xml:space="preserve"> (السنتان</w:t>
      </w:r>
      <w:r>
        <w:rPr>
          <w:rFonts w:hint="cs"/>
          <w:rtl/>
        </w:rPr>
        <w:t> 42</w:t>
      </w:r>
      <w:r w:rsidRPr="00B24E8E">
        <w:rPr>
          <w:rtl/>
        </w:rPr>
        <w:t xml:space="preserve"> </w:t>
      </w:r>
      <w:r>
        <w:rPr>
          <w:rFonts w:hint="cs"/>
          <w:rtl/>
        </w:rPr>
        <w:t>و43</w:t>
      </w:r>
      <w:r w:rsidRPr="00B24E8E">
        <w:rPr>
          <w:rtl/>
        </w:rPr>
        <w:t>) واتحاد التصنيف الدولي للبراءات (السنتان</w:t>
      </w:r>
      <w:r>
        <w:rPr>
          <w:rFonts w:hint="cs"/>
          <w:rtl/>
        </w:rPr>
        <w:t> 38</w:t>
      </w:r>
      <w:r w:rsidRPr="00B24E8E">
        <w:rPr>
          <w:rtl/>
        </w:rPr>
        <w:t xml:space="preserve"> و</w:t>
      </w:r>
      <w:r>
        <w:rPr>
          <w:rFonts w:hint="cs"/>
          <w:rtl/>
        </w:rPr>
        <w:t>39</w:t>
      </w:r>
      <w:r w:rsidRPr="00B24E8E">
        <w:rPr>
          <w:rtl/>
        </w:rPr>
        <w:t>) واتحاد معاهدة التعاون بشأن البراءات (السنتان</w:t>
      </w:r>
      <w:r>
        <w:rPr>
          <w:rFonts w:hint="cs"/>
          <w:rtl/>
        </w:rPr>
        <w:t> 35</w:t>
      </w:r>
      <w:r w:rsidRPr="00B24E8E">
        <w:rPr>
          <w:rtl/>
        </w:rPr>
        <w:t xml:space="preserve"> </w:t>
      </w:r>
      <w:r>
        <w:rPr>
          <w:rFonts w:hint="cs"/>
          <w:rtl/>
        </w:rPr>
        <w:t>و36</w:t>
      </w:r>
      <w:r w:rsidRPr="00B24E8E">
        <w:rPr>
          <w:rtl/>
        </w:rPr>
        <w:t>) واتحاد التسجيل الدولي للعلامات (السنتان</w:t>
      </w:r>
      <w:r>
        <w:rPr>
          <w:rFonts w:hint="cs"/>
          <w:rtl/>
        </w:rPr>
        <w:t> 33</w:t>
      </w:r>
      <w:r w:rsidRPr="00B24E8E">
        <w:rPr>
          <w:rtl/>
        </w:rPr>
        <w:t xml:space="preserve"> و</w:t>
      </w:r>
      <w:r>
        <w:rPr>
          <w:rFonts w:hint="cs"/>
          <w:rtl/>
        </w:rPr>
        <w:t>34</w:t>
      </w:r>
      <w:r w:rsidRPr="00B24E8E">
        <w:rPr>
          <w:rtl/>
        </w:rPr>
        <w:t xml:space="preserve">) واتحاد </w:t>
      </w:r>
      <w:r>
        <w:rPr>
          <w:rFonts w:hint="cs"/>
          <w:rtl/>
        </w:rPr>
        <w:t>فيينا</w:t>
      </w:r>
      <w:r w:rsidRPr="00B24E8E">
        <w:rPr>
          <w:rtl/>
        </w:rPr>
        <w:t xml:space="preserve"> (السنتان</w:t>
      </w:r>
      <w:r>
        <w:rPr>
          <w:rFonts w:hint="cs"/>
          <w:rtl/>
        </w:rPr>
        <w:t> 27</w:t>
      </w:r>
      <w:r w:rsidRPr="00B24E8E">
        <w:rPr>
          <w:rtl/>
        </w:rPr>
        <w:t xml:space="preserve"> و</w:t>
      </w:r>
      <w:r>
        <w:rPr>
          <w:rFonts w:hint="cs"/>
          <w:rtl/>
        </w:rPr>
        <w:t>28</w:t>
      </w:r>
      <w:r w:rsidRPr="00B24E8E">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4D" w:rsidRPr="000119CB" w:rsidRDefault="005F164D" w:rsidP="000119CB">
    <w:pPr>
      <w:pStyle w:val="Header"/>
      <w:bidi/>
      <w:jc w:val="right"/>
      <w:rPr>
        <w:rFonts w:ascii="Arabic Typesetting" w:hAnsi="Arabic Typesetting" w:cs="Arabic Typesetting"/>
        <w:sz w:val="36"/>
        <w:szCs w:val="36"/>
      </w:rPr>
    </w:pPr>
    <w:r>
      <w:rPr>
        <w:rFonts w:ascii="Arabic Typesetting" w:hAnsi="Arabic Typesetting" w:cs="Arabic Typesetting" w:hint="cs"/>
        <w:sz w:val="36"/>
        <w:szCs w:val="36"/>
        <w:rtl/>
      </w:rPr>
      <w:t>تقرير الإدارة المالية 2012/13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577506">
    <w:pPr>
      <w:pStyle w:val="Header"/>
      <w:bidi/>
      <w:jc w:val="right"/>
      <w:rPr>
        <w:rFonts w:ascii="Arabic Typesetting" w:hAnsi="Arabic Typesetting" w:cs="Arabic Typesetting"/>
        <w:sz w:val="32"/>
        <w:szCs w:val="32"/>
      </w:rPr>
    </w:pPr>
    <w:r w:rsidRPr="00577506">
      <w:rPr>
        <w:rFonts w:ascii="Arabic Typesetting" w:hAnsi="Arabic Typesetting" w:cs="Arabic Typesetting" w:hint="cs"/>
        <w:sz w:val="32"/>
        <w:szCs w:val="32"/>
        <w:rtl/>
      </w:rPr>
      <w:t>تقرير الإدارة المالية 2012/13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577506">
    <w:pPr>
      <w:pStyle w:val="Header"/>
      <w:bidi/>
      <w:jc w:val="right"/>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577506">
    <w:pPr>
      <w:pStyle w:val="Header"/>
      <w:bidi/>
      <w:spacing w:line="200" w:lineRule="exact"/>
      <w:jc w:val="right"/>
      <w:rPr>
        <w:rFonts w:ascii="Arabic Typesetting" w:hAnsi="Arabic Typesetting" w:cs="Arabic Typesetting"/>
        <w:sz w:val="32"/>
        <w:szCs w:val="3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577506">
    <w:pPr>
      <w:pStyle w:val="Header"/>
      <w:bidi/>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577506">
    <w:pPr>
      <w:pStyle w:val="Header"/>
      <w:bidi/>
      <w:spacing w:line="200" w:lineRule="exact"/>
      <w:rPr>
        <w:rFonts w:ascii="Arabic Typesetting" w:hAnsi="Arabic Typesetting" w:cs="Arabic Typesetting"/>
        <w:sz w:val="32"/>
        <w:szCs w:val="3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725753" w:rsidRDefault="006715D6" w:rsidP="005F164D">
    <w:pPr>
      <w:pStyle w:val="Header"/>
      <w:bidi/>
      <w:spacing w:after="240"/>
      <w:rPr>
        <w:rFonts w:ascii="Arabic Typesetting" w:hAnsi="Arabic Typesetting" w:cs="Arabic Typesetting"/>
        <w:sz w:val="30"/>
        <w:szCs w:val="30"/>
      </w:rPr>
    </w:pPr>
    <w:r w:rsidRPr="00725753">
      <w:rPr>
        <w:rFonts w:ascii="Arabic Typesetting" w:hAnsi="Arabic Typesetting" w:cs="Arabic Typesetting"/>
        <w:sz w:val="30"/>
        <w:szCs w:val="30"/>
        <w:rtl/>
      </w:rPr>
      <w:t xml:space="preserve">تقرير الإدارة المالية </w:t>
    </w:r>
    <w:r>
      <w:rPr>
        <w:rFonts w:ascii="Arabic Typesetting" w:hAnsi="Arabic Typesetting" w:cs="Arabic Typesetting"/>
        <w:sz w:val="30"/>
        <w:szCs w:val="30"/>
        <w:rtl/>
      </w:rPr>
      <w:t>2012/13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725753" w:rsidRDefault="006715D6" w:rsidP="005F164D">
    <w:pPr>
      <w:pStyle w:val="Header"/>
      <w:bidi/>
      <w:spacing w:after="240"/>
      <w:jc w:val="right"/>
      <w:rPr>
        <w:rFonts w:ascii="Arabic Typesetting" w:hAnsi="Arabic Typesetting" w:cs="Arabic Typesetting"/>
        <w:sz w:val="30"/>
        <w:szCs w:val="30"/>
      </w:rPr>
    </w:pPr>
    <w:r w:rsidRPr="00725753">
      <w:rPr>
        <w:rFonts w:ascii="Arabic Typesetting" w:hAnsi="Arabic Typesetting" w:cs="Arabic Typesetting"/>
        <w:sz w:val="30"/>
        <w:szCs w:val="30"/>
        <w:rtl/>
      </w:rPr>
      <w:t xml:space="preserve">تقرير الإدارة المالية </w:t>
    </w:r>
    <w:r>
      <w:rPr>
        <w:rFonts w:ascii="Arabic Typesetting" w:hAnsi="Arabic Typesetting" w:cs="Arabic Typesetting"/>
        <w:sz w:val="30"/>
        <w:szCs w:val="30"/>
        <w:rtl/>
      </w:rPr>
      <w:t>2012/13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155686">
    <w:pPr>
      <w:pStyle w:val="Header"/>
      <w:bidi/>
      <w:jc w:val="right"/>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A5275A">
    <w:pPr>
      <w:pStyle w:val="Header"/>
      <w:bidi/>
      <w:spacing w:line="200" w:lineRule="exact"/>
      <w:jc w:val="right"/>
      <w:rPr>
        <w:rFonts w:ascii="Arabic Typesetting" w:hAnsi="Arabic Typesetting" w:cs="Arabic Typesetting"/>
        <w:sz w:val="32"/>
        <w:szCs w:val="3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725753" w:rsidRDefault="006715D6" w:rsidP="005F164D">
    <w:pPr>
      <w:pStyle w:val="Header"/>
      <w:bidi/>
      <w:spacing w:after="240"/>
      <w:rPr>
        <w:rFonts w:ascii="Arabic Typesetting" w:hAnsi="Arabic Typesetting" w:cs="Arabic Typesetting"/>
        <w:sz w:val="30"/>
        <w:szCs w:val="30"/>
      </w:rPr>
    </w:pPr>
    <w:r w:rsidRPr="00725753">
      <w:rPr>
        <w:rFonts w:ascii="Arabic Typesetting" w:hAnsi="Arabic Typesetting" w:cs="Arabic Typesetting"/>
        <w:sz w:val="30"/>
        <w:szCs w:val="30"/>
        <w:rtl/>
      </w:rPr>
      <w:t xml:space="preserve">تقرير الإدارة المالية </w:t>
    </w:r>
    <w:r>
      <w:rPr>
        <w:rFonts w:ascii="Arabic Typesetting" w:hAnsi="Arabic Typesetting" w:cs="Arabic Typesetting"/>
        <w:sz w:val="30"/>
        <w:szCs w:val="30"/>
        <w:rtl/>
      </w:rPr>
      <w:t>2012/13</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725753" w:rsidRDefault="006715D6" w:rsidP="00577506">
    <w:pPr>
      <w:pStyle w:val="Header"/>
      <w:bidi/>
      <w:spacing w:after="240"/>
      <w:rPr>
        <w:rFonts w:ascii="Arabic Typesetting" w:hAnsi="Arabic Typesetting" w:cs="Arabic Typesetting"/>
        <w:sz w:val="30"/>
        <w:szCs w:val="30"/>
      </w:rPr>
    </w:pPr>
    <w:r w:rsidRPr="00725753">
      <w:rPr>
        <w:rFonts w:ascii="Arabic Typesetting" w:hAnsi="Arabic Typesetting" w:cs="Arabic Typesetting"/>
        <w:sz w:val="30"/>
        <w:szCs w:val="30"/>
        <w:rtl/>
      </w:rPr>
      <w:t xml:space="preserve">تقرير الإدارة المالية </w:t>
    </w:r>
    <w:r>
      <w:rPr>
        <w:rFonts w:ascii="Arabic Typesetting" w:hAnsi="Arabic Typesetting" w:cs="Arabic Typesetting"/>
        <w:sz w:val="30"/>
        <w:szCs w:val="30"/>
        <w:rtl/>
      </w:rPr>
      <w:t>2012/13</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9B4" w:rsidRPr="00577506" w:rsidRDefault="00197C9F" w:rsidP="00577506">
    <w:pPr>
      <w:pStyle w:val="Header"/>
      <w:bidi/>
      <w:jc w:val="right"/>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DB69B4" w:rsidRPr="00577506" w:rsidRDefault="00197C9F" w:rsidP="00577506">
    <w:pPr>
      <w:pStyle w:val="Header"/>
      <w:bidi/>
      <w:spacing w:line="200" w:lineRule="exact"/>
      <w:jc w:val="right"/>
      <w:rPr>
        <w:rFonts w:ascii="Arabic Typesetting" w:hAnsi="Arabic Typesetting" w:cs="Arabic Typesetting"/>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4D" w:rsidRDefault="005F164D" w:rsidP="00274410">
    <w:r>
      <w:t>WO/PBC/22/--</w:t>
    </w:r>
  </w:p>
  <w:p w:rsidR="005F164D" w:rsidRDefault="005F164D" w:rsidP="00D61541">
    <w:r>
      <w:fldChar w:fldCharType="begin"/>
    </w:r>
    <w:r>
      <w:instrText xml:space="preserve"> PAGE  \* MERGEFORMAT </w:instrText>
    </w:r>
    <w:r>
      <w:fldChar w:fldCharType="separate"/>
    </w:r>
    <w:r w:rsidR="00197C9F">
      <w:rPr>
        <w:noProof/>
      </w:rPr>
      <w:t>88</w:t>
    </w:r>
    <w:r>
      <w:fldChar w:fldCharType="end"/>
    </w:r>
  </w:p>
  <w:p w:rsidR="005F164D" w:rsidRDefault="005F164D"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0119CB" w:rsidRDefault="006715D6" w:rsidP="000119CB">
    <w:pPr>
      <w:pStyle w:val="Header"/>
      <w:bidi/>
      <w:jc w:val="right"/>
      <w:rPr>
        <w:rFonts w:ascii="Arabic Typesetting" w:hAnsi="Arabic Typesetting" w:cs="Arabic Typesetting"/>
        <w:sz w:val="36"/>
        <w:szCs w:val="36"/>
      </w:rPr>
    </w:pPr>
    <w:r>
      <w:rPr>
        <w:rFonts w:ascii="Arabic Typesetting" w:hAnsi="Arabic Typesetting" w:cs="Arabic Typesetting" w:hint="cs"/>
        <w:sz w:val="36"/>
        <w:szCs w:val="36"/>
        <w:rtl/>
      </w:rPr>
      <w:t>تقرير الإدارة المالية 2012/13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Default="006715D6" w:rsidP="00274410">
    <w:r>
      <w:t>WO/PBC/22/--</w:t>
    </w:r>
  </w:p>
  <w:p w:rsidR="006715D6" w:rsidRDefault="006715D6" w:rsidP="00D61541">
    <w:r>
      <w:fldChar w:fldCharType="begin"/>
    </w:r>
    <w:r>
      <w:instrText xml:space="preserve"> PAGE  \* MERGEFORMAT </w:instrText>
    </w:r>
    <w:r>
      <w:fldChar w:fldCharType="separate"/>
    </w:r>
    <w:r w:rsidR="00197C9F">
      <w:rPr>
        <w:noProof/>
      </w:rPr>
      <w:t>88</w:t>
    </w:r>
    <w:r>
      <w:fldChar w:fldCharType="end"/>
    </w:r>
  </w:p>
  <w:p w:rsidR="006715D6" w:rsidRDefault="006715D6"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6B7628" w:rsidRDefault="006715D6" w:rsidP="006B762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9549E2">
    <w:pPr>
      <w:pStyle w:val="Header"/>
      <w:bidi/>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577506">
    <w:pPr>
      <w:pStyle w:val="Header"/>
      <w:bidi/>
      <w:spacing w:line="200" w:lineRule="exact"/>
      <w:rPr>
        <w:rFonts w:ascii="Arabic Typesetting" w:hAnsi="Arabic Typesetting" w:cs="Arabic Typesetting"/>
        <w:sz w:val="32"/>
        <w:szCs w:val="3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155686">
    <w:pPr>
      <w:pStyle w:val="Header"/>
      <w:bidi/>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A5275A">
    <w:pPr>
      <w:pStyle w:val="Header"/>
      <w:bidi/>
      <w:spacing w:line="200" w:lineRule="exact"/>
      <w:rPr>
        <w:rFonts w:ascii="Arabic Typesetting" w:hAnsi="Arabic Typesetting" w:cs="Arabic Typesetting"/>
        <w:sz w:val="32"/>
        <w:szCs w:val="3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577506">
    <w:pPr>
      <w:pStyle w:val="Header"/>
      <w:bidi/>
      <w:jc w:val="right"/>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577506">
    <w:pPr>
      <w:pStyle w:val="Header"/>
      <w:bidi/>
      <w:spacing w:line="200" w:lineRule="exact"/>
      <w:jc w:val="right"/>
      <w:rPr>
        <w:rFonts w:ascii="Arabic Typesetting" w:hAnsi="Arabic Typesetting" w:cs="Arabic Typesetting"/>
        <w:sz w:val="32"/>
        <w:szCs w:val="3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5D6" w:rsidRPr="00577506" w:rsidRDefault="006715D6" w:rsidP="00222FAA">
    <w:pPr>
      <w:pStyle w:val="Header"/>
      <w:bidi/>
      <w:jc w:val="right"/>
      <w:rPr>
        <w:rFonts w:ascii="Arabic Typesetting" w:hAnsi="Arabic Typesetting" w:cs="Arabic Typesetting"/>
        <w:sz w:val="32"/>
        <w:szCs w:val="32"/>
        <w:rtl/>
      </w:rPr>
    </w:pPr>
    <w:r w:rsidRPr="00577506">
      <w:rPr>
        <w:rFonts w:ascii="Arabic Typesetting" w:hAnsi="Arabic Typesetting" w:cs="Arabic Typesetting" w:hint="cs"/>
        <w:sz w:val="32"/>
        <w:szCs w:val="32"/>
        <w:rtl/>
      </w:rPr>
      <w:t>تقرير الإدارة المالية 2012/13</w:t>
    </w:r>
  </w:p>
  <w:p w:rsidR="006715D6" w:rsidRPr="00577506" w:rsidRDefault="006715D6" w:rsidP="00577506">
    <w:pPr>
      <w:pStyle w:val="Header"/>
      <w:bidi/>
      <w:spacing w:line="200" w:lineRule="exact"/>
      <w:jc w:val="right"/>
      <w:rPr>
        <w:rFonts w:ascii="Arabic Typesetting" w:hAnsi="Arabic Typesetting" w:cs="Arabic Typesetting"/>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AC3968"/>
    <w:multiLevelType w:val="multilevel"/>
    <w:tmpl w:val="E9B454BE"/>
    <w:lvl w:ilvl="0">
      <w:start w:val="1"/>
      <w:numFmt w:val="bullet"/>
      <w:lvlText w:val="–"/>
      <w:lvlJc w:val="left"/>
      <w:pPr>
        <w:tabs>
          <w:tab w:val="num" w:pos="1440"/>
        </w:tabs>
        <w:ind w:left="1440" w:hanging="360"/>
      </w:pPr>
      <w:rPr>
        <w:rFonts w:ascii="Arabic Typesetting" w:hAnsi="Arabic Typesetting"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CBC387F"/>
    <w:multiLevelType w:val="hybridMultilevel"/>
    <w:tmpl w:val="47FC1078"/>
    <w:lvl w:ilvl="0" w:tplc="E28A54EC">
      <w:start w:val="1"/>
      <w:numFmt w:val="bullet"/>
      <w:lvlText w:val=""/>
      <w:lvlJc w:val="left"/>
      <w:pPr>
        <w:tabs>
          <w:tab w:val="num" w:pos="1440"/>
        </w:tabs>
        <w:ind w:left="144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A90A57"/>
    <w:multiLevelType w:val="hybridMultilevel"/>
    <w:tmpl w:val="D7067B26"/>
    <w:lvl w:ilvl="0" w:tplc="E28A54EC">
      <w:start w:val="1"/>
      <w:numFmt w:val="bullet"/>
      <w:lvlText w:val=""/>
      <w:lvlJc w:val="left"/>
      <w:pPr>
        <w:tabs>
          <w:tab w:val="num" w:pos="718"/>
        </w:tabs>
        <w:ind w:left="718"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CBC1D5C"/>
    <w:multiLevelType w:val="hybridMultilevel"/>
    <w:tmpl w:val="87FC37F6"/>
    <w:lvl w:ilvl="0" w:tplc="34749C8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84294B"/>
    <w:multiLevelType w:val="hybridMultilevel"/>
    <w:tmpl w:val="D8FE0462"/>
    <w:lvl w:ilvl="0" w:tplc="6FAEE71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0D5F4A"/>
    <w:multiLevelType w:val="multilevel"/>
    <w:tmpl w:val="6FE28F92"/>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6650437"/>
    <w:multiLevelType w:val="hybridMultilevel"/>
    <w:tmpl w:val="FE9417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64908A0"/>
    <w:multiLevelType w:val="hybridMultilevel"/>
    <w:tmpl w:val="C02AB410"/>
    <w:lvl w:ilvl="0" w:tplc="768AF2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9C701E3"/>
    <w:multiLevelType w:val="hybridMultilevel"/>
    <w:tmpl w:val="5D30548C"/>
    <w:lvl w:ilvl="0" w:tplc="DAE047E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1C0C35"/>
    <w:multiLevelType w:val="hybridMultilevel"/>
    <w:tmpl w:val="E9B454BE"/>
    <w:lvl w:ilvl="0" w:tplc="D444BBF2">
      <w:start w:val="1"/>
      <w:numFmt w:val="bullet"/>
      <w:lvlText w:val="–"/>
      <w:lvlJc w:val="left"/>
      <w:pPr>
        <w:tabs>
          <w:tab w:val="num" w:pos="1440"/>
        </w:tabs>
        <w:ind w:left="1440" w:hanging="360"/>
      </w:pPr>
      <w:rPr>
        <w:rFonts w:ascii="Arabic Typesetting" w:hAnsi="Arabic Typesetting"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5E9658F"/>
    <w:multiLevelType w:val="hybridMultilevel"/>
    <w:tmpl w:val="BBA05C00"/>
    <w:lvl w:ilvl="0" w:tplc="EA92931E">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1757CC"/>
    <w:multiLevelType w:val="hybridMultilevel"/>
    <w:tmpl w:val="7766ED72"/>
    <w:lvl w:ilvl="0" w:tplc="AFCCD23C">
      <w:start w:val="1"/>
      <w:numFmt w:val="decimal"/>
      <w:lvlText w:val="(%1)"/>
      <w:lvlJc w:val="left"/>
      <w:pPr>
        <w:tabs>
          <w:tab w:val="num" w:pos="720"/>
        </w:tabs>
        <w:ind w:left="720" w:hanging="360"/>
      </w:pPr>
      <w:rPr>
        <w:rFonts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13"/>
  </w:num>
  <w:num w:numId="4">
    <w:abstractNumId w:val="28"/>
  </w:num>
  <w:num w:numId="5">
    <w:abstractNumId w:val="8"/>
  </w:num>
  <w:num w:numId="6">
    <w:abstractNumId w:val="29"/>
  </w:num>
  <w:num w:numId="7">
    <w:abstractNumId w:val="17"/>
  </w:num>
  <w:num w:numId="8">
    <w:abstractNumId w:val="27"/>
  </w:num>
  <w:num w:numId="9">
    <w:abstractNumId w:val="25"/>
  </w:num>
  <w:num w:numId="10">
    <w:abstractNumId w:val="3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6"/>
  </w:num>
  <w:num w:numId="23">
    <w:abstractNumId w:val="24"/>
  </w:num>
  <w:num w:numId="24">
    <w:abstractNumId w:val="10"/>
  </w:num>
  <w:num w:numId="25">
    <w:abstractNumId w:val="11"/>
  </w:num>
  <w:num w:numId="26">
    <w:abstractNumId w:val="12"/>
  </w:num>
  <w:num w:numId="27">
    <w:abstractNumId w:val="18"/>
  </w:num>
  <w:num w:numId="28">
    <w:abstractNumId w:val="22"/>
  </w:num>
  <w:num w:numId="29">
    <w:abstractNumId w:val="31"/>
  </w:num>
  <w:num w:numId="30">
    <w:abstractNumId w:val="19"/>
  </w:num>
  <w:num w:numId="31">
    <w:abstractNumId w:val="20"/>
  </w:num>
  <w:num w:numId="32">
    <w:abstractNumId w:val="15"/>
  </w:num>
  <w:num w:numId="33">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E83"/>
    <w:rsid w:val="00001906"/>
    <w:rsid w:val="00002CBE"/>
    <w:rsid w:val="00003232"/>
    <w:rsid w:val="000033DA"/>
    <w:rsid w:val="0000579F"/>
    <w:rsid w:val="00005EFE"/>
    <w:rsid w:val="000074D1"/>
    <w:rsid w:val="000076BD"/>
    <w:rsid w:val="00010481"/>
    <w:rsid w:val="00010671"/>
    <w:rsid w:val="000114E2"/>
    <w:rsid w:val="000119CB"/>
    <w:rsid w:val="00013347"/>
    <w:rsid w:val="00013B50"/>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6264"/>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3C15"/>
    <w:rsid w:val="000543BA"/>
    <w:rsid w:val="00054659"/>
    <w:rsid w:val="00055FA2"/>
    <w:rsid w:val="000571DD"/>
    <w:rsid w:val="00061FF5"/>
    <w:rsid w:val="00062502"/>
    <w:rsid w:val="00063C91"/>
    <w:rsid w:val="000640E7"/>
    <w:rsid w:val="00066B31"/>
    <w:rsid w:val="00066DC7"/>
    <w:rsid w:val="0006794A"/>
    <w:rsid w:val="00067F31"/>
    <w:rsid w:val="00071138"/>
    <w:rsid w:val="000717BF"/>
    <w:rsid w:val="00073402"/>
    <w:rsid w:val="00074EB4"/>
    <w:rsid w:val="000754F1"/>
    <w:rsid w:val="00075745"/>
    <w:rsid w:val="00075A04"/>
    <w:rsid w:val="00075D39"/>
    <w:rsid w:val="000760C3"/>
    <w:rsid w:val="000763A4"/>
    <w:rsid w:val="00076901"/>
    <w:rsid w:val="0008237C"/>
    <w:rsid w:val="000833C3"/>
    <w:rsid w:val="0008421F"/>
    <w:rsid w:val="0008451C"/>
    <w:rsid w:val="00085A0B"/>
    <w:rsid w:val="000863B7"/>
    <w:rsid w:val="00087C75"/>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7292"/>
    <w:rsid w:val="000A12BC"/>
    <w:rsid w:val="000A1306"/>
    <w:rsid w:val="000A1521"/>
    <w:rsid w:val="000A2FC1"/>
    <w:rsid w:val="000A3A57"/>
    <w:rsid w:val="000A5408"/>
    <w:rsid w:val="000A64CB"/>
    <w:rsid w:val="000A6510"/>
    <w:rsid w:val="000B0BB4"/>
    <w:rsid w:val="000B1045"/>
    <w:rsid w:val="000B1BAE"/>
    <w:rsid w:val="000B29B3"/>
    <w:rsid w:val="000B3889"/>
    <w:rsid w:val="000B3B3B"/>
    <w:rsid w:val="000B42E7"/>
    <w:rsid w:val="000B622A"/>
    <w:rsid w:val="000B6E91"/>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B18"/>
    <w:rsid w:val="00110107"/>
    <w:rsid w:val="00110173"/>
    <w:rsid w:val="00110531"/>
    <w:rsid w:val="00110794"/>
    <w:rsid w:val="00112524"/>
    <w:rsid w:val="00113769"/>
    <w:rsid w:val="00114085"/>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1FCC"/>
    <w:rsid w:val="00135C24"/>
    <w:rsid w:val="00136389"/>
    <w:rsid w:val="00136A1A"/>
    <w:rsid w:val="00136A96"/>
    <w:rsid w:val="001376B6"/>
    <w:rsid w:val="00140A35"/>
    <w:rsid w:val="00141462"/>
    <w:rsid w:val="00142F4D"/>
    <w:rsid w:val="00143428"/>
    <w:rsid w:val="0014412C"/>
    <w:rsid w:val="00144713"/>
    <w:rsid w:val="00144CC3"/>
    <w:rsid w:val="00147D9F"/>
    <w:rsid w:val="0015009D"/>
    <w:rsid w:val="001519FB"/>
    <w:rsid w:val="00151B18"/>
    <w:rsid w:val="00151BF2"/>
    <w:rsid w:val="00151C68"/>
    <w:rsid w:val="001520DD"/>
    <w:rsid w:val="00152374"/>
    <w:rsid w:val="00153A62"/>
    <w:rsid w:val="00153CD7"/>
    <w:rsid w:val="00154023"/>
    <w:rsid w:val="001550DF"/>
    <w:rsid w:val="00155686"/>
    <w:rsid w:val="00155CEA"/>
    <w:rsid w:val="00156153"/>
    <w:rsid w:val="001563D9"/>
    <w:rsid w:val="00156428"/>
    <w:rsid w:val="001568F4"/>
    <w:rsid w:val="001572CE"/>
    <w:rsid w:val="001603F7"/>
    <w:rsid w:val="00160C95"/>
    <w:rsid w:val="00162777"/>
    <w:rsid w:val="00163031"/>
    <w:rsid w:val="0016337E"/>
    <w:rsid w:val="00164691"/>
    <w:rsid w:val="00164BD2"/>
    <w:rsid w:val="00165AC3"/>
    <w:rsid w:val="001665F3"/>
    <w:rsid w:val="001667B6"/>
    <w:rsid w:val="001668D4"/>
    <w:rsid w:val="00166A09"/>
    <w:rsid w:val="00167809"/>
    <w:rsid w:val="00167F30"/>
    <w:rsid w:val="00171844"/>
    <w:rsid w:val="0017206E"/>
    <w:rsid w:val="0017385A"/>
    <w:rsid w:val="00173DD3"/>
    <w:rsid w:val="00175448"/>
    <w:rsid w:val="001757AF"/>
    <w:rsid w:val="00175825"/>
    <w:rsid w:val="0017640A"/>
    <w:rsid w:val="0017666F"/>
    <w:rsid w:val="00176D64"/>
    <w:rsid w:val="00176E2C"/>
    <w:rsid w:val="00177DBF"/>
    <w:rsid w:val="0018238D"/>
    <w:rsid w:val="00182417"/>
    <w:rsid w:val="0018242F"/>
    <w:rsid w:val="00182919"/>
    <w:rsid w:val="00182955"/>
    <w:rsid w:val="0018414E"/>
    <w:rsid w:val="00185718"/>
    <w:rsid w:val="001857AF"/>
    <w:rsid w:val="00185BBE"/>
    <w:rsid w:val="00186606"/>
    <w:rsid w:val="00190B6D"/>
    <w:rsid w:val="00191E75"/>
    <w:rsid w:val="00192022"/>
    <w:rsid w:val="0019301D"/>
    <w:rsid w:val="0019454F"/>
    <w:rsid w:val="00194700"/>
    <w:rsid w:val="00194719"/>
    <w:rsid w:val="00194774"/>
    <w:rsid w:val="00195CE0"/>
    <w:rsid w:val="001978B6"/>
    <w:rsid w:val="00197C9F"/>
    <w:rsid w:val="001A098F"/>
    <w:rsid w:val="001A10CB"/>
    <w:rsid w:val="001A110B"/>
    <w:rsid w:val="001A149A"/>
    <w:rsid w:val="001A2AB7"/>
    <w:rsid w:val="001A43CD"/>
    <w:rsid w:val="001A4A9C"/>
    <w:rsid w:val="001A64EE"/>
    <w:rsid w:val="001A6B88"/>
    <w:rsid w:val="001A6C33"/>
    <w:rsid w:val="001A6E68"/>
    <w:rsid w:val="001B1DD8"/>
    <w:rsid w:val="001B3131"/>
    <w:rsid w:val="001B4B2F"/>
    <w:rsid w:val="001B69F9"/>
    <w:rsid w:val="001B7C00"/>
    <w:rsid w:val="001C09D2"/>
    <w:rsid w:val="001C1620"/>
    <w:rsid w:val="001C18B2"/>
    <w:rsid w:val="001C1994"/>
    <w:rsid w:val="001C2933"/>
    <w:rsid w:val="001C5EEE"/>
    <w:rsid w:val="001C65B9"/>
    <w:rsid w:val="001C6A73"/>
    <w:rsid w:val="001C73C2"/>
    <w:rsid w:val="001C7B6C"/>
    <w:rsid w:val="001D0474"/>
    <w:rsid w:val="001D06C2"/>
    <w:rsid w:val="001D139C"/>
    <w:rsid w:val="001D141D"/>
    <w:rsid w:val="001D1EBD"/>
    <w:rsid w:val="001D2184"/>
    <w:rsid w:val="001D24F3"/>
    <w:rsid w:val="001D2678"/>
    <w:rsid w:val="001D2C98"/>
    <w:rsid w:val="001D2DC4"/>
    <w:rsid w:val="001D3EAD"/>
    <w:rsid w:val="001D4873"/>
    <w:rsid w:val="001D6A48"/>
    <w:rsid w:val="001E1043"/>
    <w:rsid w:val="001E10E1"/>
    <w:rsid w:val="001E175F"/>
    <w:rsid w:val="001E19F7"/>
    <w:rsid w:val="001E2669"/>
    <w:rsid w:val="001E3FB9"/>
    <w:rsid w:val="001E4083"/>
    <w:rsid w:val="001E4F10"/>
    <w:rsid w:val="001E5588"/>
    <w:rsid w:val="001E56CB"/>
    <w:rsid w:val="001E56FC"/>
    <w:rsid w:val="001E582D"/>
    <w:rsid w:val="001E6318"/>
    <w:rsid w:val="001E68EE"/>
    <w:rsid w:val="001F0AD5"/>
    <w:rsid w:val="001F0C0A"/>
    <w:rsid w:val="001F0D33"/>
    <w:rsid w:val="001F1509"/>
    <w:rsid w:val="001F18E7"/>
    <w:rsid w:val="001F3A75"/>
    <w:rsid w:val="001F3A9D"/>
    <w:rsid w:val="001F3FDB"/>
    <w:rsid w:val="001F6545"/>
    <w:rsid w:val="001F66B5"/>
    <w:rsid w:val="001F6F36"/>
    <w:rsid w:val="001F76FD"/>
    <w:rsid w:val="00200227"/>
    <w:rsid w:val="002004C0"/>
    <w:rsid w:val="00200B8C"/>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DF5"/>
    <w:rsid w:val="00213213"/>
    <w:rsid w:val="0021332F"/>
    <w:rsid w:val="0021457F"/>
    <w:rsid w:val="0021505D"/>
    <w:rsid w:val="0021604B"/>
    <w:rsid w:val="00216545"/>
    <w:rsid w:val="00220227"/>
    <w:rsid w:val="0022176B"/>
    <w:rsid w:val="00222760"/>
    <w:rsid w:val="00222782"/>
    <w:rsid w:val="00222FAA"/>
    <w:rsid w:val="0022360A"/>
    <w:rsid w:val="002268B2"/>
    <w:rsid w:val="00226B82"/>
    <w:rsid w:val="00227103"/>
    <w:rsid w:val="00230249"/>
    <w:rsid w:val="00230D5F"/>
    <w:rsid w:val="00231BE3"/>
    <w:rsid w:val="0023231E"/>
    <w:rsid w:val="00232C51"/>
    <w:rsid w:val="00233414"/>
    <w:rsid w:val="00233D69"/>
    <w:rsid w:val="00234E82"/>
    <w:rsid w:val="00235C9D"/>
    <w:rsid w:val="0024054D"/>
    <w:rsid w:val="00240F87"/>
    <w:rsid w:val="002412D4"/>
    <w:rsid w:val="0024220D"/>
    <w:rsid w:val="00242BD3"/>
    <w:rsid w:val="00242C02"/>
    <w:rsid w:val="00242E55"/>
    <w:rsid w:val="00243155"/>
    <w:rsid w:val="00246E87"/>
    <w:rsid w:val="00247783"/>
    <w:rsid w:val="0025172C"/>
    <w:rsid w:val="00252CF8"/>
    <w:rsid w:val="00252E2E"/>
    <w:rsid w:val="00253210"/>
    <w:rsid w:val="0025353E"/>
    <w:rsid w:val="00253DE1"/>
    <w:rsid w:val="0025425F"/>
    <w:rsid w:val="00254468"/>
    <w:rsid w:val="0025465C"/>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44D"/>
    <w:rsid w:val="00272503"/>
    <w:rsid w:val="00272F3A"/>
    <w:rsid w:val="002736FD"/>
    <w:rsid w:val="00273941"/>
    <w:rsid w:val="00273D91"/>
    <w:rsid w:val="002743E2"/>
    <w:rsid w:val="00274410"/>
    <w:rsid w:val="0027447E"/>
    <w:rsid w:val="0027520A"/>
    <w:rsid w:val="00275419"/>
    <w:rsid w:val="002758B7"/>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184B"/>
    <w:rsid w:val="002A3C9D"/>
    <w:rsid w:val="002A5403"/>
    <w:rsid w:val="002A6C9F"/>
    <w:rsid w:val="002A77F3"/>
    <w:rsid w:val="002B14F0"/>
    <w:rsid w:val="002B1F0F"/>
    <w:rsid w:val="002B4C1B"/>
    <w:rsid w:val="002B53D3"/>
    <w:rsid w:val="002B6202"/>
    <w:rsid w:val="002C014C"/>
    <w:rsid w:val="002C060C"/>
    <w:rsid w:val="002C0BA6"/>
    <w:rsid w:val="002C12A7"/>
    <w:rsid w:val="002C2B6F"/>
    <w:rsid w:val="002C314F"/>
    <w:rsid w:val="002C3B89"/>
    <w:rsid w:val="002C4AD1"/>
    <w:rsid w:val="002C4B78"/>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1B3"/>
    <w:rsid w:val="002E1218"/>
    <w:rsid w:val="002E28F3"/>
    <w:rsid w:val="002E3907"/>
    <w:rsid w:val="002E7615"/>
    <w:rsid w:val="002E77BA"/>
    <w:rsid w:val="002E7A2A"/>
    <w:rsid w:val="002E7F16"/>
    <w:rsid w:val="002F1425"/>
    <w:rsid w:val="002F2EC8"/>
    <w:rsid w:val="002F4CE2"/>
    <w:rsid w:val="002F56A0"/>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2B"/>
    <w:rsid w:val="00316C8C"/>
    <w:rsid w:val="003174C2"/>
    <w:rsid w:val="00317CE4"/>
    <w:rsid w:val="00320DF4"/>
    <w:rsid w:val="003219A9"/>
    <w:rsid w:val="00321B00"/>
    <w:rsid w:val="00321C54"/>
    <w:rsid w:val="00321DCD"/>
    <w:rsid w:val="0032261F"/>
    <w:rsid w:val="003237A2"/>
    <w:rsid w:val="00324729"/>
    <w:rsid w:val="00325C8B"/>
    <w:rsid w:val="00327011"/>
    <w:rsid w:val="00332432"/>
    <w:rsid w:val="00334127"/>
    <w:rsid w:val="00335CA6"/>
    <w:rsid w:val="003365F0"/>
    <w:rsid w:val="00336C50"/>
    <w:rsid w:val="00337388"/>
    <w:rsid w:val="0034007D"/>
    <w:rsid w:val="00340B53"/>
    <w:rsid w:val="003412F5"/>
    <w:rsid w:val="00342321"/>
    <w:rsid w:val="003433E5"/>
    <w:rsid w:val="00344082"/>
    <w:rsid w:val="003452B1"/>
    <w:rsid w:val="0034582C"/>
    <w:rsid w:val="00345916"/>
    <w:rsid w:val="00345CAC"/>
    <w:rsid w:val="00345DA5"/>
    <w:rsid w:val="0034789E"/>
    <w:rsid w:val="003501DA"/>
    <w:rsid w:val="003503E2"/>
    <w:rsid w:val="00351DC1"/>
    <w:rsid w:val="003534EE"/>
    <w:rsid w:val="00357A6F"/>
    <w:rsid w:val="003600A2"/>
    <w:rsid w:val="003612D8"/>
    <w:rsid w:val="003637B6"/>
    <w:rsid w:val="00363AEA"/>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C64"/>
    <w:rsid w:val="003A07FF"/>
    <w:rsid w:val="003A08B8"/>
    <w:rsid w:val="003A146E"/>
    <w:rsid w:val="003A26CD"/>
    <w:rsid w:val="003A37F7"/>
    <w:rsid w:val="003A54E9"/>
    <w:rsid w:val="003A5E7C"/>
    <w:rsid w:val="003A78C7"/>
    <w:rsid w:val="003A7E9A"/>
    <w:rsid w:val="003B15FE"/>
    <w:rsid w:val="003B1C41"/>
    <w:rsid w:val="003B2E16"/>
    <w:rsid w:val="003B46AD"/>
    <w:rsid w:val="003B482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19DC"/>
    <w:rsid w:val="003D37D4"/>
    <w:rsid w:val="003D47A7"/>
    <w:rsid w:val="003D56B5"/>
    <w:rsid w:val="003D5DCC"/>
    <w:rsid w:val="003D6B84"/>
    <w:rsid w:val="003D759F"/>
    <w:rsid w:val="003E0046"/>
    <w:rsid w:val="003E1A49"/>
    <w:rsid w:val="003E2AD0"/>
    <w:rsid w:val="003E2D01"/>
    <w:rsid w:val="003E330E"/>
    <w:rsid w:val="003E3AE3"/>
    <w:rsid w:val="003E4516"/>
    <w:rsid w:val="003E525C"/>
    <w:rsid w:val="003E5733"/>
    <w:rsid w:val="003E5E27"/>
    <w:rsid w:val="003E6CD4"/>
    <w:rsid w:val="003E6FD2"/>
    <w:rsid w:val="003E788F"/>
    <w:rsid w:val="003E7A97"/>
    <w:rsid w:val="003E7D3A"/>
    <w:rsid w:val="003F0950"/>
    <w:rsid w:val="003F09C9"/>
    <w:rsid w:val="003F4C37"/>
    <w:rsid w:val="003F67AE"/>
    <w:rsid w:val="003F6BBB"/>
    <w:rsid w:val="003F719F"/>
    <w:rsid w:val="0040033D"/>
    <w:rsid w:val="004007E1"/>
    <w:rsid w:val="00400B1F"/>
    <w:rsid w:val="00402CD9"/>
    <w:rsid w:val="00402EE6"/>
    <w:rsid w:val="00403184"/>
    <w:rsid w:val="004032D2"/>
    <w:rsid w:val="004034F6"/>
    <w:rsid w:val="00403C4F"/>
    <w:rsid w:val="004058B4"/>
    <w:rsid w:val="00405C45"/>
    <w:rsid w:val="004062EF"/>
    <w:rsid w:val="004062F0"/>
    <w:rsid w:val="00406CB5"/>
    <w:rsid w:val="00406FC6"/>
    <w:rsid w:val="00410B8F"/>
    <w:rsid w:val="00412057"/>
    <w:rsid w:val="004126C1"/>
    <w:rsid w:val="00413BA5"/>
    <w:rsid w:val="00414FD0"/>
    <w:rsid w:val="00417E93"/>
    <w:rsid w:val="00422A2A"/>
    <w:rsid w:val="00424BB4"/>
    <w:rsid w:val="004258CD"/>
    <w:rsid w:val="004261D2"/>
    <w:rsid w:val="004303D1"/>
    <w:rsid w:val="00432CF7"/>
    <w:rsid w:val="00433C0A"/>
    <w:rsid w:val="004349FA"/>
    <w:rsid w:val="004406BD"/>
    <w:rsid w:val="00442FBE"/>
    <w:rsid w:val="004433B1"/>
    <w:rsid w:val="00443571"/>
    <w:rsid w:val="00443B6C"/>
    <w:rsid w:val="004444E3"/>
    <w:rsid w:val="004447FD"/>
    <w:rsid w:val="00445032"/>
    <w:rsid w:val="004450CB"/>
    <w:rsid w:val="00446967"/>
    <w:rsid w:val="00446AB6"/>
    <w:rsid w:val="00450EEE"/>
    <w:rsid w:val="004512B2"/>
    <w:rsid w:val="004514B6"/>
    <w:rsid w:val="004528EE"/>
    <w:rsid w:val="00453360"/>
    <w:rsid w:val="00456409"/>
    <w:rsid w:val="004569C6"/>
    <w:rsid w:val="00456ADC"/>
    <w:rsid w:val="0045768F"/>
    <w:rsid w:val="00457769"/>
    <w:rsid w:val="0046087C"/>
    <w:rsid w:val="004627AE"/>
    <w:rsid w:val="0046298E"/>
    <w:rsid w:val="004647BB"/>
    <w:rsid w:val="0046482B"/>
    <w:rsid w:val="004648E0"/>
    <w:rsid w:val="00472043"/>
    <w:rsid w:val="00472F56"/>
    <w:rsid w:val="0047335E"/>
    <w:rsid w:val="00473CA1"/>
    <w:rsid w:val="00474E76"/>
    <w:rsid w:val="0047572C"/>
    <w:rsid w:val="00475748"/>
    <w:rsid w:val="00476407"/>
    <w:rsid w:val="00476921"/>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A688E"/>
    <w:rsid w:val="004B01B1"/>
    <w:rsid w:val="004B08D1"/>
    <w:rsid w:val="004B0B17"/>
    <w:rsid w:val="004B0F75"/>
    <w:rsid w:val="004B10E6"/>
    <w:rsid w:val="004B198F"/>
    <w:rsid w:val="004B357D"/>
    <w:rsid w:val="004B46D0"/>
    <w:rsid w:val="004B50F1"/>
    <w:rsid w:val="004B57B0"/>
    <w:rsid w:val="004B60CE"/>
    <w:rsid w:val="004B61C9"/>
    <w:rsid w:val="004C02BB"/>
    <w:rsid w:val="004C0B26"/>
    <w:rsid w:val="004C12FE"/>
    <w:rsid w:val="004C1D57"/>
    <w:rsid w:val="004C2F7C"/>
    <w:rsid w:val="004C34F8"/>
    <w:rsid w:val="004C375F"/>
    <w:rsid w:val="004C482F"/>
    <w:rsid w:val="004C49C9"/>
    <w:rsid w:val="004C627F"/>
    <w:rsid w:val="004C76C1"/>
    <w:rsid w:val="004C7DDE"/>
    <w:rsid w:val="004D03A3"/>
    <w:rsid w:val="004D08E5"/>
    <w:rsid w:val="004D0D1A"/>
    <w:rsid w:val="004D169F"/>
    <w:rsid w:val="004D18CF"/>
    <w:rsid w:val="004D30CE"/>
    <w:rsid w:val="004D4071"/>
    <w:rsid w:val="004D421A"/>
    <w:rsid w:val="004D4D0C"/>
    <w:rsid w:val="004D6144"/>
    <w:rsid w:val="004D678F"/>
    <w:rsid w:val="004E054F"/>
    <w:rsid w:val="004E1264"/>
    <w:rsid w:val="004E2CBC"/>
    <w:rsid w:val="004E3DD4"/>
    <w:rsid w:val="004E5C1A"/>
    <w:rsid w:val="004E6C8C"/>
    <w:rsid w:val="004E6CC7"/>
    <w:rsid w:val="004E776F"/>
    <w:rsid w:val="004E7FC4"/>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63A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A8E"/>
    <w:rsid w:val="005266BD"/>
    <w:rsid w:val="0052772D"/>
    <w:rsid w:val="00530442"/>
    <w:rsid w:val="00534AF0"/>
    <w:rsid w:val="00535060"/>
    <w:rsid w:val="005356F1"/>
    <w:rsid w:val="00535738"/>
    <w:rsid w:val="00536D25"/>
    <w:rsid w:val="005409EB"/>
    <w:rsid w:val="00540F30"/>
    <w:rsid w:val="00541DD2"/>
    <w:rsid w:val="00543A63"/>
    <w:rsid w:val="00543AB5"/>
    <w:rsid w:val="005457CF"/>
    <w:rsid w:val="00545976"/>
    <w:rsid w:val="0054660F"/>
    <w:rsid w:val="00547628"/>
    <w:rsid w:val="0055116F"/>
    <w:rsid w:val="005533C3"/>
    <w:rsid w:val="005536E6"/>
    <w:rsid w:val="00553AC3"/>
    <w:rsid w:val="00553DBA"/>
    <w:rsid w:val="00554335"/>
    <w:rsid w:val="00555631"/>
    <w:rsid w:val="0055621D"/>
    <w:rsid w:val="0055764D"/>
    <w:rsid w:val="00557EB4"/>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7506"/>
    <w:rsid w:val="00581FF0"/>
    <w:rsid w:val="005825FC"/>
    <w:rsid w:val="00583437"/>
    <w:rsid w:val="00583CE0"/>
    <w:rsid w:val="00584B4A"/>
    <w:rsid w:val="00584DCB"/>
    <w:rsid w:val="00585A16"/>
    <w:rsid w:val="00585B98"/>
    <w:rsid w:val="005863D8"/>
    <w:rsid w:val="005865B2"/>
    <w:rsid w:val="00586812"/>
    <w:rsid w:val="00587542"/>
    <w:rsid w:val="00587BC2"/>
    <w:rsid w:val="005918E4"/>
    <w:rsid w:val="00591C6D"/>
    <w:rsid w:val="00591C71"/>
    <w:rsid w:val="00592392"/>
    <w:rsid w:val="00592484"/>
    <w:rsid w:val="0059283D"/>
    <w:rsid w:val="005928D3"/>
    <w:rsid w:val="00592D5D"/>
    <w:rsid w:val="0059320A"/>
    <w:rsid w:val="005955C0"/>
    <w:rsid w:val="00595B68"/>
    <w:rsid w:val="00595EAA"/>
    <w:rsid w:val="0059672B"/>
    <w:rsid w:val="005A0C60"/>
    <w:rsid w:val="005A1A3A"/>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4DB8"/>
    <w:rsid w:val="005D5912"/>
    <w:rsid w:val="005D794C"/>
    <w:rsid w:val="005D7A9F"/>
    <w:rsid w:val="005D7AA2"/>
    <w:rsid w:val="005E0B65"/>
    <w:rsid w:val="005E2154"/>
    <w:rsid w:val="005E2FC7"/>
    <w:rsid w:val="005E37B9"/>
    <w:rsid w:val="005E422B"/>
    <w:rsid w:val="005E427F"/>
    <w:rsid w:val="005E4353"/>
    <w:rsid w:val="005E4574"/>
    <w:rsid w:val="005E4BBE"/>
    <w:rsid w:val="005E4C97"/>
    <w:rsid w:val="005E5014"/>
    <w:rsid w:val="005E684F"/>
    <w:rsid w:val="005E77BA"/>
    <w:rsid w:val="005F0112"/>
    <w:rsid w:val="005F03E3"/>
    <w:rsid w:val="005F0829"/>
    <w:rsid w:val="005F164D"/>
    <w:rsid w:val="005F32BE"/>
    <w:rsid w:val="005F34FB"/>
    <w:rsid w:val="005F39A0"/>
    <w:rsid w:val="005F61F3"/>
    <w:rsid w:val="005F6B68"/>
    <w:rsid w:val="005F6C7A"/>
    <w:rsid w:val="005F6F2E"/>
    <w:rsid w:val="005F7D85"/>
    <w:rsid w:val="00601A1F"/>
    <w:rsid w:val="00602655"/>
    <w:rsid w:val="00603B68"/>
    <w:rsid w:val="00605297"/>
    <w:rsid w:val="00605B97"/>
    <w:rsid w:val="00605CB9"/>
    <w:rsid w:val="006065BF"/>
    <w:rsid w:val="00606FEF"/>
    <w:rsid w:val="00607C00"/>
    <w:rsid w:val="00610430"/>
    <w:rsid w:val="006115B9"/>
    <w:rsid w:val="00611858"/>
    <w:rsid w:val="00614EB1"/>
    <w:rsid w:val="00614F67"/>
    <w:rsid w:val="00615277"/>
    <w:rsid w:val="00615519"/>
    <w:rsid w:val="00615CED"/>
    <w:rsid w:val="00615CFC"/>
    <w:rsid w:val="00617A92"/>
    <w:rsid w:val="00620CEE"/>
    <w:rsid w:val="00622558"/>
    <w:rsid w:val="00622D5F"/>
    <w:rsid w:val="00622EAE"/>
    <w:rsid w:val="0062334E"/>
    <w:rsid w:val="00623982"/>
    <w:rsid w:val="00623A4F"/>
    <w:rsid w:val="00624D17"/>
    <w:rsid w:val="00624F56"/>
    <w:rsid w:val="00626594"/>
    <w:rsid w:val="00630442"/>
    <w:rsid w:val="0063048C"/>
    <w:rsid w:val="00630495"/>
    <w:rsid w:val="00630FCD"/>
    <w:rsid w:val="006319C2"/>
    <w:rsid w:val="00631FF6"/>
    <w:rsid w:val="006326AB"/>
    <w:rsid w:val="0063292C"/>
    <w:rsid w:val="0063312C"/>
    <w:rsid w:val="00633DBC"/>
    <w:rsid w:val="00634CA3"/>
    <w:rsid w:val="006350BE"/>
    <w:rsid w:val="006351AD"/>
    <w:rsid w:val="00635A2A"/>
    <w:rsid w:val="00636A63"/>
    <w:rsid w:val="00636C79"/>
    <w:rsid w:val="00636DCB"/>
    <w:rsid w:val="00636DE3"/>
    <w:rsid w:val="00636F89"/>
    <w:rsid w:val="0063700D"/>
    <w:rsid w:val="00637470"/>
    <w:rsid w:val="00637E13"/>
    <w:rsid w:val="0064002A"/>
    <w:rsid w:val="00640D89"/>
    <w:rsid w:val="00640F58"/>
    <w:rsid w:val="00641203"/>
    <w:rsid w:val="00641776"/>
    <w:rsid w:val="0064656E"/>
    <w:rsid w:val="00646DF5"/>
    <w:rsid w:val="00650397"/>
    <w:rsid w:val="006507E8"/>
    <w:rsid w:val="00650C73"/>
    <w:rsid w:val="00651143"/>
    <w:rsid w:val="00651720"/>
    <w:rsid w:val="00651959"/>
    <w:rsid w:val="00653067"/>
    <w:rsid w:val="00653149"/>
    <w:rsid w:val="006531E4"/>
    <w:rsid w:val="00653559"/>
    <w:rsid w:val="00654505"/>
    <w:rsid w:val="006575ED"/>
    <w:rsid w:val="006578FD"/>
    <w:rsid w:val="00660060"/>
    <w:rsid w:val="006609AA"/>
    <w:rsid w:val="00662EDE"/>
    <w:rsid w:val="00664C9F"/>
    <w:rsid w:val="00666277"/>
    <w:rsid w:val="00666548"/>
    <w:rsid w:val="00666A71"/>
    <w:rsid w:val="00667537"/>
    <w:rsid w:val="00670865"/>
    <w:rsid w:val="006715D6"/>
    <w:rsid w:val="00671AED"/>
    <w:rsid w:val="006725B5"/>
    <w:rsid w:val="00673521"/>
    <w:rsid w:val="00673767"/>
    <w:rsid w:val="00673F39"/>
    <w:rsid w:val="006746AC"/>
    <w:rsid w:val="0067571B"/>
    <w:rsid w:val="00675E37"/>
    <w:rsid w:val="0067663E"/>
    <w:rsid w:val="00676EAF"/>
    <w:rsid w:val="006777FD"/>
    <w:rsid w:val="00677850"/>
    <w:rsid w:val="00680657"/>
    <w:rsid w:val="00680BD9"/>
    <w:rsid w:val="00681B4A"/>
    <w:rsid w:val="00681D07"/>
    <w:rsid w:val="00681EDA"/>
    <w:rsid w:val="00682017"/>
    <w:rsid w:val="006824E4"/>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1E7"/>
    <w:rsid w:val="00695815"/>
    <w:rsid w:val="0069581B"/>
    <w:rsid w:val="00696601"/>
    <w:rsid w:val="006977FA"/>
    <w:rsid w:val="006A042E"/>
    <w:rsid w:val="006A20FB"/>
    <w:rsid w:val="006A339D"/>
    <w:rsid w:val="006A4462"/>
    <w:rsid w:val="006A5B59"/>
    <w:rsid w:val="006A6A14"/>
    <w:rsid w:val="006A6EC4"/>
    <w:rsid w:val="006A753A"/>
    <w:rsid w:val="006A777C"/>
    <w:rsid w:val="006A7C46"/>
    <w:rsid w:val="006B0F76"/>
    <w:rsid w:val="006B1F20"/>
    <w:rsid w:val="006B2545"/>
    <w:rsid w:val="006B398A"/>
    <w:rsid w:val="006B3E04"/>
    <w:rsid w:val="006B4024"/>
    <w:rsid w:val="006B47D7"/>
    <w:rsid w:val="006B499D"/>
    <w:rsid w:val="006B5041"/>
    <w:rsid w:val="006B643D"/>
    <w:rsid w:val="006B72CB"/>
    <w:rsid w:val="006B7628"/>
    <w:rsid w:val="006B79A4"/>
    <w:rsid w:val="006C1254"/>
    <w:rsid w:val="006C2DC5"/>
    <w:rsid w:val="006C480B"/>
    <w:rsid w:val="006C570B"/>
    <w:rsid w:val="006C572E"/>
    <w:rsid w:val="006C5997"/>
    <w:rsid w:val="006C5CD2"/>
    <w:rsid w:val="006D0636"/>
    <w:rsid w:val="006D06DC"/>
    <w:rsid w:val="006D6E46"/>
    <w:rsid w:val="006D7FA8"/>
    <w:rsid w:val="006E4601"/>
    <w:rsid w:val="006E55FA"/>
    <w:rsid w:val="006E5B86"/>
    <w:rsid w:val="006E63FF"/>
    <w:rsid w:val="006E652D"/>
    <w:rsid w:val="006E7572"/>
    <w:rsid w:val="006E782D"/>
    <w:rsid w:val="006F2F22"/>
    <w:rsid w:val="006F434A"/>
    <w:rsid w:val="006F6777"/>
    <w:rsid w:val="006F7974"/>
    <w:rsid w:val="006F7A8D"/>
    <w:rsid w:val="006F7CA2"/>
    <w:rsid w:val="00700A60"/>
    <w:rsid w:val="00705027"/>
    <w:rsid w:val="0070707E"/>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2D8"/>
    <w:rsid w:val="00733416"/>
    <w:rsid w:val="0073377E"/>
    <w:rsid w:val="00733E05"/>
    <w:rsid w:val="00735C8A"/>
    <w:rsid w:val="00735FE2"/>
    <w:rsid w:val="0073719A"/>
    <w:rsid w:val="00737C62"/>
    <w:rsid w:val="00737C91"/>
    <w:rsid w:val="0074130E"/>
    <w:rsid w:val="00741BC4"/>
    <w:rsid w:val="007435E3"/>
    <w:rsid w:val="00743937"/>
    <w:rsid w:val="00744889"/>
    <w:rsid w:val="00744910"/>
    <w:rsid w:val="00745BA4"/>
    <w:rsid w:val="00745E8A"/>
    <w:rsid w:val="007462E8"/>
    <w:rsid w:val="00746F2D"/>
    <w:rsid w:val="0074734F"/>
    <w:rsid w:val="00750177"/>
    <w:rsid w:val="0075057F"/>
    <w:rsid w:val="0075066D"/>
    <w:rsid w:val="00752227"/>
    <w:rsid w:val="00752AEC"/>
    <w:rsid w:val="00752FBA"/>
    <w:rsid w:val="00753324"/>
    <w:rsid w:val="0075458D"/>
    <w:rsid w:val="007554A9"/>
    <w:rsid w:val="007556F5"/>
    <w:rsid w:val="00757105"/>
    <w:rsid w:val="00757B82"/>
    <w:rsid w:val="0076281A"/>
    <w:rsid w:val="00762ADE"/>
    <w:rsid w:val="0076365D"/>
    <w:rsid w:val="00763DB3"/>
    <w:rsid w:val="007642DC"/>
    <w:rsid w:val="007660E6"/>
    <w:rsid w:val="007661A9"/>
    <w:rsid w:val="007662C0"/>
    <w:rsid w:val="0076742F"/>
    <w:rsid w:val="00767712"/>
    <w:rsid w:val="007711D0"/>
    <w:rsid w:val="007712E6"/>
    <w:rsid w:val="00771D3D"/>
    <w:rsid w:val="007728AB"/>
    <w:rsid w:val="00772CFE"/>
    <w:rsid w:val="00772E46"/>
    <w:rsid w:val="00772F9C"/>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3A9"/>
    <w:rsid w:val="00795460"/>
    <w:rsid w:val="00796CF7"/>
    <w:rsid w:val="007A0313"/>
    <w:rsid w:val="007A0A83"/>
    <w:rsid w:val="007A4BB3"/>
    <w:rsid w:val="007A6307"/>
    <w:rsid w:val="007A6822"/>
    <w:rsid w:val="007A724D"/>
    <w:rsid w:val="007A749D"/>
    <w:rsid w:val="007A7B37"/>
    <w:rsid w:val="007B024C"/>
    <w:rsid w:val="007B03E6"/>
    <w:rsid w:val="007B1C4C"/>
    <w:rsid w:val="007B2800"/>
    <w:rsid w:val="007B3666"/>
    <w:rsid w:val="007B38F7"/>
    <w:rsid w:val="007B40D4"/>
    <w:rsid w:val="007B4511"/>
    <w:rsid w:val="007B5C86"/>
    <w:rsid w:val="007B6071"/>
    <w:rsid w:val="007B6540"/>
    <w:rsid w:val="007B69A2"/>
    <w:rsid w:val="007C09C4"/>
    <w:rsid w:val="007C211E"/>
    <w:rsid w:val="007C25E9"/>
    <w:rsid w:val="007C2F78"/>
    <w:rsid w:val="007C34C5"/>
    <w:rsid w:val="007C4079"/>
    <w:rsid w:val="007C4827"/>
    <w:rsid w:val="007C4A20"/>
    <w:rsid w:val="007C7CB1"/>
    <w:rsid w:val="007D0B7F"/>
    <w:rsid w:val="007D1266"/>
    <w:rsid w:val="007D1B94"/>
    <w:rsid w:val="007D458D"/>
    <w:rsid w:val="007D4E8C"/>
    <w:rsid w:val="007D538F"/>
    <w:rsid w:val="007D6272"/>
    <w:rsid w:val="007D637B"/>
    <w:rsid w:val="007D668A"/>
    <w:rsid w:val="007E09E2"/>
    <w:rsid w:val="007E0FF5"/>
    <w:rsid w:val="007E1012"/>
    <w:rsid w:val="007E17CD"/>
    <w:rsid w:val="007E24ED"/>
    <w:rsid w:val="007E374B"/>
    <w:rsid w:val="007E39DE"/>
    <w:rsid w:val="007E3F53"/>
    <w:rsid w:val="007E7997"/>
    <w:rsid w:val="007E7B47"/>
    <w:rsid w:val="007F04EF"/>
    <w:rsid w:val="007F1034"/>
    <w:rsid w:val="007F342F"/>
    <w:rsid w:val="007F38D1"/>
    <w:rsid w:val="007F56BB"/>
    <w:rsid w:val="007F63CE"/>
    <w:rsid w:val="007F6940"/>
    <w:rsid w:val="007F6EA4"/>
    <w:rsid w:val="008002A5"/>
    <w:rsid w:val="0080050E"/>
    <w:rsid w:val="00801329"/>
    <w:rsid w:val="00801424"/>
    <w:rsid w:val="00801AA4"/>
    <w:rsid w:val="00801B7E"/>
    <w:rsid w:val="008021B9"/>
    <w:rsid w:val="00806E68"/>
    <w:rsid w:val="0080789F"/>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40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3D5"/>
    <w:rsid w:val="00855CA6"/>
    <w:rsid w:val="00860323"/>
    <w:rsid w:val="00860F4F"/>
    <w:rsid w:val="008610B9"/>
    <w:rsid w:val="00862656"/>
    <w:rsid w:val="00862A83"/>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547"/>
    <w:rsid w:val="008B170D"/>
    <w:rsid w:val="008B4941"/>
    <w:rsid w:val="008B4984"/>
    <w:rsid w:val="008B4F60"/>
    <w:rsid w:val="008B559A"/>
    <w:rsid w:val="008B598F"/>
    <w:rsid w:val="008B66A5"/>
    <w:rsid w:val="008B7F4A"/>
    <w:rsid w:val="008C0D2E"/>
    <w:rsid w:val="008C1056"/>
    <w:rsid w:val="008C2729"/>
    <w:rsid w:val="008C3347"/>
    <w:rsid w:val="008C33A4"/>
    <w:rsid w:val="008C39D6"/>
    <w:rsid w:val="008C3B96"/>
    <w:rsid w:val="008C43BF"/>
    <w:rsid w:val="008C532F"/>
    <w:rsid w:val="008C60C3"/>
    <w:rsid w:val="008C7736"/>
    <w:rsid w:val="008D0948"/>
    <w:rsid w:val="008D0E3C"/>
    <w:rsid w:val="008D1CEC"/>
    <w:rsid w:val="008D311C"/>
    <w:rsid w:val="008D31D2"/>
    <w:rsid w:val="008D31DC"/>
    <w:rsid w:val="008D3438"/>
    <w:rsid w:val="008D3CC5"/>
    <w:rsid w:val="008D4E3D"/>
    <w:rsid w:val="008D564A"/>
    <w:rsid w:val="008D5E47"/>
    <w:rsid w:val="008D7D8C"/>
    <w:rsid w:val="008E004E"/>
    <w:rsid w:val="008E04FB"/>
    <w:rsid w:val="008E3E79"/>
    <w:rsid w:val="008E5282"/>
    <w:rsid w:val="008E5E2C"/>
    <w:rsid w:val="008E7212"/>
    <w:rsid w:val="008E78F1"/>
    <w:rsid w:val="008F03CE"/>
    <w:rsid w:val="008F075B"/>
    <w:rsid w:val="008F0E9E"/>
    <w:rsid w:val="008F2913"/>
    <w:rsid w:val="008F2A4E"/>
    <w:rsid w:val="008F2AE9"/>
    <w:rsid w:val="008F332B"/>
    <w:rsid w:val="008F52D0"/>
    <w:rsid w:val="008F58BB"/>
    <w:rsid w:val="008F6106"/>
    <w:rsid w:val="008F7164"/>
    <w:rsid w:val="008F791D"/>
    <w:rsid w:val="00900959"/>
    <w:rsid w:val="00901900"/>
    <w:rsid w:val="00901B7A"/>
    <w:rsid w:val="00901EE8"/>
    <w:rsid w:val="00901F6C"/>
    <w:rsid w:val="0090266B"/>
    <w:rsid w:val="00902F06"/>
    <w:rsid w:val="009035DB"/>
    <w:rsid w:val="00904671"/>
    <w:rsid w:val="00905BC5"/>
    <w:rsid w:val="009064AA"/>
    <w:rsid w:val="009069C6"/>
    <w:rsid w:val="009111A0"/>
    <w:rsid w:val="00912257"/>
    <w:rsid w:val="00913495"/>
    <w:rsid w:val="00913874"/>
    <w:rsid w:val="009163CC"/>
    <w:rsid w:val="0091674C"/>
    <w:rsid w:val="00916862"/>
    <w:rsid w:val="00916B2A"/>
    <w:rsid w:val="00916D96"/>
    <w:rsid w:val="009174F7"/>
    <w:rsid w:val="00917E76"/>
    <w:rsid w:val="00920167"/>
    <w:rsid w:val="009213C2"/>
    <w:rsid w:val="00921BB8"/>
    <w:rsid w:val="00921D28"/>
    <w:rsid w:val="00922034"/>
    <w:rsid w:val="0092266C"/>
    <w:rsid w:val="009241E8"/>
    <w:rsid w:val="00925956"/>
    <w:rsid w:val="00925A8F"/>
    <w:rsid w:val="00925D53"/>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11F3"/>
    <w:rsid w:val="00952124"/>
    <w:rsid w:val="009549E2"/>
    <w:rsid w:val="00956244"/>
    <w:rsid w:val="00956A06"/>
    <w:rsid w:val="00957435"/>
    <w:rsid w:val="009578D0"/>
    <w:rsid w:val="009600C6"/>
    <w:rsid w:val="00960D80"/>
    <w:rsid w:val="009621CE"/>
    <w:rsid w:val="009622BF"/>
    <w:rsid w:val="009642A3"/>
    <w:rsid w:val="009651B8"/>
    <w:rsid w:val="009653F3"/>
    <w:rsid w:val="0096549B"/>
    <w:rsid w:val="0096587A"/>
    <w:rsid w:val="009666E7"/>
    <w:rsid w:val="00967278"/>
    <w:rsid w:val="00971568"/>
    <w:rsid w:val="009728F2"/>
    <w:rsid w:val="00972BEF"/>
    <w:rsid w:val="00973BCF"/>
    <w:rsid w:val="009744BC"/>
    <w:rsid w:val="00974E60"/>
    <w:rsid w:val="00975896"/>
    <w:rsid w:val="00975DF1"/>
    <w:rsid w:val="00976AFE"/>
    <w:rsid w:val="00977A67"/>
    <w:rsid w:val="00981A99"/>
    <w:rsid w:val="00983389"/>
    <w:rsid w:val="00983CEA"/>
    <w:rsid w:val="00984198"/>
    <w:rsid w:val="00984E04"/>
    <w:rsid w:val="009852D5"/>
    <w:rsid w:val="00986194"/>
    <w:rsid w:val="009861D2"/>
    <w:rsid w:val="00986E53"/>
    <w:rsid w:val="0098774F"/>
    <w:rsid w:val="00987CE5"/>
    <w:rsid w:val="00993CF0"/>
    <w:rsid w:val="0099428D"/>
    <w:rsid w:val="009949A7"/>
    <w:rsid w:val="00995CDC"/>
    <w:rsid w:val="009975CA"/>
    <w:rsid w:val="009A0C15"/>
    <w:rsid w:val="009A1088"/>
    <w:rsid w:val="009A14CB"/>
    <w:rsid w:val="009A27C7"/>
    <w:rsid w:val="009A2961"/>
    <w:rsid w:val="009A344A"/>
    <w:rsid w:val="009A41C7"/>
    <w:rsid w:val="009A4D5B"/>
    <w:rsid w:val="009A4F5A"/>
    <w:rsid w:val="009A5C6C"/>
    <w:rsid w:val="009A5C82"/>
    <w:rsid w:val="009A762D"/>
    <w:rsid w:val="009A7A47"/>
    <w:rsid w:val="009B010D"/>
    <w:rsid w:val="009B0AAB"/>
    <w:rsid w:val="009B0D3E"/>
    <w:rsid w:val="009B1711"/>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5A2A"/>
    <w:rsid w:val="009C5B27"/>
    <w:rsid w:val="009C64C5"/>
    <w:rsid w:val="009C6F87"/>
    <w:rsid w:val="009C7166"/>
    <w:rsid w:val="009C742C"/>
    <w:rsid w:val="009D0C14"/>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495"/>
    <w:rsid w:val="009E2C1A"/>
    <w:rsid w:val="009E2C4B"/>
    <w:rsid w:val="009E2E0C"/>
    <w:rsid w:val="009E3218"/>
    <w:rsid w:val="009E3248"/>
    <w:rsid w:val="009E3BED"/>
    <w:rsid w:val="009E4506"/>
    <w:rsid w:val="009E455E"/>
    <w:rsid w:val="009E487A"/>
    <w:rsid w:val="009E4892"/>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0B0C"/>
    <w:rsid w:val="00A01925"/>
    <w:rsid w:val="00A01DEB"/>
    <w:rsid w:val="00A0370D"/>
    <w:rsid w:val="00A06D32"/>
    <w:rsid w:val="00A07545"/>
    <w:rsid w:val="00A13947"/>
    <w:rsid w:val="00A13E2B"/>
    <w:rsid w:val="00A1562A"/>
    <w:rsid w:val="00A15901"/>
    <w:rsid w:val="00A1618E"/>
    <w:rsid w:val="00A161A1"/>
    <w:rsid w:val="00A20562"/>
    <w:rsid w:val="00A20F75"/>
    <w:rsid w:val="00A212B1"/>
    <w:rsid w:val="00A26637"/>
    <w:rsid w:val="00A26FFF"/>
    <w:rsid w:val="00A31273"/>
    <w:rsid w:val="00A316EC"/>
    <w:rsid w:val="00A31804"/>
    <w:rsid w:val="00A318AE"/>
    <w:rsid w:val="00A318C5"/>
    <w:rsid w:val="00A320BA"/>
    <w:rsid w:val="00A32283"/>
    <w:rsid w:val="00A32342"/>
    <w:rsid w:val="00A325EC"/>
    <w:rsid w:val="00A32B81"/>
    <w:rsid w:val="00A337E5"/>
    <w:rsid w:val="00A35139"/>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EDE"/>
    <w:rsid w:val="00A50595"/>
    <w:rsid w:val="00A50A39"/>
    <w:rsid w:val="00A51DF1"/>
    <w:rsid w:val="00A5275A"/>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434"/>
    <w:rsid w:val="00A72874"/>
    <w:rsid w:val="00A72E48"/>
    <w:rsid w:val="00A734D5"/>
    <w:rsid w:val="00A7359C"/>
    <w:rsid w:val="00A73616"/>
    <w:rsid w:val="00A74DD3"/>
    <w:rsid w:val="00A76648"/>
    <w:rsid w:val="00A76B21"/>
    <w:rsid w:val="00A76DF7"/>
    <w:rsid w:val="00A77523"/>
    <w:rsid w:val="00A83454"/>
    <w:rsid w:val="00A843FC"/>
    <w:rsid w:val="00A84DA5"/>
    <w:rsid w:val="00A85302"/>
    <w:rsid w:val="00A86119"/>
    <w:rsid w:val="00A8649F"/>
    <w:rsid w:val="00A86D25"/>
    <w:rsid w:val="00A86D6F"/>
    <w:rsid w:val="00A87161"/>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F1E"/>
    <w:rsid w:val="00AA0504"/>
    <w:rsid w:val="00AA0909"/>
    <w:rsid w:val="00AA0E00"/>
    <w:rsid w:val="00AA1C72"/>
    <w:rsid w:val="00AA1E8D"/>
    <w:rsid w:val="00AA1FDE"/>
    <w:rsid w:val="00AA2001"/>
    <w:rsid w:val="00AA291C"/>
    <w:rsid w:val="00AA30F6"/>
    <w:rsid w:val="00AA334D"/>
    <w:rsid w:val="00AA37B1"/>
    <w:rsid w:val="00AA47B8"/>
    <w:rsid w:val="00AA550A"/>
    <w:rsid w:val="00AA559F"/>
    <w:rsid w:val="00AA5E83"/>
    <w:rsid w:val="00AA5EBD"/>
    <w:rsid w:val="00AA628B"/>
    <w:rsid w:val="00AA6DE4"/>
    <w:rsid w:val="00AA7408"/>
    <w:rsid w:val="00AA7D1F"/>
    <w:rsid w:val="00AB02C6"/>
    <w:rsid w:val="00AB246B"/>
    <w:rsid w:val="00AB2E96"/>
    <w:rsid w:val="00AB36D4"/>
    <w:rsid w:val="00AB53AF"/>
    <w:rsid w:val="00AB5500"/>
    <w:rsid w:val="00AB5564"/>
    <w:rsid w:val="00AB57FB"/>
    <w:rsid w:val="00AB7348"/>
    <w:rsid w:val="00AB7DA0"/>
    <w:rsid w:val="00AC13B0"/>
    <w:rsid w:val="00AC2FD0"/>
    <w:rsid w:val="00AC3DBD"/>
    <w:rsid w:val="00AC5E85"/>
    <w:rsid w:val="00AD03D8"/>
    <w:rsid w:val="00AD0D5F"/>
    <w:rsid w:val="00AD34CF"/>
    <w:rsid w:val="00AD36C8"/>
    <w:rsid w:val="00AD37C9"/>
    <w:rsid w:val="00AD47D3"/>
    <w:rsid w:val="00AD652F"/>
    <w:rsid w:val="00AD7511"/>
    <w:rsid w:val="00AD7D05"/>
    <w:rsid w:val="00AE01F6"/>
    <w:rsid w:val="00AE0DE8"/>
    <w:rsid w:val="00AE16F0"/>
    <w:rsid w:val="00AE2328"/>
    <w:rsid w:val="00AE473C"/>
    <w:rsid w:val="00AE55E7"/>
    <w:rsid w:val="00AE6363"/>
    <w:rsid w:val="00AE6CD6"/>
    <w:rsid w:val="00AE7348"/>
    <w:rsid w:val="00AE7394"/>
    <w:rsid w:val="00AE7CD2"/>
    <w:rsid w:val="00AF0B77"/>
    <w:rsid w:val="00AF138B"/>
    <w:rsid w:val="00AF1487"/>
    <w:rsid w:val="00AF160F"/>
    <w:rsid w:val="00AF1919"/>
    <w:rsid w:val="00AF1B7B"/>
    <w:rsid w:val="00AF3291"/>
    <w:rsid w:val="00AF395E"/>
    <w:rsid w:val="00AF4D6A"/>
    <w:rsid w:val="00AF5D2C"/>
    <w:rsid w:val="00AF5D6E"/>
    <w:rsid w:val="00AF6318"/>
    <w:rsid w:val="00AF71D0"/>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156"/>
    <w:rsid w:val="00B2769B"/>
    <w:rsid w:val="00B307D2"/>
    <w:rsid w:val="00B3398B"/>
    <w:rsid w:val="00B33B1E"/>
    <w:rsid w:val="00B362D9"/>
    <w:rsid w:val="00B36B99"/>
    <w:rsid w:val="00B36D20"/>
    <w:rsid w:val="00B36F67"/>
    <w:rsid w:val="00B40633"/>
    <w:rsid w:val="00B44049"/>
    <w:rsid w:val="00B44171"/>
    <w:rsid w:val="00B44318"/>
    <w:rsid w:val="00B44C4B"/>
    <w:rsid w:val="00B477CB"/>
    <w:rsid w:val="00B508A7"/>
    <w:rsid w:val="00B52081"/>
    <w:rsid w:val="00B52695"/>
    <w:rsid w:val="00B53C99"/>
    <w:rsid w:val="00B545AF"/>
    <w:rsid w:val="00B54A4F"/>
    <w:rsid w:val="00B55B09"/>
    <w:rsid w:val="00B56711"/>
    <w:rsid w:val="00B57EF2"/>
    <w:rsid w:val="00B604F3"/>
    <w:rsid w:val="00B6101C"/>
    <w:rsid w:val="00B615ED"/>
    <w:rsid w:val="00B63A9D"/>
    <w:rsid w:val="00B64888"/>
    <w:rsid w:val="00B672E3"/>
    <w:rsid w:val="00B675F9"/>
    <w:rsid w:val="00B70849"/>
    <w:rsid w:val="00B71427"/>
    <w:rsid w:val="00B72C1C"/>
    <w:rsid w:val="00B73BB7"/>
    <w:rsid w:val="00B751C3"/>
    <w:rsid w:val="00B76C0D"/>
    <w:rsid w:val="00B77D0D"/>
    <w:rsid w:val="00B80817"/>
    <w:rsid w:val="00B827E6"/>
    <w:rsid w:val="00B82A28"/>
    <w:rsid w:val="00B82B8D"/>
    <w:rsid w:val="00B82C97"/>
    <w:rsid w:val="00B851D5"/>
    <w:rsid w:val="00B8525C"/>
    <w:rsid w:val="00B85B06"/>
    <w:rsid w:val="00B86E54"/>
    <w:rsid w:val="00B90558"/>
    <w:rsid w:val="00B92958"/>
    <w:rsid w:val="00B93957"/>
    <w:rsid w:val="00B9404A"/>
    <w:rsid w:val="00B94877"/>
    <w:rsid w:val="00B9491F"/>
    <w:rsid w:val="00B96043"/>
    <w:rsid w:val="00B96F5D"/>
    <w:rsid w:val="00BA02F9"/>
    <w:rsid w:val="00BA1987"/>
    <w:rsid w:val="00BA1DC1"/>
    <w:rsid w:val="00BA2682"/>
    <w:rsid w:val="00BA31E4"/>
    <w:rsid w:val="00BA3959"/>
    <w:rsid w:val="00BA47CC"/>
    <w:rsid w:val="00BA524B"/>
    <w:rsid w:val="00BA54F7"/>
    <w:rsid w:val="00BA576C"/>
    <w:rsid w:val="00BA6205"/>
    <w:rsid w:val="00BA6CE5"/>
    <w:rsid w:val="00BA6F38"/>
    <w:rsid w:val="00BB1388"/>
    <w:rsid w:val="00BB1F9E"/>
    <w:rsid w:val="00BB2683"/>
    <w:rsid w:val="00BB40DF"/>
    <w:rsid w:val="00BB5E2C"/>
    <w:rsid w:val="00BB77BB"/>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933"/>
    <w:rsid w:val="00BD6F5B"/>
    <w:rsid w:val="00BD7662"/>
    <w:rsid w:val="00BE05ED"/>
    <w:rsid w:val="00BE350E"/>
    <w:rsid w:val="00BE3801"/>
    <w:rsid w:val="00BE38CF"/>
    <w:rsid w:val="00BE394B"/>
    <w:rsid w:val="00BE48A8"/>
    <w:rsid w:val="00BE528F"/>
    <w:rsid w:val="00BE5850"/>
    <w:rsid w:val="00BE58D6"/>
    <w:rsid w:val="00BE5CA6"/>
    <w:rsid w:val="00BE707F"/>
    <w:rsid w:val="00BE72B9"/>
    <w:rsid w:val="00BE7F5D"/>
    <w:rsid w:val="00BF0707"/>
    <w:rsid w:val="00BF164F"/>
    <w:rsid w:val="00BF1AAF"/>
    <w:rsid w:val="00BF268B"/>
    <w:rsid w:val="00BF318A"/>
    <w:rsid w:val="00BF4D03"/>
    <w:rsid w:val="00BF4E85"/>
    <w:rsid w:val="00BF54BD"/>
    <w:rsid w:val="00BF5892"/>
    <w:rsid w:val="00C01804"/>
    <w:rsid w:val="00C026BC"/>
    <w:rsid w:val="00C02AD4"/>
    <w:rsid w:val="00C02EA3"/>
    <w:rsid w:val="00C03869"/>
    <w:rsid w:val="00C05F0A"/>
    <w:rsid w:val="00C07988"/>
    <w:rsid w:val="00C0799C"/>
    <w:rsid w:val="00C07C5E"/>
    <w:rsid w:val="00C10068"/>
    <w:rsid w:val="00C10AC5"/>
    <w:rsid w:val="00C12DAD"/>
    <w:rsid w:val="00C12E17"/>
    <w:rsid w:val="00C14741"/>
    <w:rsid w:val="00C1544B"/>
    <w:rsid w:val="00C1665A"/>
    <w:rsid w:val="00C1739F"/>
    <w:rsid w:val="00C177FF"/>
    <w:rsid w:val="00C20986"/>
    <w:rsid w:val="00C218ED"/>
    <w:rsid w:val="00C222FF"/>
    <w:rsid w:val="00C2256B"/>
    <w:rsid w:val="00C2338E"/>
    <w:rsid w:val="00C23FB0"/>
    <w:rsid w:val="00C24021"/>
    <w:rsid w:val="00C248AF"/>
    <w:rsid w:val="00C24B09"/>
    <w:rsid w:val="00C24BDE"/>
    <w:rsid w:val="00C24E9F"/>
    <w:rsid w:val="00C32151"/>
    <w:rsid w:val="00C3217A"/>
    <w:rsid w:val="00C32D92"/>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98D"/>
    <w:rsid w:val="00C61AA7"/>
    <w:rsid w:val="00C61B8E"/>
    <w:rsid w:val="00C6576C"/>
    <w:rsid w:val="00C660C3"/>
    <w:rsid w:val="00C668DE"/>
    <w:rsid w:val="00C7044F"/>
    <w:rsid w:val="00C720F8"/>
    <w:rsid w:val="00C7294B"/>
    <w:rsid w:val="00C75139"/>
    <w:rsid w:val="00C7525C"/>
    <w:rsid w:val="00C76CF7"/>
    <w:rsid w:val="00C82023"/>
    <w:rsid w:val="00C83A4C"/>
    <w:rsid w:val="00C8533B"/>
    <w:rsid w:val="00C858BA"/>
    <w:rsid w:val="00C86977"/>
    <w:rsid w:val="00C916C8"/>
    <w:rsid w:val="00C9398D"/>
    <w:rsid w:val="00C939EE"/>
    <w:rsid w:val="00C93C6E"/>
    <w:rsid w:val="00C93F93"/>
    <w:rsid w:val="00C94D44"/>
    <w:rsid w:val="00C95EEE"/>
    <w:rsid w:val="00C974CB"/>
    <w:rsid w:val="00C97929"/>
    <w:rsid w:val="00C97C02"/>
    <w:rsid w:val="00CA0049"/>
    <w:rsid w:val="00CA0980"/>
    <w:rsid w:val="00CA2A98"/>
    <w:rsid w:val="00CA2BAE"/>
    <w:rsid w:val="00CA34BA"/>
    <w:rsid w:val="00CA4503"/>
    <w:rsid w:val="00CA5A66"/>
    <w:rsid w:val="00CA651B"/>
    <w:rsid w:val="00CA67CA"/>
    <w:rsid w:val="00CA796A"/>
    <w:rsid w:val="00CB1B62"/>
    <w:rsid w:val="00CB2575"/>
    <w:rsid w:val="00CB3677"/>
    <w:rsid w:val="00CB368F"/>
    <w:rsid w:val="00CB4C42"/>
    <w:rsid w:val="00CB4DFA"/>
    <w:rsid w:val="00CB74F8"/>
    <w:rsid w:val="00CB79E4"/>
    <w:rsid w:val="00CB7BD7"/>
    <w:rsid w:val="00CB7D8F"/>
    <w:rsid w:val="00CC1BEF"/>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3E36"/>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354"/>
    <w:rsid w:val="00D07D07"/>
    <w:rsid w:val="00D10F87"/>
    <w:rsid w:val="00D1149D"/>
    <w:rsid w:val="00D11ADA"/>
    <w:rsid w:val="00D11B8E"/>
    <w:rsid w:val="00D11D8D"/>
    <w:rsid w:val="00D12A27"/>
    <w:rsid w:val="00D12B12"/>
    <w:rsid w:val="00D12DD7"/>
    <w:rsid w:val="00D13330"/>
    <w:rsid w:val="00D13A8C"/>
    <w:rsid w:val="00D149E1"/>
    <w:rsid w:val="00D14A44"/>
    <w:rsid w:val="00D15BCC"/>
    <w:rsid w:val="00D1628F"/>
    <w:rsid w:val="00D21191"/>
    <w:rsid w:val="00D21D89"/>
    <w:rsid w:val="00D22522"/>
    <w:rsid w:val="00D22657"/>
    <w:rsid w:val="00D228DF"/>
    <w:rsid w:val="00D23557"/>
    <w:rsid w:val="00D2427F"/>
    <w:rsid w:val="00D2453C"/>
    <w:rsid w:val="00D24BB7"/>
    <w:rsid w:val="00D2506D"/>
    <w:rsid w:val="00D263AE"/>
    <w:rsid w:val="00D27855"/>
    <w:rsid w:val="00D27E5A"/>
    <w:rsid w:val="00D31021"/>
    <w:rsid w:val="00D329B9"/>
    <w:rsid w:val="00D33412"/>
    <w:rsid w:val="00D3482C"/>
    <w:rsid w:val="00D3664C"/>
    <w:rsid w:val="00D3683A"/>
    <w:rsid w:val="00D379C5"/>
    <w:rsid w:val="00D37C36"/>
    <w:rsid w:val="00D37E64"/>
    <w:rsid w:val="00D40559"/>
    <w:rsid w:val="00D4057A"/>
    <w:rsid w:val="00D405B8"/>
    <w:rsid w:val="00D41493"/>
    <w:rsid w:val="00D4200A"/>
    <w:rsid w:val="00D4267F"/>
    <w:rsid w:val="00D42C7E"/>
    <w:rsid w:val="00D441E9"/>
    <w:rsid w:val="00D44425"/>
    <w:rsid w:val="00D44FC8"/>
    <w:rsid w:val="00D45D8F"/>
    <w:rsid w:val="00D50332"/>
    <w:rsid w:val="00D50357"/>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4AD8"/>
    <w:rsid w:val="00D654D5"/>
    <w:rsid w:val="00D655B2"/>
    <w:rsid w:val="00D65A9D"/>
    <w:rsid w:val="00D65CB5"/>
    <w:rsid w:val="00D677BB"/>
    <w:rsid w:val="00D70544"/>
    <w:rsid w:val="00D7065D"/>
    <w:rsid w:val="00D71463"/>
    <w:rsid w:val="00D7194A"/>
    <w:rsid w:val="00D72AE4"/>
    <w:rsid w:val="00D73026"/>
    <w:rsid w:val="00D73537"/>
    <w:rsid w:val="00D73FA1"/>
    <w:rsid w:val="00D7469D"/>
    <w:rsid w:val="00D7550B"/>
    <w:rsid w:val="00D75EEB"/>
    <w:rsid w:val="00D75F1E"/>
    <w:rsid w:val="00D80F3F"/>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60A5"/>
    <w:rsid w:val="00DA7413"/>
    <w:rsid w:val="00DB0066"/>
    <w:rsid w:val="00DB097E"/>
    <w:rsid w:val="00DB0F9E"/>
    <w:rsid w:val="00DB1307"/>
    <w:rsid w:val="00DB1E1A"/>
    <w:rsid w:val="00DB2AF6"/>
    <w:rsid w:val="00DB302D"/>
    <w:rsid w:val="00DB3226"/>
    <w:rsid w:val="00DB364F"/>
    <w:rsid w:val="00DB37B8"/>
    <w:rsid w:val="00DB39E7"/>
    <w:rsid w:val="00DB3B3E"/>
    <w:rsid w:val="00DB68F5"/>
    <w:rsid w:val="00DB71DB"/>
    <w:rsid w:val="00DB71E1"/>
    <w:rsid w:val="00DB7B0F"/>
    <w:rsid w:val="00DB7CB3"/>
    <w:rsid w:val="00DC0D57"/>
    <w:rsid w:val="00DC16F7"/>
    <w:rsid w:val="00DC1CA3"/>
    <w:rsid w:val="00DC2641"/>
    <w:rsid w:val="00DC2709"/>
    <w:rsid w:val="00DC2B1E"/>
    <w:rsid w:val="00DC4394"/>
    <w:rsid w:val="00DC7481"/>
    <w:rsid w:val="00DC7591"/>
    <w:rsid w:val="00DD0839"/>
    <w:rsid w:val="00DD13E0"/>
    <w:rsid w:val="00DD26D0"/>
    <w:rsid w:val="00DD47D5"/>
    <w:rsid w:val="00DD6729"/>
    <w:rsid w:val="00DD7960"/>
    <w:rsid w:val="00DD7B0D"/>
    <w:rsid w:val="00DE066E"/>
    <w:rsid w:val="00DE1D07"/>
    <w:rsid w:val="00DE1E42"/>
    <w:rsid w:val="00DE1F29"/>
    <w:rsid w:val="00DE3FEB"/>
    <w:rsid w:val="00DE4905"/>
    <w:rsid w:val="00DE510C"/>
    <w:rsid w:val="00DE7822"/>
    <w:rsid w:val="00DF05A6"/>
    <w:rsid w:val="00DF081A"/>
    <w:rsid w:val="00DF265D"/>
    <w:rsid w:val="00DF2EB0"/>
    <w:rsid w:val="00DF31C1"/>
    <w:rsid w:val="00DF427A"/>
    <w:rsid w:val="00DF45C5"/>
    <w:rsid w:val="00DF5A8C"/>
    <w:rsid w:val="00DF71D8"/>
    <w:rsid w:val="00DF7EC2"/>
    <w:rsid w:val="00E00CCA"/>
    <w:rsid w:val="00E01623"/>
    <w:rsid w:val="00E03FE3"/>
    <w:rsid w:val="00E0570F"/>
    <w:rsid w:val="00E06951"/>
    <w:rsid w:val="00E10C53"/>
    <w:rsid w:val="00E10C94"/>
    <w:rsid w:val="00E10EC4"/>
    <w:rsid w:val="00E111AD"/>
    <w:rsid w:val="00E118D7"/>
    <w:rsid w:val="00E123BE"/>
    <w:rsid w:val="00E13F46"/>
    <w:rsid w:val="00E1537B"/>
    <w:rsid w:val="00E15BD4"/>
    <w:rsid w:val="00E16141"/>
    <w:rsid w:val="00E16458"/>
    <w:rsid w:val="00E16FB6"/>
    <w:rsid w:val="00E17001"/>
    <w:rsid w:val="00E17814"/>
    <w:rsid w:val="00E17CEF"/>
    <w:rsid w:val="00E20FBC"/>
    <w:rsid w:val="00E21513"/>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5D3E"/>
    <w:rsid w:val="00E46B7D"/>
    <w:rsid w:val="00E476A1"/>
    <w:rsid w:val="00E50393"/>
    <w:rsid w:val="00E5091C"/>
    <w:rsid w:val="00E50E42"/>
    <w:rsid w:val="00E51009"/>
    <w:rsid w:val="00E511AB"/>
    <w:rsid w:val="00E51350"/>
    <w:rsid w:val="00E51C5E"/>
    <w:rsid w:val="00E523FB"/>
    <w:rsid w:val="00E5286C"/>
    <w:rsid w:val="00E528AF"/>
    <w:rsid w:val="00E53629"/>
    <w:rsid w:val="00E5372C"/>
    <w:rsid w:val="00E537A5"/>
    <w:rsid w:val="00E537A9"/>
    <w:rsid w:val="00E541BF"/>
    <w:rsid w:val="00E541C7"/>
    <w:rsid w:val="00E5480C"/>
    <w:rsid w:val="00E54AB7"/>
    <w:rsid w:val="00E55131"/>
    <w:rsid w:val="00E55F3E"/>
    <w:rsid w:val="00E56392"/>
    <w:rsid w:val="00E5712F"/>
    <w:rsid w:val="00E601DA"/>
    <w:rsid w:val="00E60547"/>
    <w:rsid w:val="00E609FF"/>
    <w:rsid w:val="00E610D7"/>
    <w:rsid w:val="00E61AA8"/>
    <w:rsid w:val="00E6247F"/>
    <w:rsid w:val="00E62E59"/>
    <w:rsid w:val="00E63E99"/>
    <w:rsid w:val="00E6454D"/>
    <w:rsid w:val="00E64DB1"/>
    <w:rsid w:val="00E65301"/>
    <w:rsid w:val="00E6598A"/>
    <w:rsid w:val="00E667A7"/>
    <w:rsid w:val="00E679B3"/>
    <w:rsid w:val="00E7190A"/>
    <w:rsid w:val="00E71CAD"/>
    <w:rsid w:val="00E71E5C"/>
    <w:rsid w:val="00E7245E"/>
    <w:rsid w:val="00E72940"/>
    <w:rsid w:val="00E73831"/>
    <w:rsid w:val="00E73B66"/>
    <w:rsid w:val="00E7498E"/>
    <w:rsid w:val="00E74BB9"/>
    <w:rsid w:val="00E74FF5"/>
    <w:rsid w:val="00E7576E"/>
    <w:rsid w:val="00E7584A"/>
    <w:rsid w:val="00E760D0"/>
    <w:rsid w:val="00E76D85"/>
    <w:rsid w:val="00E76F2B"/>
    <w:rsid w:val="00E77C2E"/>
    <w:rsid w:val="00E80A1A"/>
    <w:rsid w:val="00E8292A"/>
    <w:rsid w:val="00E82DE7"/>
    <w:rsid w:val="00E84116"/>
    <w:rsid w:val="00E84C5C"/>
    <w:rsid w:val="00E85533"/>
    <w:rsid w:val="00E86343"/>
    <w:rsid w:val="00E866CD"/>
    <w:rsid w:val="00E877ED"/>
    <w:rsid w:val="00E901FD"/>
    <w:rsid w:val="00E91964"/>
    <w:rsid w:val="00E91FB1"/>
    <w:rsid w:val="00E943C6"/>
    <w:rsid w:val="00E94468"/>
    <w:rsid w:val="00E94A0E"/>
    <w:rsid w:val="00E96226"/>
    <w:rsid w:val="00E96DDE"/>
    <w:rsid w:val="00EA04AE"/>
    <w:rsid w:val="00EA062F"/>
    <w:rsid w:val="00EA17A9"/>
    <w:rsid w:val="00EA311B"/>
    <w:rsid w:val="00EA36CA"/>
    <w:rsid w:val="00EA3D9C"/>
    <w:rsid w:val="00EA43C0"/>
    <w:rsid w:val="00EA4CB0"/>
    <w:rsid w:val="00EA566F"/>
    <w:rsid w:val="00EB1AB2"/>
    <w:rsid w:val="00EB2857"/>
    <w:rsid w:val="00EB2F6F"/>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A01"/>
    <w:rsid w:val="00EC2D7D"/>
    <w:rsid w:val="00EC36AD"/>
    <w:rsid w:val="00EC3BCF"/>
    <w:rsid w:val="00EC56B1"/>
    <w:rsid w:val="00EC664F"/>
    <w:rsid w:val="00EC6749"/>
    <w:rsid w:val="00EC72F5"/>
    <w:rsid w:val="00EC7334"/>
    <w:rsid w:val="00ED1877"/>
    <w:rsid w:val="00ED1ACE"/>
    <w:rsid w:val="00ED247F"/>
    <w:rsid w:val="00ED27E4"/>
    <w:rsid w:val="00ED2F27"/>
    <w:rsid w:val="00ED3370"/>
    <w:rsid w:val="00ED4D96"/>
    <w:rsid w:val="00ED5A40"/>
    <w:rsid w:val="00ED5F21"/>
    <w:rsid w:val="00ED602C"/>
    <w:rsid w:val="00ED62B5"/>
    <w:rsid w:val="00ED6DDB"/>
    <w:rsid w:val="00ED7985"/>
    <w:rsid w:val="00EE270D"/>
    <w:rsid w:val="00EE66D4"/>
    <w:rsid w:val="00EE6989"/>
    <w:rsid w:val="00EE6C77"/>
    <w:rsid w:val="00EE7604"/>
    <w:rsid w:val="00EE7912"/>
    <w:rsid w:val="00EE7915"/>
    <w:rsid w:val="00EF0465"/>
    <w:rsid w:val="00EF13C5"/>
    <w:rsid w:val="00EF16D8"/>
    <w:rsid w:val="00EF1E02"/>
    <w:rsid w:val="00EF28EF"/>
    <w:rsid w:val="00EF2EB9"/>
    <w:rsid w:val="00EF40E7"/>
    <w:rsid w:val="00EF4529"/>
    <w:rsid w:val="00EF4CFE"/>
    <w:rsid w:val="00EF5B34"/>
    <w:rsid w:val="00EF657C"/>
    <w:rsid w:val="00EF66A3"/>
    <w:rsid w:val="00EF66AC"/>
    <w:rsid w:val="00F004D1"/>
    <w:rsid w:val="00F00925"/>
    <w:rsid w:val="00F00C0D"/>
    <w:rsid w:val="00F00FE5"/>
    <w:rsid w:val="00F0128B"/>
    <w:rsid w:val="00F02663"/>
    <w:rsid w:val="00F03369"/>
    <w:rsid w:val="00F04E62"/>
    <w:rsid w:val="00F050AA"/>
    <w:rsid w:val="00F05E6D"/>
    <w:rsid w:val="00F11800"/>
    <w:rsid w:val="00F11B61"/>
    <w:rsid w:val="00F127BF"/>
    <w:rsid w:val="00F135D6"/>
    <w:rsid w:val="00F138D1"/>
    <w:rsid w:val="00F13922"/>
    <w:rsid w:val="00F13DBC"/>
    <w:rsid w:val="00F15CF7"/>
    <w:rsid w:val="00F15FCF"/>
    <w:rsid w:val="00F16613"/>
    <w:rsid w:val="00F1738D"/>
    <w:rsid w:val="00F20706"/>
    <w:rsid w:val="00F2096B"/>
    <w:rsid w:val="00F21496"/>
    <w:rsid w:val="00F21E77"/>
    <w:rsid w:val="00F232DB"/>
    <w:rsid w:val="00F23484"/>
    <w:rsid w:val="00F24D27"/>
    <w:rsid w:val="00F2520C"/>
    <w:rsid w:val="00F2583E"/>
    <w:rsid w:val="00F25BCB"/>
    <w:rsid w:val="00F25ECC"/>
    <w:rsid w:val="00F264C1"/>
    <w:rsid w:val="00F26D7F"/>
    <w:rsid w:val="00F27305"/>
    <w:rsid w:val="00F30790"/>
    <w:rsid w:val="00F31570"/>
    <w:rsid w:val="00F31F43"/>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1EB7"/>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782"/>
    <w:rsid w:val="00F578A8"/>
    <w:rsid w:val="00F57EEB"/>
    <w:rsid w:val="00F57F67"/>
    <w:rsid w:val="00F60996"/>
    <w:rsid w:val="00F60B5D"/>
    <w:rsid w:val="00F611E4"/>
    <w:rsid w:val="00F613D4"/>
    <w:rsid w:val="00F6193B"/>
    <w:rsid w:val="00F61FE7"/>
    <w:rsid w:val="00F62AFE"/>
    <w:rsid w:val="00F633E5"/>
    <w:rsid w:val="00F64A3A"/>
    <w:rsid w:val="00F64F35"/>
    <w:rsid w:val="00F64FC4"/>
    <w:rsid w:val="00F65DE3"/>
    <w:rsid w:val="00F67E6A"/>
    <w:rsid w:val="00F70472"/>
    <w:rsid w:val="00F71430"/>
    <w:rsid w:val="00F71A8A"/>
    <w:rsid w:val="00F7290B"/>
    <w:rsid w:val="00F75896"/>
    <w:rsid w:val="00F76666"/>
    <w:rsid w:val="00F76ECB"/>
    <w:rsid w:val="00F76EF7"/>
    <w:rsid w:val="00F776B7"/>
    <w:rsid w:val="00F77758"/>
    <w:rsid w:val="00F77BDB"/>
    <w:rsid w:val="00F8031F"/>
    <w:rsid w:val="00F80C5C"/>
    <w:rsid w:val="00F80F89"/>
    <w:rsid w:val="00F818A5"/>
    <w:rsid w:val="00F8197C"/>
    <w:rsid w:val="00F8465D"/>
    <w:rsid w:val="00F848B3"/>
    <w:rsid w:val="00F85755"/>
    <w:rsid w:val="00F86A0B"/>
    <w:rsid w:val="00F87431"/>
    <w:rsid w:val="00F8765C"/>
    <w:rsid w:val="00F8788E"/>
    <w:rsid w:val="00F87A53"/>
    <w:rsid w:val="00F9031B"/>
    <w:rsid w:val="00F91DA4"/>
    <w:rsid w:val="00F92728"/>
    <w:rsid w:val="00F937AF"/>
    <w:rsid w:val="00F94494"/>
    <w:rsid w:val="00F95EE0"/>
    <w:rsid w:val="00F96483"/>
    <w:rsid w:val="00F9648C"/>
    <w:rsid w:val="00F96671"/>
    <w:rsid w:val="00F9680E"/>
    <w:rsid w:val="00F96E21"/>
    <w:rsid w:val="00FA00AF"/>
    <w:rsid w:val="00FA07A3"/>
    <w:rsid w:val="00FA0A0A"/>
    <w:rsid w:val="00FA0C9D"/>
    <w:rsid w:val="00FA169B"/>
    <w:rsid w:val="00FA2C4B"/>
    <w:rsid w:val="00FA5CC6"/>
    <w:rsid w:val="00FA64D5"/>
    <w:rsid w:val="00FA6760"/>
    <w:rsid w:val="00FA6B93"/>
    <w:rsid w:val="00FA70F6"/>
    <w:rsid w:val="00FA7420"/>
    <w:rsid w:val="00FA756C"/>
    <w:rsid w:val="00FA75E4"/>
    <w:rsid w:val="00FA776B"/>
    <w:rsid w:val="00FB0AB1"/>
    <w:rsid w:val="00FB13AF"/>
    <w:rsid w:val="00FB2BEF"/>
    <w:rsid w:val="00FB36CA"/>
    <w:rsid w:val="00FB531B"/>
    <w:rsid w:val="00FB72AC"/>
    <w:rsid w:val="00FB7706"/>
    <w:rsid w:val="00FB7EC9"/>
    <w:rsid w:val="00FB7F82"/>
    <w:rsid w:val="00FC0DAF"/>
    <w:rsid w:val="00FC11F5"/>
    <w:rsid w:val="00FC126D"/>
    <w:rsid w:val="00FC26BA"/>
    <w:rsid w:val="00FC3387"/>
    <w:rsid w:val="00FC382F"/>
    <w:rsid w:val="00FC4236"/>
    <w:rsid w:val="00FC45CC"/>
    <w:rsid w:val="00FC615D"/>
    <w:rsid w:val="00FD01CC"/>
    <w:rsid w:val="00FD06C3"/>
    <w:rsid w:val="00FD08AF"/>
    <w:rsid w:val="00FD1E7A"/>
    <w:rsid w:val="00FD2672"/>
    <w:rsid w:val="00FD28F4"/>
    <w:rsid w:val="00FD2CE2"/>
    <w:rsid w:val="00FD4A1E"/>
    <w:rsid w:val="00FD66A9"/>
    <w:rsid w:val="00FD6712"/>
    <w:rsid w:val="00FD6853"/>
    <w:rsid w:val="00FD6E54"/>
    <w:rsid w:val="00FD7DA4"/>
    <w:rsid w:val="00FE01B5"/>
    <w:rsid w:val="00FE03BB"/>
    <w:rsid w:val="00FE0BF0"/>
    <w:rsid w:val="00FE15A2"/>
    <w:rsid w:val="00FE16AE"/>
    <w:rsid w:val="00FE3A40"/>
    <w:rsid w:val="00FE3B37"/>
    <w:rsid w:val="00FE4B40"/>
    <w:rsid w:val="00FE5DC4"/>
    <w:rsid w:val="00FE6E94"/>
    <w:rsid w:val="00FE76CB"/>
    <w:rsid w:val="00FE7BD8"/>
    <w:rsid w:val="00FF12EF"/>
    <w:rsid w:val="00FF1D76"/>
    <w:rsid w:val="00FF309E"/>
    <w:rsid w:val="00FF3EE6"/>
    <w:rsid w:val="00FF434C"/>
    <w:rsid w:val="00FF55F5"/>
    <w:rsid w:val="00FF682B"/>
    <w:rsid w:val="00FF6985"/>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NormalAR">
    <w:name w:val="Normal AR"/>
    <w:basedOn w:val="Normal"/>
    <w:rsid w:val="006B7628"/>
    <w:pPr>
      <w:bidi/>
      <w:spacing w:after="120" w:line="340" w:lineRule="exact"/>
    </w:pPr>
    <w:rPr>
      <w:rFonts w:ascii="Arabic Typesetting" w:hAnsi="Arabic Typesetting" w:cs="Arabic Typesetting"/>
      <w:sz w:val="34"/>
      <w:szCs w:val="34"/>
      <w:lang w:bidi="ar-EG"/>
    </w:rPr>
  </w:style>
  <w:style w:type="character" w:customStyle="1" w:styleId="HeaderChar">
    <w:name w:val="Header Char"/>
    <w:basedOn w:val="DefaultParagraphFont"/>
    <w:link w:val="Header"/>
    <w:uiPriority w:val="99"/>
    <w:rsid w:val="009549E2"/>
    <w:rPr>
      <w:rFonts w:ascii="Arial" w:hAnsi="Arial" w:cs="Arial"/>
      <w:sz w:val="22"/>
    </w:rPr>
  </w:style>
  <w:style w:type="character" w:styleId="PageNumber">
    <w:name w:val="page number"/>
    <w:basedOn w:val="DefaultParagraphFont"/>
    <w:rsid w:val="00C20986"/>
  </w:style>
  <w:style w:type="character" w:styleId="Hyperlink">
    <w:name w:val="Hyperlink"/>
    <w:basedOn w:val="DefaultParagraphFont"/>
    <w:uiPriority w:val="99"/>
    <w:rsid w:val="00C20986"/>
    <w:rPr>
      <w:color w:val="0000FF"/>
      <w:u w:val="single"/>
    </w:rPr>
  </w:style>
  <w:style w:type="paragraph" w:styleId="TOC1">
    <w:name w:val="toc 1"/>
    <w:basedOn w:val="NormalParaAR"/>
    <w:next w:val="Normal"/>
    <w:autoRedefine/>
    <w:uiPriority w:val="39"/>
    <w:rsid w:val="006951E7"/>
    <w:pPr>
      <w:keepNext/>
      <w:tabs>
        <w:tab w:val="right" w:leader="dot" w:pos="9345"/>
      </w:tabs>
      <w:spacing w:before="120" w:after="120" w:line="240" w:lineRule="auto"/>
      <w:jc w:val="center"/>
    </w:pPr>
    <w:rPr>
      <w:b/>
      <w:bCs/>
      <w:caps/>
      <w:noProof/>
      <w:sz w:val="40"/>
      <w:szCs w:val="40"/>
    </w:rPr>
  </w:style>
  <w:style w:type="paragraph" w:styleId="TOC2">
    <w:name w:val="toc 2"/>
    <w:basedOn w:val="NormalParaAR"/>
    <w:next w:val="Normal"/>
    <w:autoRedefine/>
    <w:uiPriority w:val="39"/>
    <w:rsid w:val="001E68EE"/>
    <w:pPr>
      <w:tabs>
        <w:tab w:val="left" w:pos="1133"/>
        <w:tab w:val="right" w:leader="dot" w:pos="9345"/>
      </w:tabs>
      <w:spacing w:after="0" w:line="240" w:lineRule="auto"/>
      <w:ind w:left="220"/>
    </w:pPr>
    <w:rPr>
      <w:rFonts w:asciiTheme="minorHAnsi" w:hAnsiTheme="minorHAnsi" w:cs="Times New Roman"/>
      <w:smallCaps/>
      <w:sz w:val="20"/>
      <w:szCs w:val="24"/>
    </w:rPr>
  </w:style>
  <w:style w:type="paragraph" w:styleId="TOC3">
    <w:name w:val="toc 3"/>
    <w:basedOn w:val="NormalParaAR"/>
    <w:next w:val="Normal"/>
    <w:autoRedefine/>
    <w:uiPriority w:val="39"/>
    <w:rsid w:val="00C20986"/>
    <w:pPr>
      <w:bidi w:val="0"/>
      <w:spacing w:after="0" w:line="240" w:lineRule="auto"/>
      <w:ind w:left="440"/>
    </w:pPr>
    <w:rPr>
      <w:rFonts w:asciiTheme="minorHAnsi" w:hAnsiTheme="minorHAnsi" w:cs="Times New Roman"/>
      <w:i/>
      <w:iCs/>
      <w:sz w:val="20"/>
      <w:szCs w:val="24"/>
    </w:rPr>
  </w:style>
  <w:style w:type="paragraph" w:styleId="TOC4">
    <w:name w:val="toc 4"/>
    <w:basedOn w:val="Normal"/>
    <w:next w:val="Normal"/>
    <w:autoRedefine/>
    <w:uiPriority w:val="39"/>
    <w:unhideWhenUsed/>
    <w:rsid w:val="00C20986"/>
    <w:pPr>
      <w:ind w:left="660"/>
    </w:pPr>
    <w:rPr>
      <w:rFonts w:asciiTheme="minorHAnsi" w:hAnsiTheme="minorHAnsi" w:cs="Times New Roman"/>
      <w:sz w:val="18"/>
      <w:szCs w:val="21"/>
    </w:rPr>
  </w:style>
  <w:style w:type="paragraph" w:styleId="TOC5">
    <w:name w:val="toc 5"/>
    <w:basedOn w:val="Normal"/>
    <w:next w:val="Normal"/>
    <w:autoRedefine/>
    <w:uiPriority w:val="39"/>
    <w:unhideWhenUsed/>
    <w:rsid w:val="00C20986"/>
    <w:pPr>
      <w:ind w:left="880"/>
    </w:pPr>
    <w:rPr>
      <w:rFonts w:asciiTheme="minorHAnsi" w:hAnsiTheme="minorHAnsi" w:cs="Times New Roman"/>
      <w:sz w:val="18"/>
      <w:szCs w:val="21"/>
    </w:rPr>
  </w:style>
  <w:style w:type="paragraph" w:styleId="TOC6">
    <w:name w:val="toc 6"/>
    <w:basedOn w:val="Normal"/>
    <w:next w:val="Normal"/>
    <w:autoRedefine/>
    <w:uiPriority w:val="39"/>
    <w:unhideWhenUsed/>
    <w:rsid w:val="00C20986"/>
    <w:pPr>
      <w:ind w:left="1100"/>
    </w:pPr>
    <w:rPr>
      <w:rFonts w:asciiTheme="minorHAnsi" w:hAnsiTheme="minorHAnsi" w:cs="Times New Roman"/>
      <w:sz w:val="18"/>
      <w:szCs w:val="21"/>
    </w:rPr>
  </w:style>
  <w:style w:type="paragraph" w:styleId="TOC7">
    <w:name w:val="toc 7"/>
    <w:basedOn w:val="Normal"/>
    <w:next w:val="Normal"/>
    <w:autoRedefine/>
    <w:uiPriority w:val="39"/>
    <w:unhideWhenUsed/>
    <w:rsid w:val="00C20986"/>
    <w:pPr>
      <w:ind w:left="1320"/>
    </w:pPr>
    <w:rPr>
      <w:rFonts w:asciiTheme="minorHAnsi" w:hAnsiTheme="minorHAnsi" w:cs="Times New Roman"/>
      <w:sz w:val="18"/>
      <w:szCs w:val="21"/>
    </w:rPr>
  </w:style>
  <w:style w:type="paragraph" w:styleId="TOC8">
    <w:name w:val="toc 8"/>
    <w:basedOn w:val="Normal"/>
    <w:next w:val="Normal"/>
    <w:autoRedefine/>
    <w:uiPriority w:val="39"/>
    <w:unhideWhenUsed/>
    <w:rsid w:val="00C20986"/>
    <w:pPr>
      <w:ind w:left="1540"/>
    </w:pPr>
    <w:rPr>
      <w:rFonts w:asciiTheme="minorHAnsi" w:hAnsiTheme="minorHAnsi" w:cs="Times New Roman"/>
      <w:sz w:val="18"/>
      <w:szCs w:val="21"/>
    </w:rPr>
  </w:style>
  <w:style w:type="paragraph" w:styleId="TOC9">
    <w:name w:val="toc 9"/>
    <w:basedOn w:val="Normal"/>
    <w:next w:val="Normal"/>
    <w:autoRedefine/>
    <w:uiPriority w:val="39"/>
    <w:unhideWhenUsed/>
    <w:rsid w:val="00C20986"/>
    <w:pPr>
      <w:ind w:left="1760"/>
    </w:pPr>
    <w:rPr>
      <w:rFonts w:asciiTheme="minorHAnsi" w:hAnsiTheme="minorHAnsi" w:cs="Times New Roman"/>
      <w:sz w:val="18"/>
      <w:szCs w:val="21"/>
    </w:rPr>
  </w:style>
  <w:style w:type="paragraph" w:styleId="TOCHeading">
    <w:name w:val="TOC Heading"/>
    <w:basedOn w:val="Heading1"/>
    <w:next w:val="Normal"/>
    <w:uiPriority w:val="39"/>
    <w:semiHidden/>
    <w:unhideWhenUsed/>
    <w:qFormat/>
    <w:rsid w:val="004B50F1"/>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NormalAR">
    <w:name w:val="Normal AR"/>
    <w:basedOn w:val="Normal"/>
    <w:rsid w:val="006B7628"/>
    <w:pPr>
      <w:bidi/>
      <w:spacing w:after="120" w:line="340" w:lineRule="exact"/>
    </w:pPr>
    <w:rPr>
      <w:rFonts w:ascii="Arabic Typesetting" w:hAnsi="Arabic Typesetting" w:cs="Arabic Typesetting"/>
      <w:sz w:val="34"/>
      <w:szCs w:val="34"/>
      <w:lang w:bidi="ar-EG"/>
    </w:rPr>
  </w:style>
  <w:style w:type="character" w:customStyle="1" w:styleId="HeaderChar">
    <w:name w:val="Header Char"/>
    <w:basedOn w:val="DefaultParagraphFont"/>
    <w:link w:val="Header"/>
    <w:uiPriority w:val="99"/>
    <w:rsid w:val="009549E2"/>
    <w:rPr>
      <w:rFonts w:ascii="Arial" w:hAnsi="Arial" w:cs="Arial"/>
      <w:sz w:val="22"/>
    </w:rPr>
  </w:style>
  <w:style w:type="character" w:styleId="PageNumber">
    <w:name w:val="page number"/>
    <w:basedOn w:val="DefaultParagraphFont"/>
    <w:rsid w:val="00C20986"/>
  </w:style>
  <w:style w:type="character" w:styleId="Hyperlink">
    <w:name w:val="Hyperlink"/>
    <w:basedOn w:val="DefaultParagraphFont"/>
    <w:uiPriority w:val="99"/>
    <w:rsid w:val="00C20986"/>
    <w:rPr>
      <w:color w:val="0000FF"/>
      <w:u w:val="single"/>
    </w:rPr>
  </w:style>
  <w:style w:type="paragraph" w:styleId="TOC1">
    <w:name w:val="toc 1"/>
    <w:basedOn w:val="NormalParaAR"/>
    <w:next w:val="Normal"/>
    <w:autoRedefine/>
    <w:uiPriority w:val="39"/>
    <w:rsid w:val="006951E7"/>
    <w:pPr>
      <w:keepNext/>
      <w:tabs>
        <w:tab w:val="right" w:leader="dot" w:pos="9345"/>
      </w:tabs>
      <w:spacing w:before="120" w:after="120" w:line="240" w:lineRule="auto"/>
      <w:jc w:val="center"/>
    </w:pPr>
    <w:rPr>
      <w:b/>
      <w:bCs/>
      <w:caps/>
      <w:noProof/>
      <w:sz w:val="40"/>
      <w:szCs w:val="40"/>
    </w:rPr>
  </w:style>
  <w:style w:type="paragraph" w:styleId="TOC2">
    <w:name w:val="toc 2"/>
    <w:basedOn w:val="NormalParaAR"/>
    <w:next w:val="Normal"/>
    <w:autoRedefine/>
    <w:uiPriority w:val="39"/>
    <w:rsid w:val="001E68EE"/>
    <w:pPr>
      <w:tabs>
        <w:tab w:val="left" w:pos="1133"/>
        <w:tab w:val="right" w:leader="dot" w:pos="9345"/>
      </w:tabs>
      <w:spacing w:after="0" w:line="240" w:lineRule="auto"/>
      <w:ind w:left="220"/>
    </w:pPr>
    <w:rPr>
      <w:rFonts w:asciiTheme="minorHAnsi" w:hAnsiTheme="minorHAnsi" w:cs="Times New Roman"/>
      <w:smallCaps/>
      <w:sz w:val="20"/>
      <w:szCs w:val="24"/>
    </w:rPr>
  </w:style>
  <w:style w:type="paragraph" w:styleId="TOC3">
    <w:name w:val="toc 3"/>
    <w:basedOn w:val="NormalParaAR"/>
    <w:next w:val="Normal"/>
    <w:autoRedefine/>
    <w:uiPriority w:val="39"/>
    <w:rsid w:val="00C20986"/>
    <w:pPr>
      <w:bidi w:val="0"/>
      <w:spacing w:after="0" w:line="240" w:lineRule="auto"/>
      <w:ind w:left="440"/>
    </w:pPr>
    <w:rPr>
      <w:rFonts w:asciiTheme="minorHAnsi" w:hAnsiTheme="minorHAnsi" w:cs="Times New Roman"/>
      <w:i/>
      <w:iCs/>
      <w:sz w:val="20"/>
      <w:szCs w:val="24"/>
    </w:rPr>
  </w:style>
  <w:style w:type="paragraph" w:styleId="TOC4">
    <w:name w:val="toc 4"/>
    <w:basedOn w:val="Normal"/>
    <w:next w:val="Normal"/>
    <w:autoRedefine/>
    <w:uiPriority w:val="39"/>
    <w:unhideWhenUsed/>
    <w:rsid w:val="00C20986"/>
    <w:pPr>
      <w:ind w:left="660"/>
    </w:pPr>
    <w:rPr>
      <w:rFonts w:asciiTheme="minorHAnsi" w:hAnsiTheme="minorHAnsi" w:cs="Times New Roman"/>
      <w:sz w:val="18"/>
      <w:szCs w:val="21"/>
    </w:rPr>
  </w:style>
  <w:style w:type="paragraph" w:styleId="TOC5">
    <w:name w:val="toc 5"/>
    <w:basedOn w:val="Normal"/>
    <w:next w:val="Normal"/>
    <w:autoRedefine/>
    <w:uiPriority w:val="39"/>
    <w:unhideWhenUsed/>
    <w:rsid w:val="00C20986"/>
    <w:pPr>
      <w:ind w:left="880"/>
    </w:pPr>
    <w:rPr>
      <w:rFonts w:asciiTheme="minorHAnsi" w:hAnsiTheme="minorHAnsi" w:cs="Times New Roman"/>
      <w:sz w:val="18"/>
      <w:szCs w:val="21"/>
    </w:rPr>
  </w:style>
  <w:style w:type="paragraph" w:styleId="TOC6">
    <w:name w:val="toc 6"/>
    <w:basedOn w:val="Normal"/>
    <w:next w:val="Normal"/>
    <w:autoRedefine/>
    <w:uiPriority w:val="39"/>
    <w:unhideWhenUsed/>
    <w:rsid w:val="00C20986"/>
    <w:pPr>
      <w:ind w:left="1100"/>
    </w:pPr>
    <w:rPr>
      <w:rFonts w:asciiTheme="minorHAnsi" w:hAnsiTheme="minorHAnsi" w:cs="Times New Roman"/>
      <w:sz w:val="18"/>
      <w:szCs w:val="21"/>
    </w:rPr>
  </w:style>
  <w:style w:type="paragraph" w:styleId="TOC7">
    <w:name w:val="toc 7"/>
    <w:basedOn w:val="Normal"/>
    <w:next w:val="Normal"/>
    <w:autoRedefine/>
    <w:uiPriority w:val="39"/>
    <w:unhideWhenUsed/>
    <w:rsid w:val="00C20986"/>
    <w:pPr>
      <w:ind w:left="1320"/>
    </w:pPr>
    <w:rPr>
      <w:rFonts w:asciiTheme="minorHAnsi" w:hAnsiTheme="minorHAnsi" w:cs="Times New Roman"/>
      <w:sz w:val="18"/>
      <w:szCs w:val="21"/>
    </w:rPr>
  </w:style>
  <w:style w:type="paragraph" w:styleId="TOC8">
    <w:name w:val="toc 8"/>
    <w:basedOn w:val="Normal"/>
    <w:next w:val="Normal"/>
    <w:autoRedefine/>
    <w:uiPriority w:val="39"/>
    <w:unhideWhenUsed/>
    <w:rsid w:val="00C20986"/>
    <w:pPr>
      <w:ind w:left="1540"/>
    </w:pPr>
    <w:rPr>
      <w:rFonts w:asciiTheme="minorHAnsi" w:hAnsiTheme="minorHAnsi" w:cs="Times New Roman"/>
      <w:sz w:val="18"/>
      <w:szCs w:val="21"/>
    </w:rPr>
  </w:style>
  <w:style w:type="paragraph" w:styleId="TOC9">
    <w:name w:val="toc 9"/>
    <w:basedOn w:val="Normal"/>
    <w:next w:val="Normal"/>
    <w:autoRedefine/>
    <w:uiPriority w:val="39"/>
    <w:unhideWhenUsed/>
    <w:rsid w:val="00C20986"/>
    <w:pPr>
      <w:ind w:left="1760"/>
    </w:pPr>
    <w:rPr>
      <w:rFonts w:asciiTheme="minorHAnsi" w:hAnsiTheme="minorHAnsi" w:cs="Times New Roman"/>
      <w:sz w:val="18"/>
      <w:szCs w:val="21"/>
    </w:rPr>
  </w:style>
  <w:style w:type="paragraph" w:styleId="TOCHeading">
    <w:name w:val="TOC Heading"/>
    <w:basedOn w:val="Heading1"/>
    <w:next w:val="Normal"/>
    <w:uiPriority w:val="39"/>
    <w:semiHidden/>
    <w:unhideWhenUsed/>
    <w:qFormat/>
    <w:rsid w:val="004B50F1"/>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header" Target="header17.xml"/><Relationship Id="rId21" Type="http://schemas.openxmlformats.org/officeDocument/2006/relationships/header" Target="header5.xml"/><Relationship Id="rId42" Type="http://schemas.openxmlformats.org/officeDocument/2006/relationships/chart" Target="charts/chart2.xml"/><Relationship Id="rId47" Type="http://schemas.openxmlformats.org/officeDocument/2006/relationships/image" Target="media/image20.emf"/><Relationship Id="rId63" Type="http://schemas.openxmlformats.org/officeDocument/2006/relationships/image" Target="media/image35.emf"/><Relationship Id="rId68" Type="http://schemas.openxmlformats.org/officeDocument/2006/relationships/image" Target="media/image40.emf"/><Relationship Id="rId84" Type="http://schemas.openxmlformats.org/officeDocument/2006/relationships/image" Target="media/image53.emf"/><Relationship Id="rId89" Type="http://schemas.openxmlformats.org/officeDocument/2006/relationships/image" Target="media/image58.emf"/><Relationship Id="rId112" Type="http://schemas.openxmlformats.org/officeDocument/2006/relationships/image" Target="media/image81.emf"/><Relationship Id="rId133" Type="http://schemas.openxmlformats.org/officeDocument/2006/relationships/image" Target="media/image99.emf"/><Relationship Id="rId138" Type="http://schemas.openxmlformats.org/officeDocument/2006/relationships/image" Target="media/image104.emf"/><Relationship Id="rId154" Type="http://schemas.openxmlformats.org/officeDocument/2006/relationships/image" Target="media/image120.emf"/><Relationship Id="rId159" Type="http://schemas.openxmlformats.org/officeDocument/2006/relationships/theme" Target="theme/theme1.xml"/><Relationship Id="rId16" Type="http://schemas.openxmlformats.org/officeDocument/2006/relationships/footer" Target="footer3.xml"/><Relationship Id="rId107" Type="http://schemas.openxmlformats.org/officeDocument/2006/relationships/image" Target="media/image76.emf"/><Relationship Id="rId11" Type="http://schemas.openxmlformats.org/officeDocument/2006/relationships/header" Target="header2.xml"/><Relationship Id="rId32" Type="http://schemas.openxmlformats.org/officeDocument/2006/relationships/header" Target="header9.xml"/><Relationship Id="rId37" Type="http://schemas.openxmlformats.org/officeDocument/2006/relationships/image" Target="media/image13.emf"/><Relationship Id="rId53" Type="http://schemas.openxmlformats.org/officeDocument/2006/relationships/image" Target="media/image25.emf"/><Relationship Id="rId58" Type="http://schemas.openxmlformats.org/officeDocument/2006/relationships/image" Target="media/image30.emf"/><Relationship Id="rId74" Type="http://schemas.openxmlformats.org/officeDocument/2006/relationships/header" Target="header12.xml"/><Relationship Id="rId79" Type="http://schemas.openxmlformats.org/officeDocument/2006/relationships/header" Target="header14.xml"/><Relationship Id="rId102" Type="http://schemas.openxmlformats.org/officeDocument/2006/relationships/image" Target="media/image71.emf"/><Relationship Id="rId123" Type="http://schemas.openxmlformats.org/officeDocument/2006/relationships/image" Target="media/image89.emf"/><Relationship Id="rId128" Type="http://schemas.openxmlformats.org/officeDocument/2006/relationships/image" Target="media/image94.emf"/><Relationship Id="rId144" Type="http://schemas.openxmlformats.org/officeDocument/2006/relationships/image" Target="media/image110.emf"/><Relationship Id="rId149" Type="http://schemas.openxmlformats.org/officeDocument/2006/relationships/image" Target="media/image115.emf"/><Relationship Id="rId5" Type="http://schemas.openxmlformats.org/officeDocument/2006/relationships/settings" Target="settings.xml"/><Relationship Id="rId90" Type="http://schemas.openxmlformats.org/officeDocument/2006/relationships/image" Target="media/image59.emf"/><Relationship Id="rId95" Type="http://schemas.openxmlformats.org/officeDocument/2006/relationships/image" Target="media/image64.emf"/><Relationship Id="rId22" Type="http://schemas.openxmlformats.org/officeDocument/2006/relationships/footer" Target="footer5.xml"/><Relationship Id="rId27" Type="http://schemas.openxmlformats.org/officeDocument/2006/relationships/image" Target="media/image7.emf"/><Relationship Id="rId43" Type="http://schemas.openxmlformats.org/officeDocument/2006/relationships/image" Target="media/image17.emf"/><Relationship Id="rId48" Type="http://schemas.openxmlformats.org/officeDocument/2006/relationships/header" Target="header11.xml"/><Relationship Id="rId64" Type="http://schemas.openxmlformats.org/officeDocument/2006/relationships/image" Target="media/image36.emf"/><Relationship Id="rId69" Type="http://schemas.openxmlformats.org/officeDocument/2006/relationships/image" Target="media/image41.emf"/><Relationship Id="rId113" Type="http://schemas.openxmlformats.org/officeDocument/2006/relationships/image" Target="media/image82.emf"/><Relationship Id="rId118" Type="http://schemas.openxmlformats.org/officeDocument/2006/relationships/image" Target="media/image84.emf"/><Relationship Id="rId134" Type="http://schemas.openxmlformats.org/officeDocument/2006/relationships/image" Target="media/image100.emf"/><Relationship Id="rId139" Type="http://schemas.openxmlformats.org/officeDocument/2006/relationships/image" Target="media/image105.emf"/><Relationship Id="rId80" Type="http://schemas.openxmlformats.org/officeDocument/2006/relationships/image" Target="media/image49.emf"/><Relationship Id="rId85" Type="http://schemas.openxmlformats.org/officeDocument/2006/relationships/image" Target="media/image54.emf"/><Relationship Id="rId150" Type="http://schemas.openxmlformats.org/officeDocument/2006/relationships/image" Target="media/image116.emf"/><Relationship Id="rId155" Type="http://schemas.openxmlformats.org/officeDocument/2006/relationships/image" Target="media/image121.emf"/><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image" Target="media/image10.emf"/><Relationship Id="rId38" Type="http://schemas.openxmlformats.org/officeDocument/2006/relationships/image" Target="media/image14.emf"/><Relationship Id="rId59" Type="http://schemas.openxmlformats.org/officeDocument/2006/relationships/image" Target="media/image31.emf"/><Relationship Id="rId103" Type="http://schemas.openxmlformats.org/officeDocument/2006/relationships/image" Target="media/image72.emf"/><Relationship Id="rId108" Type="http://schemas.openxmlformats.org/officeDocument/2006/relationships/image" Target="media/image77.emf"/><Relationship Id="rId124" Type="http://schemas.openxmlformats.org/officeDocument/2006/relationships/image" Target="media/image90.emf"/><Relationship Id="rId129" Type="http://schemas.openxmlformats.org/officeDocument/2006/relationships/image" Target="media/image95.emf"/><Relationship Id="rId20" Type="http://schemas.openxmlformats.org/officeDocument/2006/relationships/image" Target="media/image4.emf"/><Relationship Id="rId41" Type="http://schemas.openxmlformats.org/officeDocument/2006/relationships/image" Target="media/image16.emf"/><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image" Target="media/image42.emf"/><Relationship Id="rId75" Type="http://schemas.openxmlformats.org/officeDocument/2006/relationships/image" Target="media/image46.emf"/><Relationship Id="rId83" Type="http://schemas.openxmlformats.org/officeDocument/2006/relationships/image" Target="media/image52.emf"/><Relationship Id="rId88" Type="http://schemas.openxmlformats.org/officeDocument/2006/relationships/image" Target="media/image57.emf"/><Relationship Id="rId91" Type="http://schemas.openxmlformats.org/officeDocument/2006/relationships/image" Target="media/image60.emf"/><Relationship Id="rId96" Type="http://schemas.openxmlformats.org/officeDocument/2006/relationships/image" Target="media/image65.emf"/><Relationship Id="rId111" Type="http://schemas.openxmlformats.org/officeDocument/2006/relationships/image" Target="media/image80.emf"/><Relationship Id="rId132" Type="http://schemas.openxmlformats.org/officeDocument/2006/relationships/image" Target="media/image98.emf"/><Relationship Id="rId140" Type="http://schemas.openxmlformats.org/officeDocument/2006/relationships/image" Target="media/image106.emf"/><Relationship Id="rId145" Type="http://schemas.openxmlformats.org/officeDocument/2006/relationships/image" Target="media/image111.emf"/><Relationship Id="rId153" Type="http://schemas.openxmlformats.org/officeDocument/2006/relationships/image" Target="media/image11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image" Target="media/image21.emf"/><Relationship Id="rId57" Type="http://schemas.openxmlformats.org/officeDocument/2006/relationships/image" Target="media/image29.emf"/><Relationship Id="rId106" Type="http://schemas.openxmlformats.org/officeDocument/2006/relationships/image" Target="media/image75.emf"/><Relationship Id="rId114" Type="http://schemas.openxmlformats.org/officeDocument/2006/relationships/header" Target="header15.xml"/><Relationship Id="rId119" Type="http://schemas.openxmlformats.org/officeDocument/2006/relationships/image" Target="media/image85.emf"/><Relationship Id="rId127" Type="http://schemas.openxmlformats.org/officeDocument/2006/relationships/image" Target="media/image93.emf"/><Relationship Id="rId10" Type="http://schemas.openxmlformats.org/officeDocument/2006/relationships/header" Target="header1.xml"/><Relationship Id="rId31" Type="http://schemas.openxmlformats.org/officeDocument/2006/relationships/header" Target="header8.xml"/><Relationship Id="rId44" Type="http://schemas.openxmlformats.org/officeDocument/2006/relationships/image" Target="media/image18.png"/><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image" Target="media/image37.emf"/><Relationship Id="rId73" Type="http://schemas.openxmlformats.org/officeDocument/2006/relationships/image" Target="media/image45.emf"/><Relationship Id="rId78" Type="http://schemas.openxmlformats.org/officeDocument/2006/relationships/image" Target="media/image48.emf"/><Relationship Id="rId81" Type="http://schemas.openxmlformats.org/officeDocument/2006/relationships/image" Target="media/image50.emf"/><Relationship Id="rId86" Type="http://schemas.openxmlformats.org/officeDocument/2006/relationships/image" Target="media/image55.emf"/><Relationship Id="rId94" Type="http://schemas.openxmlformats.org/officeDocument/2006/relationships/image" Target="media/image63.emf"/><Relationship Id="rId99" Type="http://schemas.openxmlformats.org/officeDocument/2006/relationships/image" Target="media/image68.emf"/><Relationship Id="rId101" Type="http://schemas.openxmlformats.org/officeDocument/2006/relationships/image" Target="media/image70.emf"/><Relationship Id="rId122" Type="http://schemas.openxmlformats.org/officeDocument/2006/relationships/image" Target="media/image88.emf"/><Relationship Id="rId130" Type="http://schemas.openxmlformats.org/officeDocument/2006/relationships/image" Target="media/image96.emf"/><Relationship Id="rId135" Type="http://schemas.openxmlformats.org/officeDocument/2006/relationships/image" Target="media/image101.emf"/><Relationship Id="rId143" Type="http://schemas.openxmlformats.org/officeDocument/2006/relationships/image" Target="media/image109.emf"/><Relationship Id="rId148" Type="http://schemas.openxmlformats.org/officeDocument/2006/relationships/image" Target="media/image114.emf"/><Relationship Id="rId151" Type="http://schemas.openxmlformats.org/officeDocument/2006/relationships/image" Target="media/image117.emf"/><Relationship Id="rId156" Type="http://schemas.openxmlformats.org/officeDocument/2006/relationships/image" Target="media/image122.emf"/><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image" Target="media/image15.emf"/><Relationship Id="rId109" Type="http://schemas.openxmlformats.org/officeDocument/2006/relationships/image" Target="media/image78.emf"/><Relationship Id="rId34" Type="http://schemas.openxmlformats.org/officeDocument/2006/relationships/header" Target="header10.xml"/><Relationship Id="rId50" Type="http://schemas.openxmlformats.org/officeDocument/2006/relationships/image" Target="media/image22.emf"/><Relationship Id="rId55" Type="http://schemas.openxmlformats.org/officeDocument/2006/relationships/image" Target="media/image27.emf"/><Relationship Id="rId76" Type="http://schemas.openxmlformats.org/officeDocument/2006/relationships/image" Target="media/image47.emf"/><Relationship Id="rId97" Type="http://schemas.openxmlformats.org/officeDocument/2006/relationships/image" Target="media/image66.emf"/><Relationship Id="rId104" Type="http://schemas.openxmlformats.org/officeDocument/2006/relationships/image" Target="media/image73.emf"/><Relationship Id="rId120" Type="http://schemas.openxmlformats.org/officeDocument/2006/relationships/image" Target="media/image86.emf"/><Relationship Id="rId125" Type="http://schemas.openxmlformats.org/officeDocument/2006/relationships/image" Target="media/image91.emf"/><Relationship Id="rId141" Type="http://schemas.openxmlformats.org/officeDocument/2006/relationships/image" Target="media/image107.emf"/><Relationship Id="rId146" Type="http://schemas.openxmlformats.org/officeDocument/2006/relationships/image" Target="media/image112.emf"/><Relationship Id="rId7" Type="http://schemas.openxmlformats.org/officeDocument/2006/relationships/footnotes" Target="footnotes.xml"/><Relationship Id="rId71" Type="http://schemas.openxmlformats.org/officeDocument/2006/relationships/image" Target="media/image43.emf"/><Relationship Id="rId92" Type="http://schemas.openxmlformats.org/officeDocument/2006/relationships/image" Target="media/image61.emf"/><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image" Target="media/image5.emf"/><Relationship Id="rId40" Type="http://schemas.openxmlformats.org/officeDocument/2006/relationships/chart" Target="charts/chart1.xml"/><Relationship Id="rId45" Type="http://schemas.openxmlformats.org/officeDocument/2006/relationships/image" Target="media/image19.emf"/><Relationship Id="rId66" Type="http://schemas.openxmlformats.org/officeDocument/2006/relationships/image" Target="media/image38.emf"/><Relationship Id="rId87" Type="http://schemas.openxmlformats.org/officeDocument/2006/relationships/image" Target="media/image56.emf"/><Relationship Id="rId110" Type="http://schemas.openxmlformats.org/officeDocument/2006/relationships/image" Target="media/image79.emf"/><Relationship Id="rId115" Type="http://schemas.openxmlformats.org/officeDocument/2006/relationships/header" Target="header16.xml"/><Relationship Id="rId131" Type="http://schemas.openxmlformats.org/officeDocument/2006/relationships/image" Target="media/image97.emf"/><Relationship Id="rId136" Type="http://schemas.openxmlformats.org/officeDocument/2006/relationships/image" Target="media/image102.emf"/><Relationship Id="rId157" Type="http://schemas.openxmlformats.org/officeDocument/2006/relationships/header" Target="header18.xml"/><Relationship Id="rId61" Type="http://schemas.openxmlformats.org/officeDocument/2006/relationships/image" Target="media/image33.emf"/><Relationship Id="rId82" Type="http://schemas.openxmlformats.org/officeDocument/2006/relationships/image" Target="media/image51.emf"/><Relationship Id="rId152" Type="http://schemas.openxmlformats.org/officeDocument/2006/relationships/image" Target="media/image118.emf"/><Relationship Id="rId19" Type="http://schemas.openxmlformats.org/officeDocument/2006/relationships/image" Target="media/image3.png"/><Relationship Id="rId14" Type="http://schemas.openxmlformats.org/officeDocument/2006/relationships/header" Target="header3.xml"/><Relationship Id="rId30" Type="http://schemas.openxmlformats.org/officeDocument/2006/relationships/header" Target="header7.xml"/><Relationship Id="rId35" Type="http://schemas.openxmlformats.org/officeDocument/2006/relationships/image" Target="media/image11.emf"/><Relationship Id="rId56" Type="http://schemas.openxmlformats.org/officeDocument/2006/relationships/image" Target="media/image28.emf"/><Relationship Id="rId77" Type="http://schemas.openxmlformats.org/officeDocument/2006/relationships/header" Target="header13.xml"/><Relationship Id="rId100" Type="http://schemas.openxmlformats.org/officeDocument/2006/relationships/image" Target="media/image69.emf"/><Relationship Id="rId105" Type="http://schemas.openxmlformats.org/officeDocument/2006/relationships/image" Target="media/image74.emf"/><Relationship Id="rId126" Type="http://schemas.openxmlformats.org/officeDocument/2006/relationships/image" Target="media/image92.emf"/><Relationship Id="rId147" Type="http://schemas.openxmlformats.org/officeDocument/2006/relationships/image" Target="media/image113.emf"/><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44.emf"/><Relationship Id="rId93" Type="http://schemas.openxmlformats.org/officeDocument/2006/relationships/image" Target="media/image62.emf"/><Relationship Id="rId98" Type="http://schemas.openxmlformats.org/officeDocument/2006/relationships/image" Target="media/image67.emf"/><Relationship Id="rId121" Type="http://schemas.openxmlformats.org/officeDocument/2006/relationships/image" Target="media/image87.emf"/><Relationship Id="rId142" Type="http://schemas.openxmlformats.org/officeDocument/2006/relationships/image" Target="media/image108.emf"/><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chart" Target="charts/chart3.xml"/><Relationship Id="rId67" Type="http://schemas.openxmlformats.org/officeDocument/2006/relationships/image" Target="media/image39.emf"/><Relationship Id="rId116" Type="http://schemas.openxmlformats.org/officeDocument/2006/relationships/image" Target="media/image83.emf"/><Relationship Id="rId137" Type="http://schemas.openxmlformats.org/officeDocument/2006/relationships/image" Target="media/image103.emf"/><Relationship Id="rId15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2_A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ipogvafs01\DAT2\ORGLAN\SHARED\LANA\team\Aboulhoucine\FMR_35558\1-Summary%20of%20results%20by%20Union\3-Table%201.3+1.4_ar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ipogvafs01\DAT2\ORGLAN\SHARED\LANA\team\Aboulhoucine\FMR_35558\1-Summary%20of%20results%20by%20Union\3-Table%201.3+1.4_ar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ipogvafs01\DAT2\ORGLAN\SHARED\LANA\team\Aboulhoucine\FMR_35558\1-Summary%20of%20results%20by%20Union\3-Table%201.3+1.4_ar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991735537190079E-2"/>
          <c:y val="6.9908814589665649E-2"/>
          <c:w val="0.87933884297520659"/>
          <c:h val="0.7264437689969605"/>
        </c:manualLayout>
      </c:layout>
      <c:lineChart>
        <c:grouping val="standard"/>
        <c:varyColors val="0"/>
        <c:ser>
          <c:idx val="3"/>
          <c:order val="0"/>
          <c:tx>
            <c:strRef>
              <c:f>'Table 3 details (2)'!$C$15</c:f>
              <c:strCache>
                <c:ptCount val="1"/>
                <c:pt idx="0">
                  <c:v>مجموع (الأسفار والمنح)</c:v>
                </c:pt>
              </c:strCache>
            </c:strRef>
          </c:tx>
          <c:spPr>
            <a:ln w="38100">
              <a:solidFill>
                <a:srgbClr val="666699"/>
              </a:solidFill>
              <a:prstDash val="solid"/>
            </a:ln>
          </c:spPr>
          <c:marker>
            <c:symbol val="circle"/>
            <c:size val="7"/>
            <c:spPr>
              <a:solidFill>
                <a:srgbClr val="666699"/>
              </a:solidFill>
              <a:ln>
                <a:solidFill>
                  <a:srgbClr val="666699"/>
                </a:solidFill>
                <a:prstDash val="solid"/>
              </a:ln>
            </c:spPr>
          </c:marker>
          <c:val>
            <c:numRef>
              <c:f>'Table 3 details (2)'!$D$15:$K$15</c:f>
              <c:numCache>
                <c:formatCode>_(* #,##0.0_);_(* \(#,##0.0\);_(* "-"??_);_(@_)</c:formatCode>
                <c:ptCount val="8"/>
                <c:pt idx="0">
                  <c:v>13.36400003</c:v>
                </c:pt>
                <c:pt idx="1">
                  <c:v>21.509312900000001</c:v>
                </c:pt>
                <c:pt idx="2">
                  <c:v>17.952815000000001</c:v>
                </c:pt>
                <c:pt idx="3">
                  <c:v>16.095185000000001</c:v>
                </c:pt>
                <c:pt idx="4">
                  <c:v>15.710243480000001</c:v>
                </c:pt>
                <c:pt idx="5">
                  <c:v>17.635999999999999</c:v>
                </c:pt>
                <c:pt idx="6">
                  <c:v>14.09922633</c:v>
                </c:pt>
                <c:pt idx="7">
                  <c:v>16.82024917</c:v>
                </c:pt>
              </c:numCache>
            </c:numRef>
          </c:val>
          <c:smooth val="0"/>
        </c:ser>
        <c:ser>
          <c:idx val="0"/>
          <c:order val="1"/>
          <c:tx>
            <c:strRef>
              <c:f>'Table 3 details (2)'!$C$9</c:f>
              <c:strCache>
                <c:ptCount val="1"/>
                <c:pt idx="0">
                  <c:v>بعثات الموظفين</c:v>
                </c:pt>
              </c:strCache>
            </c:strRef>
          </c:tx>
          <c:spPr>
            <a:ln w="25400">
              <a:solidFill>
                <a:srgbClr val="000080"/>
              </a:solidFill>
              <a:prstDash val="solid"/>
            </a:ln>
          </c:spPr>
          <c:marker>
            <c:symbol val="diamond"/>
            <c:size val="9"/>
            <c:spPr>
              <a:solidFill>
                <a:srgbClr val="000080"/>
              </a:solidFill>
              <a:ln>
                <a:solidFill>
                  <a:srgbClr val="000080"/>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(2)'!$D$9:$K$9</c:f>
              <c:numCache>
                <c:formatCode>_(* #,##0.0_);_(* \(#,##0.0\);_(* "-"??_);_(@_)</c:formatCode>
                <c:ptCount val="8"/>
                <c:pt idx="0">
                  <c:v>6.4275662999999996</c:v>
                </c:pt>
                <c:pt idx="1">
                  <c:v>7.8665408000000001</c:v>
                </c:pt>
                <c:pt idx="2">
                  <c:v>7.5522790000000004</c:v>
                </c:pt>
                <c:pt idx="3">
                  <c:v>5.8907210000000001</c:v>
                </c:pt>
                <c:pt idx="4" formatCode="_ * #,##0.0\ ;_ * \(#,##0.0\)\ ;_ * &quot;--&quot;??\ ;_ @_ ">
                  <c:v>6.0310413699999996</c:v>
                </c:pt>
                <c:pt idx="5">
                  <c:v>7.0259999999999998</c:v>
                </c:pt>
                <c:pt idx="6">
                  <c:v>5.8621897000000001</c:v>
                </c:pt>
                <c:pt idx="7">
                  <c:v>6.1077720199999996</c:v>
                </c:pt>
              </c:numCache>
            </c:numRef>
          </c:val>
          <c:smooth val="0"/>
        </c:ser>
        <c:ser>
          <c:idx val="1"/>
          <c:order val="2"/>
          <c:tx>
            <c:strRef>
              <c:f>'Table 3 details (2)'!$C$11</c:f>
              <c:strCache>
                <c:ptCount val="1"/>
                <c:pt idx="0">
                  <c:v>أسفار الغير</c:v>
                </c:pt>
              </c:strCache>
            </c:strRef>
          </c:tx>
          <c:spPr>
            <a:ln w="25400">
              <a:solidFill>
                <a:srgbClr val="FF00FF"/>
              </a:solidFill>
              <a:prstDash val="solid"/>
            </a:ln>
          </c:spPr>
          <c:marker>
            <c:symbol val="triangle"/>
            <c:size val="9"/>
            <c:spPr>
              <a:solidFill>
                <a:srgbClr val="FF00FF"/>
              </a:solidFill>
              <a:ln>
                <a:solidFill>
                  <a:srgbClr val="FF00FF"/>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(2)'!$D$11:$K$11</c:f>
              <c:numCache>
                <c:formatCode>_(* #,##0.0_);_(* \(#,##0.0\);_(* "-"??_);_(@_)</c:formatCode>
                <c:ptCount val="8"/>
                <c:pt idx="0">
                  <c:v>5.7614373900000002</c:v>
                </c:pt>
                <c:pt idx="1">
                  <c:v>11.561637190000001</c:v>
                </c:pt>
                <c:pt idx="2">
                  <c:v>9.3655679999999997</c:v>
                </c:pt>
                <c:pt idx="3">
                  <c:v>9.2444319999999998</c:v>
                </c:pt>
                <c:pt idx="4" formatCode="_ * #,##0.0\ ;_ * \(#,##0.0\)\ ;_ * &quot;--&quot;??\ ;_ @_ ">
                  <c:v>8.4204497000000007</c:v>
                </c:pt>
                <c:pt idx="5">
                  <c:v>9.2309999999999999</c:v>
                </c:pt>
                <c:pt idx="6">
                  <c:v>6.9360492200000001</c:v>
                </c:pt>
                <c:pt idx="7">
                  <c:v>8.3200369799999994</c:v>
                </c:pt>
              </c:numCache>
            </c:numRef>
          </c:val>
          <c:smooth val="0"/>
        </c:ser>
        <c:ser>
          <c:idx val="2"/>
          <c:order val="3"/>
          <c:tx>
            <c:strRef>
              <c:f>'Table 3 details (2)'!$C$13</c:f>
              <c:strCache>
                <c:ptCount val="1"/>
                <c:pt idx="0">
                  <c:v>منح</c:v>
                </c:pt>
              </c:strCache>
            </c:strRef>
          </c:tx>
          <c:spPr>
            <a:ln w="25400">
              <a:solidFill>
                <a:srgbClr val="99CCFF"/>
              </a:solidFill>
              <a:prstDash val="solid"/>
            </a:ln>
          </c:spPr>
          <c:marker>
            <c:symbol val="triangle"/>
            <c:size val="5"/>
            <c:spPr>
              <a:solidFill>
                <a:srgbClr val="99CCFF"/>
              </a:solidFill>
              <a:ln>
                <a:solidFill>
                  <a:srgbClr val="99CCFF"/>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(2)'!$D$13:$K$13</c:f>
              <c:numCache>
                <c:formatCode>_(* #,##0.0_);_(* \(#,##0.0\);_(* "-"??_);_(@_)</c:formatCode>
                <c:ptCount val="8"/>
                <c:pt idx="0">
                  <c:v>1.1749963400000001</c:v>
                </c:pt>
                <c:pt idx="1">
                  <c:v>2.0811349099999998</c:v>
                </c:pt>
                <c:pt idx="2">
                  <c:v>1.0349680000000001</c:v>
                </c:pt>
                <c:pt idx="3">
                  <c:v>0.960032</c:v>
                </c:pt>
                <c:pt idx="4">
                  <c:v>1.25875241</c:v>
                </c:pt>
                <c:pt idx="5">
                  <c:v>1.379</c:v>
                </c:pt>
                <c:pt idx="6">
                  <c:v>1.3009874100000001</c:v>
                </c:pt>
                <c:pt idx="7">
                  <c:v>2.39244017</c:v>
                </c:pt>
              </c:numCache>
            </c:numRef>
          </c:val>
          <c:smooth val="0"/>
        </c:ser>
        <c:dLbls>
          <c:showLegendKey val="0"/>
          <c:showVal val="0"/>
          <c:showCatName val="0"/>
          <c:showSerName val="0"/>
          <c:showPercent val="0"/>
          <c:showBubbleSize val="0"/>
        </c:dLbls>
        <c:marker val="1"/>
        <c:smooth val="0"/>
        <c:axId val="158517120"/>
        <c:axId val="158529408"/>
      </c:lineChart>
      <c:catAx>
        <c:axId val="158517120"/>
        <c:scaling>
          <c:orientation val="maxMin"/>
        </c:scaling>
        <c:delete val="0"/>
        <c:axPos val="b"/>
        <c:numFmt formatCode="General"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158529408"/>
        <c:crosses val="autoZero"/>
        <c:auto val="0"/>
        <c:lblAlgn val="ctr"/>
        <c:lblOffset val="100"/>
        <c:tickMarkSkip val="1"/>
        <c:noMultiLvlLbl val="0"/>
      </c:catAx>
      <c:valAx>
        <c:axId val="158529408"/>
        <c:scaling>
          <c:orientation val="minMax"/>
          <c:max val="24"/>
          <c:min val="0"/>
        </c:scaling>
        <c:delete val="0"/>
        <c:axPos val="r"/>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158517120"/>
        <c:crosses val="autoZero"/>
        <c:crossBetween val="between"/>
        <c:majorUnit val="4"/>
      </c:valAx>
      <c:spPr>
        <a:noFill/>
        <a:ln w="25400">
          <a:noFill/>
        </a:ln>
      </c:spPr>
    </c:plotArea>
    <c:legend>
      <c:legendPos val="r"/>
      <c:layout>
        <c:manualLayout>
          <c:xMode val="edge"/>
          <c:yMode val="edge"/>
          <c:x val="3.4710743801652892E-2"/>
          <c:y val="0.91185410334346506"/>
          <c:w val="0.95867768595041325"/>
          <c:h val="6.3829787234042534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020866773675763E-2"/>
          <c:y val="4.8469387755102039E-2"/>
          <c:w val="0.8892455858747994"/>
          <c:h val="0.6428571428571429"/>
        </c:manualLayout>
      </c:layout>
      <c:lineChart>
        <c:grouping val="standard"/>
        <c:varyColors val="0"/>
        <c:ser>
          <c:idx val="4"/>
          <c:order val="0"/>
          <c:tx>
            <c:strRef>
              <c:f>'Table 3 details (2)'!$C$35</c:f>
              <c:strCache>
                <c:ptCount val="1"/>
                <c:pt idx="0">
                  <c:v>المجموع (الخدمات التعاقدية)</c:v>
                </c:pt>
              </c:strCache>
            </c:strRef>
          </c:tx>
          <c:spPr>
            <a:ln w="38100">
              <a:solidFill>
                <a:srgbClr val="33CCCC"/>
              </a:solidFill>
              <a:prstDash val="solid"/>
            </a:ln>
          </c:spPr>
          <c:marker>
            <c:symbol val="circle"/>
            <c:size val="9"/>
            <c:spPr>
              <a:solidFill>
                <a:srgbClr val="33CCCC"/>
              </a:solidFill>
              <a:ln>
                <a:solidFill>
                  <a:srgbClr val="33CCCC"/>
                </a:solidFill>
                <a:prstDash val="solid"/>
              </a:ln>
            </c:spPr>
          </c:marker>
          <c:val>
            <c:numRef>
              <c:f>'Table 3 details (2)'!$D$35:$K$35</c:f>
              <c:numCache>
                <c:formatCode>_(* #,##0.0_);_(* \(#,##0.0\);_(* "-"??_);_(@_)</c:formatCode>
                <c:ptCount val="8"/>
                <c:pt idx="0">
                  <c:v>22.565674250000001</c:v>
                </c:pt>
                <c:pt idx="1">
                  <c:v>33.510607989999997</c:v>
                </c:pt>
                <c:pt idx="2">
                  <c:v>34.84046996</c:v>
                </c:pt>
                <c:pt idx="3">
                  <c:v>40.90353004</c:v>
                </c:pt>
                <c:pt idx="4">
                  <c:v>38.598320280000088</c:v>
                </c:pt>
                <c:pt idx="5">
                  <c:v>46.119</c:v>
                </c:pt>
                <c:pt idx="6">
                  <c:v>49.619522850000003</c:v>
                </c:pt>
                <c:pt idx="7">
                  <c:v>61.441010649999996</c:v>
                </c:pt>
              </c:numCache>
            </c:numRef>
          </c:val>
          <c:smooth val="0"/>
        </c:ser>
        <c:ser>
          <c:idx val="0"/>
          <c:order val="1"/>
          <c:tx>
            <c:strRef>
              <c:f>'Table 3 details (2)'!$C$27</c:f>
              <c:strCache>
                <c:ptCount val="1"/>
                <c:pt idx="0">
                  <c:v>مؤتمرات</c:v>
                </c:pt>
              </c:strCache>
            </c:strRef>
          </c:tx>
          <c:spPr>
            <a:ln w="25400">
              <a:solidFill>
                <a:srgbClr val="000080"/>
              </a:solidFill>
              <a:prstDash val="solid"/>
            </a:ln>
          </c:spPr>
          <c:marker>
            <c:symbol val="diamond"/>
            <c:size val="9"/>
            <c:spPr>
              <a:solidFill>
                <a:srgbClr val="000080"/>
              </a:solidFill>
              <a:ln>
                <a:solidFill>
                  <a:srgbClr val="000080"/>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(2)'!$D$27:$K$27</c:f>
              <c:numCache>
                <c:formatCode>_(* #,##0.0_);_(* \(#,##0.0\);_(* "-"??_);_(@_)</c:formatCode>
                <c:ptCount val="8"/>
                <c:pt idx="0">
                  <c:v>2.1732593100000002</c:v>
                </c:pt>
                <c:pt idx="1">
                  <c:v>2.35921783</c:v>
                </c:pt>
                <c:pt idx="2">
                  <c:v>2.1810160000000001</c:v>
                </c:pt>
                <c:pt idx="3">
                  <c:v>2.930984</c:v>
                </c:pt>
                <c:pt idx="4" formatCode="_ * #,##0.0\ ;_ * \(#,##0.0\)\ ;_ * &quot;--&quot;??\ ;_ @_ ">
                  <c:v>3.1207925999999899</c:v>
                </c:pt>
                <c:pt idx="5">
                  <c:v>4.165</c:v>
                </c:pt>
                <c:pt idx="6">
                  <c:v>3.68175527</c:v>
                </c:pt>
                <c:pt idx="7">
                  <c:v>4.3319663500000001</c:v>
                </c:pt>
              </c:numCache>
            </c:numRef>
          </c:val>
          <c:smooth val="0"/>
        </c:ser>
        <c:ser>
          <c:idx val="1"/>
          <c:order val="2"/>
          <c:tx>
            <c:strRef>
              <c:f>'Table 3 details (2)'!$C$29</c:f>
              <c:strCache>
                <c:ptCount val="1"/>
                <c:pt idx="0">
                  <c:v>أتعاب الخبراء</c:v>
                </c:pt>
              </c:strCache>
            </c:strRef>
          </c:tx>
          <c:spPr>
            <a:ln w="25400">
              <a:solidFill>
                <a:srgbClr val="FF00FF"/>
              </a:solidFill>
              <a:prstDash val="solid"/>
            </a:ln>
          </c:spPr>
          <c:marker>
            <c:symbol val="square"/>
            <c:size val="9"/>
            <c:spPr>
              <a:solidFill>
                <a:srgbClr val="FF00FF"/>
              </a:solidFill>
              <a:ln>
                <a:solidFill>
                  <a:srgbClr val="FF00FF"/>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(2)'!$D$29:$K$29</c:f>
              <c:numCache>
                <c:formatCode>_(* #,##0.0_);_(* \(#,##0.0\);_(* "-"??_);_(@_)</c:formatCode>
                <c:ptCount val="8"/>
                <c:pt idx="0">
                  <c:v>0.64173933000000005</c:v>
                </c:pt>
                <c:pt idx="1">
                  <c:v>0.98458095000000001</c:v>
                </c:pt>
                <c:pt idx="2">
                  <c:v>0.76384799999999997</c:v>
                </c:pt>
                <c:pt idx="3">
                  <c:v>0.85415200000000002</c:v>
                </c:pt>
                <c:pt idx="4" formatCode="_ * #,##0.0\ ;_ * \(#,##0.0\)\ ;_ * &quot;--&quot;??\ ;_ @_ ">
                  <c:v>0.672761739999999</c:v>
                </c:pt>
                <c:pt idx="5">
                  <c:v>0.75600000000000001</c:v>
                </c:pt>
                <c:pt idx="6">
                  <c:v>0.42011252999999998</c:v>
                </c:pt>
                <c:pt idx="7">
                  <c:v>0.54375141999999999</c:v>
                </c:pt>
              </c:numCache>
            </c:numRef>
          </c:val>
          <c:smooth val="0"/>
        </c:ser>
        <c:ser>
          <c:idx val="2"/>
          <c:order val="3"/>
          <c:tx>
            <c:strRef>
              <c:f>'Table 3 details (2)'!$C$31</c:f>
              <c:strCache>
                <c:ptCount val="1"/>
                <c:pt idx="0">
                  <c:v>النشر</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(2)'!$D$31:$I$31</c:f>
              <c:numCache>
                <c:formatCode>_(* #,##0.0_);_(* \(#,##0.0\);_(* "-"??_);_(@_)</c:formatCode>
                <c:ptCount val="6"/>
                <c:pt idx="0">
                  <c:v>0.21914044999999999</c:v>
                </c:pt>
                <c:pt idx="1">
                  <c:v>0.27359636999999998</c:v>
                </c:pt>
                <c:pt idx="2">
                  <c:v>0.188613</c:v>
                </c:pt>
                <c:pt idx="3">
                  <c:v>8.7387000000000006E-2</c:v>
                </c:pt>
                <c:pt idx="4" formatCode="_ * #,##0.0\ ;_ * \(#,##0.0\)\ ;_ * &quot;--&quot;??\ ;_ @_ ">
                  <c:v>2.7777329999999999E-2</c:v>
                </c:pt>
                <c:pt idx="5">
                  <c:v>7.0000000000000007E-2</c:v>
                </c:pt>
              </c:numCache>
            </c:numRef>
          </c:val>
          <c:smooth val="0"/>
        </c:ser>
        <c:ser>
          <c:idx val="3"/>
          <c:order val="4"/>
          <c:tx>
            <c:strRef>
              <c:f>'Table 3 details (2)'!$C$33</c:f>
              <c:strCache>
                <c:ptCount val="1"/>
                <c:pt idx="0">
                  <c:v>اتفاقات الخدمات الخاصة والخدمات التجارية (خدمات تعاقدية أخرى)**</c:v>
                </c:pt>
              </c:strCache>
            </c:strRef>
          </c:tx>
          <c:spPr>
            <a:ln w="25400">
              <a:solidFill>
                <a:srgbClr val="800000"/>
              </a:solidFill>
              <a:prstDash val="solid"/>
            </a:ln>
          </c:spPr>
          <c:marker>
            <c:symbol val="diamond"/>
            <c:size val="7"/>
            <c:spPr>
              <a:solidFill>
                <a:srgbClr val="800000"/>
              </a:solidFill>
              <a:ln>
                <a:solidFill>
                  <a:srgbClr val="800000"/>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(2)'!$D$33:$K$33</c:f>
              <c:numCache>
                <c:formatCode>_(* #,##0.0_);_(* \(#,##0.0\);_(* "-"??_);_(@_)</c:formatCode>
                <c:ptCount val="8"/>
                <c:pt idx="0">
                  <c:v>19.531535160000001</c:v>
                </c:pt>
                <c:pt idx="1">
                  <c:v>29.89321284</c:v>
                </c:pt>
                <c:pt idx="2">
                  <c:v>31.706992960000001</c:v>
                </c:pt>
                <c:pt idx="3">
                  <c:v>37.031007039999999</c:v>
                </c:pt>
                <c:pt idx="4" formatCode="_ * #,##0.0\ ;_ * \(#,##0.0\)\ ;_ * &quot;--&quot;??\ ;_ @_ ">
                  <c:v>34.776988610000103</c:v>
                </c:pt>
                <c:pt idx="5">
                  <c:v>41.128</c:v>
                </c:pt>
                <c:pt idx="6">
                  <c:v>45.495759210000003</c:v>
                </c:pt>
                <c:pt idx="7">
                  <c:v>56.508619789999997</c:v>
                </c:pt>
              </c:numCache>
            </c:numRef>
          </c:val>
          <c:smooth val="0"/>
        </c:ser>
        <c:dLbls>
          <c:showLegendKey val="0"/>
          <c:showVal val="0"/>
          <c:showCatName val="0"/>
          <c:showSerName val="0"/>
          <c:showPercent val="0"/>
          <c:showBubbleSize val="0"/>
        </c:dLbls>
        <c:marker val="1"/>
        <c:smooth val="0"/>
        <c:axId val="181716480"/>
        <c:axId val="188258944"/>
      </c:lineChart>
      <c:catAx>
        <c:axId val="181716480"/>
        <c:scaling>
          <c:orientation val="maxMin"/>
        </c:scaling>
        <c:delete val="0"/>
        <c:axPos val="b"/>
        <c:numFmt formatCode="#,##0.0"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188258944"/>
        <c:crosses val="autoZero"/>
        <c:auto val="0"/>
        <c:lblAlgn val="ctr"/>
        <c:lblOffset val="100"/>
        <c:tickMarkSkip val="1"/>
        <c:noMultiLvlLbl val="0"/>
      </c:catAx>
      <c:valAx>
        <c:axId val="188258944"/>
        <c:scaling>
          <c:orientation val="minMax"/>
          <c:max val="62"/>
          <c:min val="0"/>
        </c:scaling>
        <c:delete val="0"/>
        <c:axPos val="r"/>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181716480"/>
        <c:crosses val="autoZero"/>
        <c:crossBetween val="between"/>
      </c:valAx>
      <c:spPr>
        <a:noFill/>
        <a:ln w="25400">
          <a:noFill/>
        </a:ln>
      </c:spPr>
    </c:plotArea>
    <c:legend>
      <c:legendPos val="r"/>
      <c:layout>
        <c:manualLayout>
          <c:xMode val="edge"/>
          <c:yMode val="edge"/>
          <c:x val="1.1235955056179775E-2"/>
          <c:y val="0.77040816326530615"/>
          <c:w val="0.9229534510433387"/>
          <c:h val="0.21683673469387754"/>
        </c:manualLayout>
      </c:layout>
      <c:overlay val="0"/>
      <c:spPr>
        <a:solidFill>
          <a:srgbClr val="FFFFFF"/>
        </a:solidFill>
        <a:ln w="25400">
          <a:noFill/>
        </a:ln>
      </c:spPr>
      <c:txPr>
        <a:bodyPr/>
        <a:lstStyle/>
        <a:p>
          <a:pPr rtl="1">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356759707124328E-2"/>
          <c:y val="7.9081632653061229E-2"/>
          <c:w val="0.8535038483279076"/>
          <c:h val="0.72704081632653061"/>
        </c:manualLayout>
      </c:layout>
      <c:lineChart>
        <c:grouping val="standard"/>
        <c:varyColors val="0"/>
        <c:ser>
          <c:idx val="2"/>
          <c:order val="0"/>
          <c:tx>
            <c:strRef>
              <c:f>'Table 3 details (2)'!$C$73</c:f>
              <c:strCache>
                <c:ptCount val="1"/>
                <c:pt idx="0">
                  <c:v>المجموع (المعدات والإمدادات)</c:v>
                </c:pt>
              </c:strCache>
            </c:strRef>
          </c:tx>
          <c:spPr>
            <a:ln w="38100">
              <a:solidFill>
                <a:srgbClr val="99CC00"/>
              </a:solidFill>
              <a:prstDash val="solid"/>
            </a:ln>
          </c:spPr>
          <c:marker>
            <c:symbol val="triangle"/>
            <c:size val="9"/>
            <c:spPr>
              <a:solidFill>
                <a:srgbClr val="969696"/>
              </a:solidFill>
              <a:ln>
                <a:solidFill>
                  <a:srgbClr val="99CC00"/>
                </a:solidFill>
                <a:prstDash val="solid"/>
              </a:ln>
            </c:spPr>
          </c:marker>
          <c:val>
            <c:numRef>
              <c:f>'Table 3 details (2)'!$D$73:$K$73</c:f>
              <c:numCache>
                <c:formatCode>_(* #,##0.0_);_(* \(#,##0.0\);_(* "-"??_);_(@_)</c:formatCode>
                <c:ptCount val="8"/>
                <c:pt idx="0">
                  <c:v>2.9213133500000001</c:v>
                </c:pt>
                <c:pt idx="1">
                  <c:v>4.2569748900000004</c:v>
                </c:pt>
                <c:pt idx="2">
                  <c:v>5.8182390000000002</c:v>
                </c:pt>
                <c:pt idx="3">
                  <c:v>5.5497610000000002</c:v>
                </c:pt>
                <c:pt idx="4">
                  <c:v>3.5652972200000002</c:v>
                </c:pt>
                <c:pt idx="5">
                  <c:v>4.41</c:v>
                </c:pt>
                <c:pt idx="6">
                  <c:v>3.1295516800000001</c:v>
                </c:pt>
                <c:pt idx="7">
                  <c:v>3.3256069799999999</c:v>
                </c:pt>
              </c:numCache>
            </c:numRef>
          </c:val>
          <c:smooth val="0"/>
        </c:ser>
        <c:ser>
          <c:idx val="0"/>
          <c:order val="1"/>
          <c:tx>
            <c:strRef>
              <c:f>'Table 3 details (2)'!$C$69</c:f>
              <c:strCache>
                <c:ptCount val="1"/>
                <c:pt idx="0">
                  <c:v>الأثاث والأجهزة</c:v>
                </c:pt>
              </c:strCache>
            </c:strRef>
          </c:tx>
          <c:spPr>
            <a:ln w="25400">
              <a:solidFill>
                <a:srgbClr val="000080"/>
              </a:solidFill>
              <a:prstDash val="solid"/>
            </a:ln>
          </c:spPr>
          <c:marker>
            <c:symbol val="diamond"/>
            <c:size val="9"/>
            <c:spPr>
              <a:solidFill>
                <a:srgbClr val="000080"/>
              </a:solidFill>
              <a:ln>
                <a:solidFill>
                  <a:srgbClr val="000080"/>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(2)'!$D$69:$K$69</c:f>
              <c:numCache>
                <c:formatCode>_(* #,##0.0_);_(* \(#,##0.0\);_(* "-"??_);_(@_)</c:formatCode>
                <c:ptCount val="8"/>
                <c:pt idx="0">
                  <c:v>0.98084055999999997</c:v>
                </c:pt>
                <c:pt idx="1">
                  <c:v>1.9211491000000001</c:v>
                </c:pt>
                <c:pt idx="2">
                  <c:v>3.336951</c:v>
                </c:pt>
                <c:pt idx="3">
                  <c:v>2.4460489999999999</c:v>
                </c:pt>
                <c:pt idx="4" formatCode="_ * #,##0.0\ ;_ * \(#,##0.0\)\ ;_ * &quot;--&quot;??\ ;_ @_ ">
                  <c:v>1.5544334200000001</c:v>
                </c:pt>
                <c:pt idx="5">
                  <c:v>2.1640000000000001</c:v>
                </c:pt>
                <c:pt idx="6">
                  <c:v>0.47323743000000001</c:v>
                </c:pt>
                <c:pt idx="7">
                  <c:v>0.87015916000000004</c:v>
                </c:pt>
              </c:numCache>
            </c:numRef>
          </c:val>
          <c:smooth val="0"/>
        </c:ser>
        <c:ser>
          <c:idx val="1"/>
          <c:order val="2"/>
          <c:tx>
            <c:strRef>
              <c:f>'Table 3 details (2)'!$C$71</c:f>
              <c:strCache>
                <c:ptCount val="1"/>
                <c:pt idx="0">
                  <c:v>الإمدادات والمواد</c:v>
                </c:pt>
              </c:strCache>
            </c:strRef>
          </c:tx>
          <c:spPr>
            <a:ln w="25400">
              <a:solidFill>
                <a:srgbClr val="FF00FF"/>
              </a:solidFill>
              <a:prstDash val="solid"/>
            </a:ln>
          </c:spPr>
          <c:marker>
            <c:symbol val="square"/>
            <c:size val="9"/>
            <c:spPr>
              <a:solidFill>
                <a:srgbClr val="FF00FF"/>
              </a:solidFill>
              <a:ln>
                <a:solidFill>
                  <a:srgbClr val="FF00FF"/>
                </a:solidFill>
                <a:prstDash val="solid"/>
              </a:ln>
            </c:spPr>
          </c:marker>
          <c:cat>
            <c:numRef>
              <c:f>'Table 3 details (2)'!$D$44:$K$44</c:f>
              <c:numCache>
                <c:formatCode>General</c:formatCode>
                <c:ptCount val="8"/>
                <c:pt idx="0">
                  <c:v>2006</c:v>
                </c:pt>
                <c:pt idx="1">
                  <c:v>2007</c:v>
                </c:pt>
                <c:pt idx="2">
                  <c:v>2008</c:v>
                </c:pt>
                <c:pt idx="3">
                  <c:v>2009</c:v>
                </c:pt>
                <c:pt idx="4">
                  <c:v>2010</c:v>
                </c:pt>
                <c:pt idx="5">
                  <c:v>2011</c:v>
                </c:pt>
                <c:pt idx="6">
                  <c:v>2012</c:v>
                </c:pt>
                <c:pt idx="7">
                  <c:v>2013</c:v>
                </c:pt>
              </c:numCache>
            </c:numRef>
          </c:cat>
          <c:val>
            <c:numRef>
              <c:f>'Table 3 details (2)'!$D$71:$K$71</c:f>
              <c:numCache>
                <c:formatCode>_(* #,##0.0_);_(* \(#,##0.0\);_(* "-"??_);_(@_)</c:formatCode>
                <c:ptCount val="8"/>
                <c:pt idx="0">
                  <c:v>1.9404727900000001</c:v>
                </c:pt>
                <c:pt idx="1">
                  <c:v>2.3358257899999999</c:v>
                </c:pt>
                <c:pt idx="2">
                  <c:v>2.4812880000000002</c:v>
                </c:pt>
                <c:pt idx="3">
                  <c:v>3.1037119999999998</c:v>
                </c:pt>
                <c:pt idx="4" formatCode="_ * #,##0.0\ ;_ * \(#,##0.0\)\ ;_ * &quot;--&quot;??\ ;_ @_ ">
                  <c:v>2.0108638000000001</c:v>
                </c:pt>
                <c:pt idx="5">
                  <c:v>2.246</c:v>
                </c:pt>
                <c:pt idx="6">
                  <c:v>2.6563142499999999</c:v>
                </c:pt>
                <c:pt idx="7">
                  <c:v>2.4554478199999998</c:v>
                </c:pt>
              </c:numCache>
            </c:numRef>
          </c:val>
          <c:smooth val="0"/>
        </c:ser>
        <c:dLbls>
          <c:showLegendKey val="0"/>
          <c:showVal val="0"/>
          <c:showCatName val="0"/>
          <c:showSerName val="0"/>
          <c:showPercent val="0"/>
          <c:showBubbleSize val="0"/>
        </c:dLbls>
        <c:marker val="1"/>
        <c:smooth val="0"/>
        <c:axId val="211921920"/>
        <c:axId val="212104704"/>
      </c:lineChart>
      <c:catAx>
        <c:axId val="211921920"/>
        <c:scaling>
          <c:orientation val="maxMin"/>
        </c:scaling>
        <c:delete val="0"/>
        <c:axPos val="b"/>
        <c:numFmt formatCode="General"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212104704"/>
        <c:crosses val="autoZero"/>
        <c:auto val="0"/>
        <c:lblAlgn val="ctr"/>
        <c:lblOffset val="100"/>
        <c:tickMarkSkip val="1"/>
        <c:noMultiLvlLbl val="0"/>
      </c:catAx>
      <c:valAx>
        <c:axId val="212104704"/>
        <c:scaling>
          <c:orientation val="minMax"/>
          <c:max val="8"/>
          <c:min val="0"/>
        </c:scaling>
        <c:delete val="0"/>
        <c:axPos val="r"/>
        <c:majorGridlines>
          <c:spPr>
            <a:ln w="3175">
              <a:solidFill>
                <a:srgbClr val="000000"/>
              </a:solidFill>
              <a:prstDash val="solid"/>
            </a:ln>
          </c:spPr>
        </c:majorGridlines>
        <c:numFmt formatCode="#,##0.00" sourceLinked="0"/>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Arial"/>
                <a:ea typeface="Arial"/>
                <a:cs typeface="Arial"/>
              </a:defRPr>
            </a:pPr>
            <a:endParaRPr lang="en-US"/>
          </a:p>
        </c:txPr>
        <c:crossAx val="211921920"/>
        <c:crosses val="autoZero"/>
        <c:crossBetween val="between"/>
      </c:valAx>
      <c:spPr>
        <a:noFill/>
        <a:ln w="25400">
          <a:noFill/>
        </a:ln>
      </c:spPr>
    </c:plotArea>
    <c:legend>
      <c:legendPos val="r"/>
      <c:layout>
        <c:manualLayout>
          <c:xMode val="edge"/>
          <c:yMode val="edge"/>
          <c:x val="4.4585987261146494E-2"/>
          <c:y val="0.9285714285714286"/>
          <c:w val="0.94904525469348178"/>
          <c:h val="5.3571428571428603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4A457-A29D-4802-B961-0F9FED87F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WO_PBC_22_AR.dotx</Template>
  <TotalTime>18</TotalTime>
  <Pages>107</Pages>
  <Words>11343</Words>
  <Characters>66109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WO/PBC/22/6 (Arabic)</vt:lpstr>
    </vt:vector>
  </TitlesOfParts>
  <Company>World Intellectual Property Organization</Company>
  <LinksUpToDate>false</LinksUpToDate>
  <CharactersWithSpaces>77298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WO/PBC/22/6 (Arabic)</dc:title>
  <dc:creator>وثيقة من إعداد الأمانة</dc:creator>
  <cp:lastModifiedBy>MERZOUK Fawzi</cp:lastModifiedBy>
  <cp:revision>16</cp:revision>
  <cp:lastPrinted>2014-08-11T09:08:00Z</cp:lastPrinted>
  <dcterms:created xsi:type="dcterms:W3CDTF">2014-08-06T17:05:00Z</dcterms:created>
  <dcterms:modified xsi:type="dcterms:W3CDTF">2014-08-11T09:10:00Z</dcterms:modified>
</cp:coreProperties>
</file>