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3D7955" w:rsidP="001E6891">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E12A4" w:rsidP="000438A8">
            <w:pPr>
              <w:pStyle w:val="DocumentCodeAR"/>
              <w:bidi/>
              <w:rPr>
                <w:rFonts w:hint="cs"/>
                <w:rtl/>
              </w:rPr>
            </w:pPr>
            <w:r>
              <w:t>A</w:t>
            </w:r>
            <w:r w:rsidR="00100F97">
              <w:t>/</w:t>
            </w:r>
            <w:r>
              <w:t>51</w:t>
            </w:r>
            <w:r w:rsidR="0049012D">
              <w:t>/15</w:t>
            </w:r>
          </w:p>
        </w:tc>
      </w:tr>
      <w:tr w:rsidR="001667B6" w:rsidTr="00BF164F">
        <w:tc>
          <w:tcPr>
            <w:tcW w:w="9571" w:type="dxa"/>
            <w:gridSpan w:val="3"/>
          </w:tcPr>
          <w:p w:rsidR="001667B6" w:rsidRPr="00B6101C" w:rsidRDefault="00B6101C" w:rsidP="0049012D">
            <w:pPr>
              <w:pStyle w:val="DocumentLanguageAR"/>
              <w:bidi/>
              <w:rPr>
                <w:rtl/>
              </w:rPr>
            </w:pPr>
            <w:r w:rsidRPr="00B6101C">
              <w:rPr>
                <w:rFonts w:hint="cs"/>
                <w:rtl/>
              </w:rPr>
              <w:t xml:space="preserve">الأصل: </w:t>
            </w:r>
            <w:r w:rsidR="0049012D">
              <w:rPr>
                <w:rFonts w:hint="cs"/>
                <w:rtl/>
              </w:rPr>
              <w:t>بالإنكليزية</w:t>
            </w:r>
          </w:p>
        </w:tc>
      </w:tr>
      <w:tr w:rsidR="001667B6" w:rsidTr="00BF164F">
        <w:tc>
          <w:tcPr>
            <w:tcW w:w="9571" w:type="dxa"/>
            <w:gridSpan w:val="3"/>
          </w:tcPr>
          <w:p w:rsidR="001667B6" w:rsidRPr="00B6101C" w:rsidRDefault="00B6101C" w:rsidP="0049012D">
            <w:pPr>
              <w:pStyle w:val="DocumentDateAR"/>
              <w:bidi/>
              <w:rPr>
                <w:rtl/>
              </w:rPr>
            </w:pPr>
            <w:r w:rsidRPr="00B6101C">
              <w:rPr>
                <w:rFonts w:hint="cs"/>
                <w:rtl/>
              </w:rPr>
              <w:t xml:space="preserve">التاريخ: </w:t>
            </w:r>
            <w:r w:rsidR="0049012D">
              <w:rPr>
                <w:rFonts w:hint="cs"/>
                <w:rtl/>
              </w:rPr>
              <w:t>22</w:t>
            </w:r>
            <w:r w:rsidRPr="00B6101C">
              <w:rPr>
                <w:rFonts w:hint="cs"/>
                <w:rtl/>
              </w:rPr>
              <w:t xml:space="preserve"> </w:t>
            </w:r>
            <w:r w:rsidR="0049012D">
              <w:rPr>
                <w:rFonts w:hint="cs"/>
                <w:rtl/>
              </w:rPr>
              <w:t>يوليو</w:t>
            </w:r>
            <w:r w:rsidRPr="00B6101C">
              <w:rPr>
                <w:rFonts w:hint="cs"/>
                <w:rtl/>
              </w:rPr>
              <w:t xml:space="preserve"> </w:t>
            </w:r>
            <w:r w:rsidR="00190B6D">
              <w:rPr>
                <w:rFonts w:hint="cs"/>
                <w:rtl/>
              </w:rPr>
              <w:t>201</w:t>
            </w:r>
            <w:r w:rsidR="00783D11">
              <w:rPr>
                <w:rFonts w:hint="cs"/>
                <w:rtl/>
              </w:rPr>
              <w:t>3</w:t>
            </w:r>
          </w:p>
        </w:tc>
      </w:tr>
    </w:tbl>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pStyle w:val="MeetingTitleAR"/>
        <w:bidi/>
        <w:rPr>
          <w:rtl/>
        </w:rPr>
      </w:pPr>
      <w:r>
        <w:rPr>
          <w:rFonts w:hint="cs"/>
          <w:rtl/>
        </w:rPr>
        <w:t xml:space="preserve">جمعيات </w:t>
      </w:r>
      <w:r w:rsidRPr="000438A8">
        <w:rPr>
          <w:rFonts w:hint="cs"/>
          <w:rtl/>
        </w:rPr>
        <w:t>الدول</w:t>
      </w:r>
      <w:r>
        <w:rPr>
          <w:rFonts w:hint="cs"/>
          <w:rtl/>
        </w:rPr>
        <w:t xml:space="preserve"> الأعضاء في الويبو</w:t>
      </w:r>
    </w:p>
    <w:p w:rsidR="001E12A4" w:rsidRDefault="001E12A4" w:rsidP="001E12A4">
      <w:pPr>
        <w:bidi/>
        <w:spacing w:line="360" w:lineRule="exact"/>
        <w:rPr>
          <w:rFonts w:ascii="Arabic Typesetting" w:hAnsi="Arabic Typesetting" w:cs="Arabic Typesetting"/>
          <w:sz w:val="36"/>
          <w:szCs w:val="36"/>
          <w:rtl/>
        </w:rPr>
      </w:pPr>
    </w:p>
    <w:p w:rsidR="001E12A4" w:rsidRPr="00D61541" w:rsidRDefault="001E12A4" w:rsidP="001E12A4">
      <w:pPr>
        <w:pStyle w:val="MeetingSessionAR"/>
        <w:bidi/>
        <w:rPr>
          <w:rtl/>
        </w:rPr>
      </w:pPr>
      <w:r w:rsidRPr="00D61541">
        <w:rPr>
          <w:rFonts w:hint="cs"/>
          <w:rtl/>
        </w:rPr>
        <w:t xml:space="preserve">سلسلة الاجتماعات </w:t>
      </w:r>
      <w:r>
        <w:rPr>
          <w:rFonts w:hint="cs"/>
          <w:rtl/>
        </w:rPr>
        <w:t>الحادية والخمسون</w:t>
      </w:r>
    </w:p>
    <w:p w:rsidR="001E12A4" w:rsidRPr="00D61541" w:rsidRDefault="001E12A4" w:rsidP="001E12A4">
      <w:pPr>
        <w:pStyle w:val="MeetingDatesAR"/>
        <w:bidi/>
        <w:rPr>
          <w:rtl/>
        </w:rPr>
      </w:pPr>
      <w:r w:rsidRPr="00D61541">
        <w:rPr>
          <w:rFonts w:hint="cs"/>
          <w:rtl/>
        </w:rPr>
        <w:t xml:space="preserve">جنيف، من </w:t>
      </w:r>
      <w:r>
        <w:rPr>
          <w:rFonts w:hint="cs"/>
          <w:rtl/>
        </w:rPr>
        <w:t>23 سبتمبر إلى 2</w:t>
      </w:r>
      <w:r w:rsidRPr="00D61541">
        <w:rPr>
          <w:rFonts w:hint="cs"/>
          <w:rtl/>
        </w:rPr>
        <w:t xml:space="preserve"> أكتوبر </w:t>
      </w:r>
      <w:r>
        <w:rPr>
          <w:rFonts w:hint="cs"/>
          <w:rtl/>
        </w:rPr>
        <w:t>2013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8D4021" w:rsidP="00FB7EC9">
      <w:pPr>
        <w:pStyle w:val="DocumentTitleAR"/>
        <w:bidi/>
        <w:rPr>
          <w:rtl/>
        </w:rPr>
      </w:pPr>
      <w:r w:rsidRPr="008D4021">
        <w:rPr>
          <w:rtl/>
        </w:rPr>
        <w:t>استعراض إجراء إعداد الميزانية المطبق على المشروعات المقترحة من اللجنة المعنية بالتنمية والملكية الفكرية لتنفيذ توصيات جدول أعمال التنمية</w:t>
      </w:r>
    </w:p>
    <w:p w:rsidR="00D61541" w:rsidRPr="00D61541" w:rsidRDefault="008D4021"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1667B6" w:rsidRDefault="008D4021" w:rsidP="00472C45">
      <w:pPr>
        <w:pStyle w:val="NumberedParaAR"/>
        <w:rPr>
          <w:rFonts w:hint="cs"/>
        </w:rPr>
      </w:pPr>
      <w:r w:rsidRPr="008D4021">
        <w:rPr>
          <w:rtl/>
        </w:rPr>
        <w:t xml:space="preserve">تحتوي هذه الوثيقة على </w:t>
      </w:r>
      <w:r w:rsidR="00472C45" w:rsidRPr="00472C45">
        <w:rPr>
          <w:rtl/>
        </w:rPr>
        <w:t>استعراض إجراء إعداد الميزانية المطبق على المشروعات المقترحة من اللجنة المعنية بالتنمية والملكية الفكرية لتنفيذ توصيات جدول أعمال التنمية</w:t>
      </w:r>
      <w:r w:rsidRPr="008D4021">
        <w:rPr>
          <w:rtl/>
        </w:rPr>
        <w:t xml:space="preserve"> (الوثيقة</w:t>
      </w:r>
      <w:r w:rsidR="00472C45">
        <w:rPr>
          <w:rFonts w:hint="cs"/>
          <w:rtl/>
        </w:rPr>
        <w:t> </w:t>
      </w:r>
      <w:r w:rsidRPr="008D4021">
        <w:t>WO/PBC/</w:t>
      </w:r>
      <w:r w:rsidR="00472C45">
        <w:t>20</w:t>
      </w:r>
      <w:r w:rsidRPr="008D4021">
        <w:t>/</w:t>
      </w:r>
      <w:r w:rsidR="00472C45">
        <w:t>4</w:t>
      </w:r>
      <w:r w:rsidRPr="008D4021">
        <w:rPr>
          <w:rtl/>
        </w:rPr>
        <w:t xml:space="preserve">). </w:t>
      </w:r>
      <w:r w:rsidR="00472C45">
        <w:rPr>
          <w:rtl/>
        </w:rPr>
        <w:t>و</w:t>
      </w:r>
      <w:r w:rsidR="00472C45">
        <w:rPr>
          <w:rFonts w:hint="cs"/>
          <w:rtl/>
        </w:rPr>
        <w:t xml:space="preserve">قد طُرح </w:t>
      </w:r>
      <w:r w:rsidRPr="008D4021">
        <w:rPr>
          <w:rtl/>
        </w:rPr>
        <w:t>على لجنة الويبو للبرنامج والميزا</w:t>
      </w:r>
      <w:r w:rsidR="00472C45">
        <w:rPr>
          <w:rtl/>
        </w:rPr>
        <w:t>نية (اللجنة) في دورت</w:t>
      </w:r>
      <w:r w:rsidR="00472C45">
        <w:rPr>
          <w:rFonts w:hint="cs"/>
          <w:rtl/>
        </w:rPr>
        <w:t xml:space="preserve">ها </w:t>
      </w:r>
      <w:r w:rsidRPr="008D4021">
        <w:rPr>
          <w:rtl/>
        </w:rPr>
        <w:t xml:space="preserve">العشرين (من </w:t>
      </w:r>
      <w:r w:rsidR="00472C45">
        <w:rPr>
          <w:rFonts w:hint="cs"/>
          <w:rtl/>
        </w:rPr>
        <w:t>8</w:t>
      </w:r>
      <w:r w:rsidRPr="008D4021">
        <w:rPr>
          <w:rtl/>
        </w:rPr>
        <w:t xml:space="preserve"> إلى </w:t>
      </w:r>
      <w:r w:rsidR="00472C45">
        <w:rPr>
          <w:rFonts w:hint="cs"/>
          <w:rtl/>
        </w:rPr>
        <w:t>12</w:t>
      </w:r>
      <w:r w:rsidRPr="008D4021">
        <w:rPr>
          <w:rtl/>
        </w:rPr>
        <w:t xml:space="preserve"> </w:t>
      </w:r>
      <w:r w:rsidR="00472C45">
        <w:rPr>
          <w:rFonts w:hint="cs"/>
          <w:rtl/>
        </w:rPr>
        <w:t>يوليو</w:t>
      </w:r>
      <w:r w:rsidRPr="008D4021">
        <w:rPr>
          <w:rtl/>
        </w:rPr>
        <w:t xml:space="preserve"> 2013).</w:t>
      </w:r>
    </w:p>
    <w:p w:rsidR="00472C45" w:rsidRDefault="00472C45" w:rsidP="00472C45">
      <w:pPr>
        <w:pStyle w:val="NumberedParaAR"/>
        <w:rPr>
          <w:rFonts w:hint="cs"/>
        </w:rPr>
      </w:pPr>
      <w:r>
        <w:rPr>
          <w:rtl/>
        </w:rPr>
        <w:t>و</w:t>
      </w:r>
      <w:r w:rsidRPr="00472C45">
        <w:rPr>
          <w:rtl/>
        </w:rPr>
        <w:t>ترد توصية اللجنة بشأن تلك الوثيقة في "ملخص القرارات والتوصيات الصادرة عن لجنة البرنام</w:t>
      </w:r>
      <w:r>
        <w:rPr>
          <w:rtl/>
        </w:rPr>
        <w:t xml:space="preserve">ج والميزانية في دورتها </w:t>
      </w:r>
      <w:r w:rsidRPr="00472C45">
        <w:rPr>
          <w:rtl/>
        </w:rPr>
        <w:t xml:space="preserve">العشرين (من </w:t>
      </w:r>
      <w:r>
        <w:rPr>
          <w:rFonts w:hint="cs"/>
          <w:rtl/>
        </w:rPr>
        <w:t>8</w:t>
      </w:r>
      <w:r w:rsidRPr="00472C45">
        <w:rPr>
          <w:rtl/>
        </w:rPr>
        <w:t xml:space="preserve"> إلى </w:t>
      </w:r>
      <w:r>
        <w:rPr>
          <w:rFonts w:hint="cs"/>
          <w:rtl/>
        </w:rPr>
        <w:t>12</w:t>
      </w:r>
      <w:r w:rsidRPr="00472C45">
        <w:rPr>
          <w:rtl/>
        </w:rPr>
        <w:t xml:space="preserve"> </w:t>
      </w:r>
      <w:r>
        <w:rPr>
          <w:rFonts w:hint="cs"/>
          <w:rtl/>
        </w:rPr>
        <w:t>يوليو</w:t>
      </w:r>
      <w:r w:rsidRPr="00472C45">
        <w:rPr>
          <w:rtl/>
        </w:rPr>
        <w:t xml:space="preserve"> 2013)" (الوثيقة</w:t>
      </w:r>
      <w:r>
        <w:rPr>
          <w:rFonts w:hint="cs"/>
          <w:rtl/>
        </w:rPr>
        <w:t> </w:t>
      </w:r>
      <w:r w:rsidRPr="00472C45">
        <w:t>A/51/</w:t>
      </w:r>
      <w:r>
        <w:t>13</w:t>
      </w:r>
      <w:r w:rsidRPr="00472C45">
        <w:rPr>
          <w:rtl/>
        </w:rPr>
        <w:t>).</w:t>
      </w:r>
    </w:p>
    <w:p w:rsidR="00472C45" w:rsidRDefault="00472C45" w:rsidP="002C016C">
      <w:pPr>
        <w:pStyle w:val="DecisionParaAR"/>
        <w:rPr>
          <w:rFonts w:hint="cs"/>
        </w:rPr>
      </w:pPr>
      <w:r w:rsidRPr="00472C45">
        <w:rPr>
          <w:rtl/>
        </w:rPr>
        <w:t xml:space="preserve">إن جمعيات الدول الأعضاء في الويبو والاتحادات التي تديرها الويبو مدعوة، كل في ما يعنيه، </w:t>
      </w:r>
      <w:r w:rsidR="002C016C">
        <w:rPr>
          <w:rFonts w:hint="cs"/>
          <w:rtl/>
        </w:rPr>
        <w:t xml:space="preserve">إلى الموافقة على توصية </w:t>
      </w:r>
      <w:r w:rsidRPr="00472C45">
        <w:rPr>
          <w:rtl/>
        </w:rPr>
        <w:t>لجنة ا</w:t>
      </w:r>
      <w:r w:rsidR="002C016C">
        <w:rPr>
          <w:rtl/>
        </w:rPr>
        <w:t xml:space="preserve">لبرنامج والميزانية </w:t>
      </w:r>
      <w:r w:rsidR="002C016C">
        <w:rPr>
          <w:rFonts w:hint="cs"/>
          <w:rtl/>
        </w:rPr>
        <w:t xml:space="preserve">بشأن </w:t>
      </w:r>
      <w:r w:rsidR="002C016C" w:rsidRPr="008D4021">
        <w:rPr>
          <w:rtl/>
        </w:rPr>
        <w:t>الوثيقة</w:t>
      </w:r>
      <w:r w:rsidR="002C016C">
        <w:rPr>
          <w:rFonts w:hint="cs"/>
          <w:rtl/>
        </w:rPr>
        <w:t> </w:t>
      </w:r>
      <w:r w:rsidR="002C016C" w:rsidRPr="008D4021">
        <w:t>WO/PBC/</w:t>
      </w:r>
      <w:r w:rsidR="002C016C">
        <w:t>20</w:t>
      </w:r>
      <w:r w:rsidR="002C016C" w:rsidRPr="008D4021">
        <w:t>/</w:t>
      </w:r>
      <w:r w:rsidR="002C016C">
        <w:t>4</w:t>
      </w:r>
      <w:r w:rsidRPr="00472C45">
        <w:rPr>
          <w:rtl/>
        </w:rPr>
        <w:t xml:space="preserve">، كما جاءت </w:t>
      </w:r>
      <w:r w:rsidR="002C016C">
        <w:rPr>
          <w:rFonts w:hint="cs"/>
          <w:rtl/>
        </w:rPr>
        <w:t xml:space="preserve">في </w:t>
      </w:r>
      <w:r w:rsidR="002C016C" w:rsidRPr="00472C45">
        <w:rPr>
          <w:rtl/>
        </w:rPr>
        <w:t>الوثيقة</w:t>
      </w:r>
      <w:r w:rsidR="002C016C">
        <w:rPr>
          <w:rFonts w:hint="cs"/>
          <w:rtl/>
        </w:rPr>
        <w:t> </w:t>
      </w:r>
      <w:r w:rsidR="002C016C" w:rsidRPr="00472C45">
        <w:t>A/51/</w:t>
      </w:r>
      <w:r w:rsidR="002C016C">
        <w:t>13</w:t>
      </w:r>
      <w:r w:rsidR="002C016C">
        <w:rPr>
          <w:rFonts w:hint="cs"/>
          <w:rtl/>
        </w:rPr>
        <w:t>.</w:t>
      </w:r>
    </w:p>
    <w:p w:rsidR="00A03BC2" w:rsidRDefault="00160718" w:rsidP="00160718">
      <w:pPr>
        <w:pStyle w:val="EndofDocumentAR"/>
        <w:rPr>
          <w:rtl/>
        </w:rPr>
      </w:pPr>
      <w:r>
        <w:rPr>
          <w:rFonts w:hint="cs"/>
          <w:rtl/>
        </w:rPr>
        <w:t xml:space="preserve">[تلي ذلك </w:t>
      </w:r>
      <w:r w:rsidRPr="008D4021">
        <w:rPr>
          <w:rtl/>
        </w:rPr>
        <w:t>الوثيقة</w:t>
      </w:r>
      <w:r>
        <w:rPr>
          <w:rFonts w:hint="cs"/>
          <w:rtl/>
        </w:rPr>
        <w:t> </w:t>
      </w:r>
      <w:r w:rsidRPr="008D4021">
        <w:t>WO/PBC/</w:t>
      </w:r>
      <w:r>
        <w:t>20</w:t>
      </w:r>
      <w:r w:rsidRPr="008D4021">
        <w:t>/</w:t>
      </w:r>
      <w:r>
        <w:t>4</w:t>
      </w:r>
      <w:r>
        <w:rPr>
          <w:rFonts w:hint="cs"/>
          <w:rtl/>
        </w:rPr>
        <w:t>]</w:t>
      </w:r>
    </w:p>
    <w:p w:rsidR="00A03BC2" w:rsidRDefault="00A03BC2">
      <w:pPr>
        <w:rPr>
          <w:rFonts w:ascii="Arabic Typesetting" w:hAnsi="Arabic Typesetting" w:cs="Arabic Typesetting"/>
          <w:sz w:val="36"/>
          <w:szCs w:val="36"/>
          <w:rtl/>
        </w:rPr>
      </w:pPr>
      <w:r>
        <w:rPr>
          <w:rtl/>
        </w:rPr>
        <w:br w:type="page"/>
      </w:r>
    </w:p>
    <w:p w:rsidR="00A03BC2" w:rsidRDefault="00A03BC2" w:rsidP="00A03BC2">
      <w:pPr>
        <w:pStyle w:val="NormalParaAR"/>
        <w:rPr>
          <w:rFonts w:hint="cs"/>
          <w:rtl/>
        </w:rPr>
      </w:pPr>
    </w:p>
    <w:p w:rsidR="00A03BC2" w:rsidRPr="00A03BC2" w:rsidRDefault="00A03BC2" w:rsidP="00A03BC2">
      <w:pPr>
        <w:pStyle w:val="NormalParaAR"/>
        <w:rPr>
          <w:rtl/>
        </w:rPr>
        <w:sectPr w:rsidR="00A03BC2" w:rsidRPr="00A03BC2" w:rsidSect="00EB7752">
          <w:pgSz w:w="11907" w:h="16840" w:code="9"/>
          <w:pgMar w:top="567" w:right="1418" w:bottom="1418" w:left="1134" w:header="510" w:footer="1021" w:gutter="0"/>
          <w:cols w:space="720"/>
          <w:titlePg/>
          <w:docGrid w:linePitch="299"/>
        </w:sectPr>
      </w:pPr>
    </w:p>
    <w:tbl>
      <w:tblPr>
        <w:bidiVisual/>
        <w:tblW w:w="0" w:type="auto"/>
        <w:tblLook w:val="01E0" w:firstRow="1" w:lastRow="1" w:firstColumn="1" w:lastColumn="1" w:noHBand="0" w:noVBand="0"/>
      </w:tblPr>
      <w:tblGrid>
        <w:gridCol w:w="4843"/>
        <w:gridCol w:w="4223"/>
        <w:gridCol w:w="505"/>
      </w:tblGrid>
      <w:tr w:rsidR="00A03BC2" w:rsidTr="00F87A1D">
        <w:tc>
          <w:tcPr>
            <w:tcW w:w="4843" w:type="dxa"/>
            <w:tcBorders>
              <w:bottom w:val="single" w:sz="4" w:space="0" w:color="auto"/>
            </w:tcBorders>
          </w:tcPr>
          <w:p w:rsidR="00A03BC2" w:rsidRDefault="00A03BC2" w:rsidP="00F87A1D">
            <w:pPr>
              <w:bidi/>
              <w:rPr>
                <w:rFonts w:ascii="Arabic Typesetting" w:hAnsi="Arabic Typesetting" w:cs="Arabic Typesetting"/>
                <w:sz w:val="36"/>
                <w:szCs w:val="36"/>
                <w:rtl/>
              </w:rPr>
            </w:pPr>
          </w:p>
        </w:tc>
        <w:tc>
          <w:tcPr>
            <w:tcW w:w="4223" w:type="dxa"/>
            <w:tcBorders>
              <w:bottom w:val="single" w:sz="4" w:space="0" w:color="auto"/>
            </w:tcBorders>
          </w:tcPr>
          <w:p w:rsidR="00A03BC2" w:rsidRDefault="00A03BC2" w:rsidP="00F87A1D">
            <w:pPr>
              <w:bidi/>
              <w:spacing w:after="20"/>
              <w:rPr>
                <w:rFonts w:ascii="Arabic Typesetting" w:hAnsi="Arabic Typesetting" w:cs="Arabic Typesetting"/>
                <w:sz w:val="36"/>
                <w:szCs w:val="36"/>
                <w:rtl/>
              </w:rPr>
            </w:pPr>
            <w:r>
              <w:rPr>
                <w:noProof/>
              </w:rPr>
              <w:drawing>
                <wp:inline distT="0" distB="0" distL="0" distR="0" wp14:anchorId="6C4D474B" wp14:editId="6BB4F471">
                  <wp:extent cx="1327150" cy="1263650"/>
                  <wp:effectExtent l="0" t="0" r="6350" b="0"/>
                  <wp:docPr id="2" name="Picture 2"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A03BC2" w:rsidRPr="001667B6" w:rsidRDefault="00A03BC2" w:rsidP="00F87A1D">
            <w:pPr>
              <w:rPr>
                <w:b/>
                <w:bCs/>
                <w:sz w:val="40"/>
                <w:szCs w:val="40"/>
              </w:rPr>
            </w:pPr>
            <w:r>
              <w:rPr>
                <w:b/>
                <w:bCs/>
                <w:sz w:val="40"/>
                <w:szCs w:val="40"/>
              </w:rPr>
              <w:t>A</w:t>
            </w:r>
          </w:p>
        </w:tc>
      </w:tr>
      <w:tr w:rsidR="00A03BC2" w:rsidTr="00F87A1D">
        <w:trPr>
          <w:trHeight w:val="333"/>
        </w:trPr>
        <w:tc>
          <w:tcPr>
            <w:tcW w:w="9571" w:type="dxa"/>
            <w:gridSpan w:val="3"/>
            <w:tcBorders>
              <w:top w:val="single" w:sz="4" w:space="0" w:color="auto"/>
            </w:tcBorders>
            <w:vAlign w:val="bottom"/>
          </w:tcPr>
          <w:p w:rsidR="00A03BC2" w:rsidRPr="00B6101C" w:rsidRDefault="00A03BC2" w:rsidP="00F87A1D">
            <w:pPr>
              <w:pStyle w:val="DocumentCodeAR"/>
              <w:bidi/>
              <w:rPr>
                <w:rtl/>
              </w:rPr>
            </w:pPr>
            <w:r>
              <w:t>WO/PBC/20/4</w:t>
            </w:r>
          </w:p>
        </w:tc>
      </w:tr>
      <w:tr w:rsidR="00A03BC2" w:rsidTr="00F87A1D">
        <w:tc>
          <w:tcPr>
            <w:tcW w:w="9571" w:type="dxa"/>
            <w:gridSpan w:val="3"/>
          </w:tcPr>
          <w:p w:rsidR="00A03BC2" w:rsidRPr="00B6101C" w:rsidRDefault="00A03BC2" w:rsidP="00F87A1D">
            <w:pPr>
              <w:pStyle w:val="DocumentLanguageAR"/>
              <w:bidi/>
              <w:rPr>
                <w:rtl/>
              </w:rPr>
            </w:pPr>
            <w:r w:rsidRPr="00B6101C">
              <w:rPr>
                <w:rFonts w:hint="cs"/>
                <w:rtl/>
              </w:rPr>
              <w:t xml:space="preserve">الأصل: </w:t>
            </w:r>
            <w:r>
              <w:rPr>
                <w:rFonts w:hint="cs"/>
                <w:rtl/>
              </w:rPr>
              <w:t>بالإنكليزية</w:t>
            </w:r>
          </w:p>
        </w:tc>
      </w:tr>
      <w:tr w:rsidR="00A03BC2" w:rsidTr="00F87A1D">
        <w:tc>
          <w:tcPr>
            <w:tcW w:w="9571" w:type="dxa"/>
            <w:gridSpan w:val="3"/>
          </w:tcPr>
          <w:p w:rsidR="00A03BC2" w:rsidRPr="00B6101C" w:rsidRDefault="00A03BC2" w:rsidP="00F87A1D">
            <w:pPr>
              <w:pStyle w:val="DocumentDateAR"/>
              <w:bidi/>
              <w:rPr>
                <w:rtl/>
              </w:rPr>
            </w:pPr>
            <w:r w:rsidRPr="00B6101C">
              <w:rPr>
                <w:rFonts w:hint="cs"/>
                <w:rtl/>
              </w:rPr>
              <w:t xml:space="preserve">التاريخ: </w:t>
            </w:r>
            <w:r>
              <w:rPr>
                <w:rFonts w:hint="cs"/>
                <w:rtl/>
              </w:rPr>
              <w:t>9 يونيو</w:t>
            </w:r>
            <w:r w:rsidRPr="00B6101C">
              <w:rPr>
                <w:rFonts w:hint="cs"/>
                <w:rtl/>
              </w:rPr>
              <w:t xml:space="preserve"> </w:t>
            </w:r>
            <w:r>
              <w:rPr>
                <w:rFonts w:hint="cs"/>
                <w:rtl/>
              </w:rPr>
              <w:t>2013</w:t>
            </w:r>
          </w:p>
        </w:tc>
      </w:tr>
    </w:tbl>
    <w:p w:rsidR="00A03BC2" w:rsidRDefault="00A03BC2" w:rsidP="00A03BC2">
      <w:pPr>
        <w:bidi/>
        <w:spacing w:line="360" w:lineRule="exact"/>
        <w:rPr>
          <w:rFonts w:ascii="Arabic Typesetting" w:hAnsi="Arabic Typesetting" w:cs="Arabic Typesetting"/>
          <w:sz w:val="36"/>
          <w:szCs w:val="36"/>
          <w:rtl/>
        </w:rPr>
      </w:pPr>
    </w:p>
    <w:p w:rsidR="00A03BC2" w:rsidRDefault="00A03BC2" w:rsidP="00A03BC2">
      <w:pPr>
        <w:bidi/>
        <w:spacing w:line="360" w:lineRule="exact"/>
        <w:rPr>
          <w:rFonts w:ascii="Arabic Typesetting" w:hAnsi="Arabic Typesetting" w:cs="Arabic Typesetting"/>
          <w:sz w:val="36"/>
          <w:szCs w:val="36"/>
          <w:rtl/>
        </w:rPr>
      </w:pPr>
    </w:p>
    <w:p w:rsidR="00A03BC2" w:rsidRDefault="00A03BC2" w:rsidP="00A03BC2">
      <w:pPr>
        <w:bidi/>
        <w:spacing w:line="360" w:lineRule="exact"/>
        <w:rPr>
          <w:rFonts w:ascii="Arabic Typesetting" w:hAnsi="Arabic Typesetting" w:cs="Arabic Typesetting"/>
          <w:sz w:val="36"/>
          <w:szCs w:val="36"/>
          <w:rtl/>
        </w:rPr>
      </w:pPr>
    </w:p>
    <w:p w:rsidR="00A03BC2" w:rsidRPr="00772E46" w:rsidRDefault="00A03BC2" w:rsidP="00A03BC2">
      <w:pPr>
        <w:pStyle w:val="MeetingTitleAR"/>
        <w:bidi/>
        <w:ind w:right="550"/>
        <w:rPr>
          <w:rtl/>
          <w:lang w:val="fr-CH"/>
        </w:rPr>
      </w:pPr>
      <w:r w:rsidRPr="00100F97">
        <w:rPr>
          <w:rtl/>
        </w:rPr>
        <w:t xml:space="preserve">لجنة </w:t>
      </w:r>
      <w:r>
        <w:rPr>
          <w:rFonts w:hint="cs"/>
          <w:rtl/>
          <w:lang w:val="fr-CH"/>
        </w:rPr>
        <w:t>البرنامج والميزانية</w:t>
      </w:r>
    </w:p>
    <w:p w:rsidR="00A03BC2" w:rsidRDefault="00A03BC2" w:rsidP="00A03BC2">
      <w:pPr>
        <w:bidi/>
        <w:spacing w:line="360" w:lineRule="exact"/>
        <w:rPr>
          <w:rFonts w:ascii="Arabic Typesetting" w:hAnsi="Arabic Typesetting" w:cs="Arabic Typesetting"/>
          <w:sz w:val="36"/>
          <w:szCs w:val="36"/>
          <w:rtl/>
        </w:rPr>
      </w:pPr>
    </w:p>
    <w:p w:rsidR="00A03BC2" w:rsidRPr="00783D11" w:rsidRDefault="00A03BC2" w:rsidP="00A03BC2">
      <w:pPr>
        <w:pStyle w:val="MeetingSessionAR"/>
        <w:bidi/>
        <w:rPr>
          <w:rFonts w:ascii="Cambria Math" w:hAnsi="Cambria Math"/>
          <w:rtl/>
        </w:rPr>
      </w:pPr>
      <w:r w:rsidRPr="00783D11">
        <w:rPr>
          <w:rFonts w:ascii="Cambria Math" w:hAnsi="Cambria Math"/>
          <w:rtl/>
        </w:rPr>
        <w:t xml:space="preserve">الدورة </w:t>
      </w:r>
      <w:r>
        <w:rPr>
          <w:rFonts w:ascii="Cambria Math" w:hAnsi="Cambria Math" w:hint="cs"/>
          <w:rtl/>
        </w:rPr>
        <w:t>العشرون</w:t>
      </w:r>
    </w:p>
    <w:p w:rsidR="00A03BC2" w:rsidRPr="00D61541" w:rsidRDefault="00A03BC2" w:rsidP="00A03BC2">
      <w:pPr>
        <w:pStyle w:val="MeetingDatesAR"/>
        <w:bidi/>
        <w:rPr>
          <w:rtl/>
        </w:rPr>
      </w:pPr>
      <w:r w:rsidRPr="00D61541">
        <w:rPr>
          <w:rFonts w:hint="cs"/>
          <w:rtl/>
        </w:rPr>
        <w:t xml:space="preserve">جنيف، من </w:t>
      </w:r>
      <w:r>
        <w:rPr>
          <w:rFonts w:hint="cs"/>
          <w:rtl/>
        </w:rPr>
        <w:t>8 إلى 12 يوليو 2013</w:t>
      </w:r>
    </w:p>
    <w:p w:rsidR="00A03BC2" w:rsidRDefault="00A03BC2" w:rsidP="00A03BC2">
      <w:pPr>
        <w:bidi/>
        <w:spacing w:line="360" w:lineRule="exact"/>
        <w:rPr>
          <w:rFonts w:ascii="Arabic Typesetting" w:hAnsi="Arabic Typesetting" w:cs="Arabic Typesetting"/>
          <w:sz w:val="36"/>
          <w:szCs w:val="36"/>
          <w:rtl/>
        </w:rPr>
      </w:pPr>
    </w:p>
    <w:p w:rsidR="00A03BC2" w:rsidRDefault="00A03BC2" w:rsidP="00A03BC2">
      <w:pPr>
        <w:bidi/>
        <w:spacing w:line="360" w:lineRule="exact"/>
        <w:rPr>
          <w:rFonts w:ascii="Arabic Typesetting" w:hAnsi="Arabic Typesetting" w:cs="Arabic Typesetting"/>
          <w:sz w:val="36"/>
          <w:szCs w:val="36"/>
          <w:rtl/>
        </w:rPr>
      </w:pPr>
    </w:p>
    <w:p w:rsidR="00A03BC2" w:rsidRPr="00D61541" w:rsidRDefault="00A03BC2" w:rsidP="00A03BC2">
      <w:pPr>
        <w:pStyle w:val="DocumentTitleAR"/>
        <w:bidi/>
        <w:ind w:right="3402"/>
        <w:rPr>
          <w:rtl/>
        </w:rPr>
      </w:pPr>
      <w:r>
        <w:rPr>
          <w:rFonts w:hint="cs"/>
          <w:rtl/>
        </w:rPr>
        <w:t xml:space="preserve">استعراض </w:t>
      </w:r>
      <w:r>
        <w:rPr>
          <w:rFonts w:hint="cs"/>
          <w:rtl/>
          <w:lang w:val="fr-CH"/>
        </w:rPr>
        <w:t>إجراء إعداد</w:t>
      </w:r>
      <w:r>
        <w:rPr>
          <w:rFonts w:hint="cs"/>
          <w:rtl/>
        </w:rPr>
        <w:t xml:space="preserve"> الميزانية المطبق على المشروعات المقترحة من اللجنة المعنية بالتنمية والملكية الفكرية لتنفيذ توصيات جدول أعمال التنمية </w:t>
      </w:r>
    </w:p>
    <w:p w:rsidR="00A03BC2" w:rsidRDefault="00A03BC2" w:rsidP="00A03BC2">
      <w:pPr>
        <w:pStyle w:val="PreparedbyAR"/>
        <w:bidi/>
        <w:rPr>
          <w:rFonts w:hint="cs"/>
          <w:rtl/>
        </w:rPr>
      </w:pPr>
      <w:r>
        <w:rPr>
          <w:rFonts w:hint="cs"/>
          <w:rtl/>
        </w:rPr>
        <w:t xml:space="preserve">وثيقة </w:t>
      </w:r>
      <w:r w:rsidRPr="00D61541">
        <w:rPr>
          <w:rFonts w:hint="cs"/>
          <w:rtl/>
        </w:rPr>
        <w:t xml:space="preserve">من </w:t>
      </w:r>
      <w:r w:rsidRPr="00931859">
        <w:rPr>
          <w:rFonts w:hint="cs"/>
          <w:rtl/>
        </w:rPr>
        <w:t>إعداد</w:t>
      </w:r>
      <w:r>
        <w:rPr>
          <w:rFonts w:hint="cs"/>
          <w:rtl/>
        </w:rPr>
        <w:t xml:space="preserve"> الأمانة</w:t>
      </w:r>
    </w:p>
    <w:p w:rsidR="00A03BC2" w:rsidRPr="00A03BC2" w:rsidRDefault="00A03BC2" w:rsidP="00A03BC2">
      <w:pPr>
        <w:pStyle w:val="NumberedParaAR"/>
        <w:numPr>
          <w:ilvl w:val="0"/>
          <w:numId w:val="0"/>
        </w:numPr>
        <w:spacing w:line="400" w:lineRule="exact"/>
        <w:rPr>
          <w:b/>
          <w:bCs/>
          <w:sz w:val="40"/>
          <w:szCs w:val="40"/>
          <w:rtl/>
        </w:rPr>
      </w:pPr>
      <w:r w:rsidRPr="00A03BC2">
        <w:rPr>
          <w:rFonts w:hint="cs"/>
          <w:b/>
          <w:bCs/>
          <w:sz w:val="40"/>
          <w:szCs w:val="40"/>
          <w:rtl/>
        </w:rPr>
        <w:t xml:space="preserve">معلومات </w:t>
      </w:r>
      <w:bookmarkStart w:id="2" w:name="_GoBack"/>
      <w:r w:rsidRPr="00A03BC2">
        <w:rPr>
          <w:rFonts w:hint="cs"/>
          <w:b/>
          <w:bCs/>
          <w:sz w:val="40"/>
          <w:szCs w:val="40"/>
          <w:rtl/>
        </w:rPr>
        <w:t>أساسية</w:t>
      </w:r>
      <w:bookmarkEnd w:id="2"/>
    </w:p>
    <w:p w:rsidR="00A03BC2" w:rsidRPr="00492116" w:rsidRDefault="00A03BC2" w:rsidP="00A03BC2">
      <w:pPr>
        <w:pStyle w:val="NumberedParaAR"/>
        <w:numPr>
          <w:ilvl w:val="0"/>
          <w:numId w:val="22"/>
        </w:numPr>
      </w:pPr>
      <w:r w:rsidRPr="00A03BC2">
        <w:rPr>
          <w:rFonts w:hint="cs"/>
          <w:rtl/>
          <w:lang w:val="fr-CH"/>
        </w:rPr>
        <w:t xml:space="preserve">وافقت جمعيات الدول الأعضاء في الويبو في سبتمبر 2010 على مسار لإدراج المشروعات المقترحة من اللجنة المعنية بالتنمية والملكية الفكرية لتنفيذ توصيات جدول أعمال التنمية ضمن المسارات العادية لإعداد برنامج المنظمة وميزانيتها على النحو الموضح في الفقرات من 13 إلى 18 من الوثيقة </w:t>
      </w:r>
      <w:r w:rsidRPr="00172B2D">
        <w:t>WO/PBC/15/6 Rev</w:t>
      </w:r>
      <w:r>
        <w:t>.</w:t>
      </w:r>
      <w:r w:rsidRPr="00A03BC2">
        <w:rPr>
          <w:rFonts w:hint="cs"/>
          <w:rtl/>
          <w:lang w:val="fr-CH"/>
        </w:rPr>
        <w:t>. واتفقت الجمعيات أيضا على أن يخضع هذا المسار المعتمد إلى المراجعة خلال دورة لجنة البرنامج والميزانية المنعقدة في عام 2013.</w:t>
      </w:r>
    </w:p>
    <w:p w:rsidR="00A03BC2" w:rsidRDefault="00A03BC2" w:rsidP="00A03BC2">
      <w:pPr>
        <w:pStyle w:val="NumberedParaAR"/>
      </w:pPr>
      <w:r>
        <w:rPr>
          <w:rFonts w:hint="cs"/>
          <w:rtl/>
        </w:rPr>
        <w:t>ويتألف المسار المعتمد من مقاربة من عدة مراحل تضم حلا مؤقتا لعام 2011، وحلا لإدراج التخطيط لمشروعات وأنشطة جدول أعمال التنمية بالكامل في برنامج المنظمة وميزانيتها للثنائية 2012/2013.</w:t>
      </w:r>
    </w:p>
    <w:p w:rsidR="00A03BC2" w:rsidRDefault="00A03BC2" w:rsidP="00A03BC2">
      <w:pPr>
        <w:pStyle w:val="NumberedParaAR"/>
      </w:pPr>
      <w:r>
        <w:rPr>
          <w:rFonts w:hint="cs"/>
          <w:rtl/>
        </w:rPr>
        <w:t>ويجدر التذكير بأنه في إطار تنفيذ الحل المتكامل، اتفق أيضا على أن تساعد الأمانة الدول الأعضاء على ضمان أن تحتوي جميع الاقتراحات المقدمة بمشروعات وأنشطة لجدول أعمال التنمية في وصفها على بيان محدد يوضح "1" البرنامج الواحد أو الأكثر الذي من المقترح تنفيذ المشروعات والأنشطة في إطاره؛ "2" والنتيجة الواحدة أو الأكثر المرتقبة التي يراد من المشروعات والأنشطة أن تساهم في تحقيقها وكيفية إسهامها في ذلك؛ "3" والموارد الضرورية المحددة في إطار كل برنامج؛ "4"</w:t>
      </w:r>
      <w:r>
        <w:rPr>
          <w:rFonts w:hint="eastAsia"/>
          <w:rtl/>
        </w:rPr>
        <w:t> </w:t>
      </w:r>
      <w:r>
        <w:rPr>
          <w:rFonts w:hint="cs"/>
          <w:rtl/>
        </w:rPr>
        <w:t>وتوزيع الموارد المطلوبة لكل ثنائية (ليمكن إدراجها في وثائق البرامج والميزانيات المتعاقبة، عند الضرورة).</w:t>
      </w:r>
    </w:p>
    <w:p w:rsidR="00A03BC2" w:rsidRDefault="00A03BC2" w:rsidP="00C65F73">
      <w:pPr>
        <w:pStyle w:val="NumberedParaAR"/>
        <w:keepNext/>
      </w:pPr>
      <w:r>
        <w:rPr>
          <w:rFonts w:hint="cs"/>
          <w:rtl/>
        </w:rPr>
        <w:lastRenderedPageBreak/>
        <w:t>ونتيجة لما جاء أعلاه، فمن شأن وثيقة البرنامج والميزانية المقترحة أن:</w:t>
      </w:r>
    </w:p>
    <w:p w:rsidR="00A03BC2" w:rsidRDefault="00C65F73" w:rsidP="00A03BC2">
      <w:pPr>
        <w:pStyle w:val="NumberedParaAR"/>
        <w:numPr>
          <w:ilvl w:val="0"/>
          <w:numId w:val="0"/>
        </w:numPr>
        <w:spacing w:after="0"/>
        <w:ind w:left="1134" w:hanging="567"/>
        <w:rPr>
          <w:rtl/>
        </w:rPr>
      </w:pPr>
      <w:r>
        <w:rPr>
          <w:rFonts w:hint="cs"/>
          <w:rtl/>
        </w:rPr>
        <w:t>(أ)</w:t>
      </w:r>
      <w:r w:rsidR="00A03BC2">
        <w:rPr>
          <w:rFonts w:hint="cs"/>
          <w:rtl/>
        </w:rPr>
        <w:tab/>
        <w:t xml:space="preserve">تحتوي على إشارات محددة في وصف كل برنامج إلى المشروعات التي اعتمدتها اللجنة المعنية بالتنمية والملكية الفكرية </w:t>
      </w:r>
      <w:r w:rsidR="00D229D1">
        <w:rPr>
          <w:rFonts w:hint="cs"/>
          <w:rtl/>
        </w:rPr>
        <w:t>وإ</w:t>
      </w:r>
      <w:r>
        <w:rPr>
          <w:rFonts w:hint="cs"/>
          <w:rtl/>
        </w:rPr>
        <w:t>سهام</w:t>
      </w:r>
      <w:r w:rsidR="00A03BC2">
        <w:rPr>
          <w:rFonts w:hint="cs"/>
          <w:rtl/>
        </w:rPr>
        <w:t xml:space="preserve"> تلك المشروعات المتوقع في تحقيق النتائج المرتقبة؛</w:t>
      </w:r>
    </w:p>
    <w:p w:rsidR="00A03BC2" w:rsidRDefault="00D229D1" w:rsidP="00A03BC2">
      <w:pPr>
        <w:pStyle w:val="NumberedParaAR"/>
        <w:numPr>
          <w:ilvl w:val="0"/>
          <w:numId w:val="0"/>
        </w:numPr>
        <w:ind w:left="1133" w:hanging="567"/>
        <w:rPr>
          <w:rtl/>
        </w:rPr>
      </w:pPr>
      <w:r>
        <w:rPr>
          <w:rFonts w:hint="cs"/>
          <w:rtl/>
        </w:rPr>
        <w:t>(ب)</w:t>
      </w:r>
      <w:r w:rsidR="00A03BC2">
        <w:rPr>
          <w:rFonts w:hint="cs"/>
          <w:rtl/>
        </w:rPr>
        <w:tab/>
        <w:t>تشمل جدولا ملخصا يعرض لمحة عامة عن كافة الأموال المخصصة لمشروعات جدول أعمال التنمية بحسب كل برنامج.</w:t>
      </w:r>
    </w:p>
    <w:p w:rsidR="00A03BC2" w:rsidRPr="007B275D" w:rsidRDefault="00A03BC2" w:rsidP="00A03BC2">
      <w:pPr>
        <w:pStyle w:val="NumberedParaAR"/>
        <w:numPr>
          <w:ilvl w:val="0"/>
          <w:numId w:val="0"/>
        </w:numPr>
        <w:spacing w:line="400" w:lineRule="exact"/>
        <w:rPr>
          <w:b/>
          <w:bCs/>
          <w:sz w:val="40"/>
          <w:szCs w:val="40"/>
        </w:rPr>
      </w:pPr>
      <w:r w:rsidRPr="007B275D">
        <w:rPr>
          <w:rFonts w:hint="cs"/>
          <w:b/>
          <w:bCs/>
          <w:sz w:val="40"/>
          <w:szCs w:val="40"/>
          <w:rtl/>
        </w:rPr>
        <w:t>مراجعة تنفيذ الحل المتكام</w:t>
      </w:r>
      <w:r>
        <w:rPr>
          <w:rFonts w:hint="cs"/>
          <w:b/>
          <w:bCs/>
          <w:sz w:val="40"/>
          <w:szCs w:val="40"/>
          <w:rtl/>
        </w:rPr>
        <w:t>ل</w:t>
      </w:r>
    </w:p>
    <w:p w:rsidR="00A03BC2" w:rsidRDefault="00A03BC2" w:rsidP="00A03BC2">
      <w:pPr>
        <w:pStyle w:val="NumberedParaAR"/>
      </w:pPr>
      <w:r>
        <w:rPr>
          <w:rFonts w:hint="cs"/>
          <w:rtl/>
        </w:rPr>
        <w:t>عملا بالحل المتكامل الذي وافقت عليه الدول الأعضاء تضمنت وثيقة البرنامج والميزانية للثنائية 2012/2013 لأول مرة الأموال المخصصة من الميزانية بحسب كل برنامج وبحسب كل نتيجة مرتقبة، لتنفيذ مشروعات جدول أعمال التنمية، وذلك على النحو التالي:</w:t>
      </w:r>
    </w:p>
    <w:p w:rsidR="00A03BC2" w:rsidRDefault="00F87A1D" w:rsidP="00A03BC2">
      <w:pPr>
        <w:pStyle w:val="NumberedParaAR"/>
        <w:numPr>
          <w:ilvl w:val="0"/>
          <w:numId w:val="0"/>
        </w:numPr>
        <w:ind w:left="567"/>
        <w:rPr>
          <w:rtl/>
        </w:rPr>
      </w:pPr>
      <w:r>
        <w:rPr>
          <w:rFonts w:hint="cs"/>
          <w:rtl/>
        </w:rPr>
        <w:t>(أ)</w:t>
      </w:r>
      <w:r w:rsidR="00A03BC2">
        <w:rPr>
          <w:rFonts w:hint="cs"/>
          <w:rtl/>
        </w:rPr>
        <w:tab/>
        <w:t>خمسة مشروعات وافقت اللجنة على تنفيذها في الثنائية 2012/2013 هي:</w:t>
      </w:r>
    </w:p>
    <w:p w:rsidR="00A03BC2" w:rsidRDefault="00A03BC2" w:rsidP="00A03BC2">
      <w:pPr>
        <w:pStyle w:val="NumberedParaAR"/>
        <w:numPr>
          <w:ilvl w:val="0"/>
          <w:numId w:val="21"/>
        </w:numPr>
        <w:spacing w:after="120"/>
        <w:ind w:hanging="357"/>
      </w:pPr>
      <w:r>
        <w:rPr>
          <w:rFonts w:hint="cs"/>
          <w:rtl/>
        </w:rPr>
        <w:t xml:space="preserve">مشروع </w:t>
      </w:r>
      <w:r w:rsidRPr="007B275D">
        <w:rPr>
          <w:rtl/>
        </w:rPr>
        <w:t>الملكية الفكرية وتوسيم المنتجات لتطوير الأعمال في البلدان النامية والبلدان الأقل نموا</w:t>
      </w:r>
      <w:r>
        <w:rPr>
          <w:rFonts w:hint="cs"/>
          <w:rtl/>
        </w:rPr>
        <w:t>؛</w:t>
      </w:r>
    </w:p>
    <w:p w:rsidR="00A03BC2" w:rsidRDefault="00A03BC2" w:rsidP="00A03BC2">
      <w:pPr>
        <w:pStyle w:val="NumberedParaAR"/>
        <w:numPr>
          <w:ilvl w:val="0"/>
          <w:numId w:val="21"/>
        </w:numPr>
        <w:spacing w:after="120"/>
        <w:ind w:hanging="357"/>
      </w:pPr>
      <w:r>
        <w:rPr>
          <w:rFonts w:hint="cs"/>
          <w:rtl/>
        </w:rPr>
        <w:t>ومشروع الملكية الفكرية والتنمية الاجتماعية والاقتصادية؛</w:t>
      </w:r>
    </w:p>
    <w:p w:rsidR="00A03BC2" w:rsidRDefault="00A03BC2" w:rsidP="00A03BC2">
      <w:pPr>
        <w:pStyle w:val="NumberedParaAR"/>
        <w:numPr>
          <w:ilvl w:val="0"/>
          <w:numId w:val="21"/>
        </w:numPr>
        <w:spacing w:after="120"/>
        <w:ind w:hanging="357"/>
      </w:pPr>
      <w:r>
        <w:rPr>
          <w:rFonts w:hint="cs"/>
          <w:rtl/>
        </w:rPr>
        <w:t xml:space="preserve">ومشروع </w:t>
      </w:r>
      <w:r w:rsidRPr="00794BDE">
        <w:rPr>
          <w:rtl/>
        </w:rPr>
        <w:t>بشأن الملكية الفكرية ونقل التكنولوجيا: التحديات المشتركة وبناء الحلول</w:t>
      </w:r>
      <w:r>
        <w:rPr>
          <w:rFonts w:hint="cs"/>
          <w:rtl/>
        </w:rPr>
        <w:t>؛</w:t>
      </w:r>
    </w:p>
    <w:p w:rsidR="00A03BC2" w:rsidRDefault="00A03BC2" w:rsidP="00A03BC2">
      <w:pPr>
        <w:pStyle w:val="NumberedParaAR"/>
        <w:numPr>
          <w:ilvl w:val="0"/>
          <w:numId w:val="21"/>
        </w:numPr>
        <w:spacing w:after="120"/>
        <w:ind w:hanging="357"/>
      </w:pPr>
      <w:r>
        <w:rPr>
          <w:rFonts w:hint="cs"/>
          <w:rtl/>
        </w:rPr>
        <w:t>و</w:t>
      </w:r>
      <w:r w:rsidRPr="00794BDE">
        <w:rPr>
          <w:rtl/>
        </w:rPr>
        <w:t>المشروعات التعاونية المفتوحة والنماذج القائمة على الملكية الفكرية</w:t>
      </w:r>
      <w:r>
        <w:rPr>
          <w:rFonts w:hint="cs"/>
          <w:rtl/>
        </w:rPr>
        <w:t>؛</w:t>
      </w:r>
    </w:p>
    <w:p w:rsidR="00A03BC2" w:rsidRDefault="00A03BC2" w:rsidP="00A03BC2">
      <w:pPr>
        <w:pStyle w:val="NumberedParaAR"/>
        <w:numPr>
          <w:ilvl w:val="0"/>
          <w:numId w:val="21"/>
        </w:numPr>
      </w:pPr>
      <w:r>
        <w:rPr>
          <w:rFonts w:hint="cs"/>
          <w:rtl/>
        </w:rPr>
        <w:t>و</w:t>
      </w:r>
      <w:r w:rsidRPr="00794BDE">
        <w:rPr>
          <w:rtl/>
        </w:rPr>
        <w:t>مشروع الملكية الفكرية وهجرة الأدمغة</w:t>
      </w:r>
      <w:r>
        <w:rPr>
          <w:rFonts w:hint="cs"/>
          <w:rtl/>
        </w:rPr>
        <w:t>.</w:t>
      </w:r>
    </w:p>
    <w:p w:rsidR="00A03BC2" w:rsidRDefault="00F87A1D" w:rsidP="00A03BC2">
      <w:pPr>
        <w:pStyle w:val="NumberedParaAR"/>
        <w:numPr>
          <w:ilvl w:val="0"/>
          <w:numId w:val="0"/>
        </w:numPr>
        <w:ind w:left="567"/>
        <w:rPr>
          <w:rtl/>
        </w:rPr>
      </w:pPr>
      <w:r>
        <w:rPr>
          <w:rFonts w:hint="cs"/>
          <w:rtl/>
        </w:rPr>
        <w:t>(ب)</w:t>
      </w:r>
      <w:r w:rsidR="00A03BC2">
        <w:rPr>
          <w:rFonts w:hint="cs"/>
          <w:rtl/>
        </w:rPr>
        <w:tab/>
        <w:t>مشروعان نوقشا ولكن لم يعتمدا خلال دورتي اللجنة المنعقدتين في عام 2011:</w:t>
      </w:r>
    </w:p>
    <w:p w:rsidR="00A03BC2" w:rsidRDefault="00A03BC2" w:rsidP="00A03BC2">
      <w:pPr>
        <w:pStyle w:val="NumberedParaAR"/>
        <w:numPr>
          <w:ilvl w:val="0"/>
          <w:numId w:val="21"/>
        </w:numPr>
        <w:spacing w:after="120"/>
        <w:ind w:hanging="357"/>
      </w:pPr>
      <w:r>
        <w:rPr>
          <w:rFonts w:hint="cs"/>
          <w:rtl/>
        </w:rPr>
        <w:t>مشروع بشأن البراءات والملك العام؛</w:t>
      </w:r>
    </w:p>
    <w:p w:rsidR="00A03BC2" w:rsidRDefault="00A03BC2" w:rsidP="00A03BC2">
      <w:pPr>
        <w:pStyle w:val="NumberedParaAR"/>
        <w:numPr>
          <w:ilvl w:val="0"/>
          <w:numId w:val="21"/>
        </w:numPr>
      </w:pPr>
      <w:r>
        <w:rPr>
          <w:rFonts w:hint="cs"/>
          <w:rtl/>
        </w:rPr>
        <w:t xml:space="preserve">ومشروع بشأن </w:t>
      </w:r>
      <w:r w:rsidRPr="00794BDE">
        <w:rPr>
          <w:rtl/>
        </w:rPr>
        <w:t>التعاون حول الملكية الفكرية والتنمية فيما بين بلدان الجنوب من بلدان نامية وبلدان أقل نموا</w:t>
      </w:r>
      <w:r>
        <w:rPr>
          <w:rFonts w:hint="cs"/>
          <w:rtl/>
        </w:rPr>
        <w:t>.</w:t>
      </w:r>
    </w:p>
    <w:p w:rsidR="00A03BC2" w:rsidRDefault="00F87A1D" w:rsidP="00A03BC2">
      <w:pPr>
        <w:pStyle w:val="NumberedParaAR"/>
        <w:numPr>
          <w:ilvl w:val="0"/>
          <w:numId w:val="0"/>
        </w:numPr>
        <w:ind w:left="1133" w:hanging="567"/>
        <w:rPr>
          <w:rtl/>
        </w:rPr>
      </w:pPr>
      <w:r>
        <w:rPr>
          <w:rFonts w:hint="cs"/>
          <w:rtl/>
        </w:rPr>
        <w:t>(ج)</w:t>
      </w:r>
      <w:r w:rsidR="00A03BC2">
        <w:rPr>
          <w:rFonts w:hint="cs"/>
          <w:rtl/>
        </w:rPr>
        <w:tab/>
        <w:t>المراحل الثانية المقترحة للمشروعات الثلاثة التالية، رهنا بإجراء تقييم مستقل للمرحلة الأولى وموافقة اللجنة على تنفيذ المرحلة الثانية:</w:t>
      </w:r>
    </w:p>
    <w:p w:rsidR="00A03BC2" w:rsidRDefault="00A03BC2" w:rsidP="00A03BC2">
      <w:pPr>
        <w:pStyle w:val="NumberedParaAR"/>
        <w:numPr>
          <w:ilvl w:val="0"/>
          <w:numId w:val="21"/>
        </w:numPr>
        <w:spacing w:after="120"/>
        <w:ind w:hanging="357"/>
      </w:pPr>
      <w:r>
        <w:rPr>
          <w:rFonts w:hint="cs"/>
          <w:rtl/>
        </w:rPr>
        <w:t>م</w:t>
      </w:r>
      <w:r w:rsidRPr="00794BDE">
        <w:rPr>
          <w:rtl/>
        </w:rPr>
        <w:t>شروع رائد لإنشاء أكاديميات وطنية "ناشئة" في مجال الملكية الفكرية</w:t>
      </w:r>
      <w:r w:rsidR="00F87A1D">
        <w:rPr>
          <w:rFonts w:hint="cs"/>
          <w:rtl/>
        </w:rPr>
        <w:t>؛</w:t>
      </w:r>
    </w:p>
    <w:p w:rsidR="00A03BC2" w:rsidRDefault="00A03BC2" w:rsidP="00A03BC2">
      <w:pPr>
        <w:pStyle w:val="NumberedParaAR"/>
        <w:numPr>
          <w:ilvl w:val="0"/>
          <w:numId w:val="21"/>
        </w:numPr>
        <w:spacing w:after="120"/>
        <w:ind w:hanging="357"/>
      </w:pPr>
      <w:r>
        <w:rPr>
          <w:rFonts w:hint="cs"/>
          <w:rtl/>
        </w:rPr>
        <w:t>و</w:t>
      </w:r>
      <w:r>
        <w:rPr>
          <w:rtl/>
        </w:rPr>
        <w:t xml:space="preserve">مشروع </w:t>
      </w:r>
      <w:r w:rsidRPr="00794BDE">
        <w:rPr>
          <w:rtl/>
        </w:rPr>
        <w:t>استنباط أدوات للنفاذ إلى المعلومات المتعلقة بالبراءات</w:t>
      </w:r>
      <w:r>
        <w:rPr>
          <w:rFonts w:hint="cs"/>
          <w:rtl/>
        </w:rPr>
        <w:t>؛</w:t>
      </w:r>
    </w:p>
    <w:p w:rsidR="00A03BC2" w:rsidRDefault="00A03BC2" w:rsidP="00A03BC2">
      <w:pPr>
        <w:pStyle w:val="NumberedParaAR"/>
        <w:numPr>
          <w:ilvl w:val="0"/>
          <w:numId w:val="21"/>
        </w:numPr>
      </w:pPr>
      <w:r>
        <w:rPr>
          <w:rFonts w:hint="cs"/>
          <w:rtl/>
        </w:rPr>
        <w:t>و</w:t>
      </w:r>
      <w:r w:rsidRPr="00794BDE">
        <w:rPr>
          <w:rtl/>
        </w:rPr>
        <w:t>مشروع النفاذ إلى قواعد البيانات المتخصصة ودعمه</w:t>
      </w:r>
      <w:r>
        <w:rPr>
          <w:rFonts w:hint="cs"/>
          <w:rtl/>
        </w:rPr>
        <w:t>ا</w:t>
      </w:r>
      <w:r w:rsidR="00F87A1D">
        <w:rPr>
          <w:rFonts w:hint="cs"/>
          <w:rtl/>
        </w:rPr>
        <w:t>.</w:t>
      </w:r>
    </w:p>
    <w:p w:rsidR="00A03BC2" w:rsidRDefault="00A03BC2" w:rsidP="00A03BC2">
      <w:pPr>
        <w:pStyle w:val="NumberedParaAR"/>
      </w:pPr>
      <w:r>
        <w:rPr>
          <w:rFonts w:hint="cs"/>
          <w:rtl/>
        </w:rPr>
        <w:t>وقد تجسد تنفيذ المشروعات المذكورة أعلاه المتوقع ضمن البرنامج والميزانية للثنائية 2012/2013 على النحو التالي:</w:t>
      </w:r>
    </w:p>
    <w:p w:rsidR="00A03BC2" w:rsidRDefault="00F87A1D" w:rsidP="00A03BC2">
      <w:pPr>
        <w:pStyle w:val="NumberedParaAR"/>
        <w:numPr>
          <w:ilvl w:val="0"/>
          <w:numId w:val="0"/>
        </w:numPr>
        <w:spacing w:after="120"/>
        <w:ind w:left="1134" w:hanging="567"/>
        <w:rPr>
          <w:rtl/>
        </w:rPr>
      </w:pPr>
      <w:r>
        <w:rPr>
          <w:rFonts w:hint="cs"/>
          <w:rtl/>
        </w:rPr>
        <w:t>(أ)</w:t>
      </w:r>
      <w:r w:rsidR="00A03BC2">
        <w:rPr>
          <w:rFonts w:hint="cs"/>
          <w:rtl/>
        </w:rPr>
        <w:tab/>
        <w:t>يجري تنفيذ المشروعات الخمسة التي وافقت عليها اللجنة للثنائية 2012/2013 ويجري رفع التقارير عنها داخل اللجنة من خلال تقارير مرحلية منتظمة.</w:t>
      </w:r>
    </w:p>
    <w:p w:rsidR="00A03BC2" w:rsidRDefault="00F87A1D" w:rsidP="00A03BC2">
      <w:pPr>
        <w:pStyle w:val="NumberedParaAR"/>
        <w:numPr>
          <w:ilvl w:val="0"/>
          <w:numId w:val="0"/>
        </w:numPr>
        <w:spacing w:after="120"/>
        <w:ind w:left="1134" w:hanging="567"/>
        <w:rPr>
          <w:rtl/>
        </w:rPr>
      </w:pPr>
      <w:r>
        <w:rPr>
          <w:rFonts w:hint="cs"/>
          <w:rtl/>
        </w:rPr>
        <w:lastRenderedPageBreak/>
        <w:t>(ب)</w:t>
      </w:r>
      <w:r w:rsidR="00A03BC2">
        <w:rPr>
          <w:rFonts w:hint="cs"/>
          <w:rtl/>
        </w:rPr>
        <w:tab/>
        <w:t>وافقت اللجنة في عام 2012 على المشروعين اللذين ناقشتهما ولكن لم توافق عليهما في عام 2011. واستُهل تنفيذهما عقب الموافقة عليهما مباشرة استنادا إلى الأموال المخصصة في وثيقة البرنامج والميزانية المعتمدة للثنائية 2012/2013.</w:t>
      </w:r>
    </w:p>
    <w:p w:rsidR="00A03BC2" w:rsidRDefault="00F87A1D" w:rsidP="00A03BC2">
      <w:pPr>
        <w:pStyle w:val="NumberedParaAR"/>
        <w:numPr>
          <w:ilvl w:val="0"/>
          <w:numId w:val="0"/>
        </w:numPr>
        <w:ind w:left="1133" w:hanging="567"/>
      </w:pPr>
      <w:r>
        <w:rPr>
          <w:rFonts w:hint="cs"/>
          <w:rtl/>
        </w:rPr>
        <w:t>(ج)</w:t>
      </w:r>
      <w:r w:rsidR="00A03BC2">
        <w:rPr>
          <w:rFonts w:hint="cs"/>
          <w:rtl/>
        </w:rPr>
        <w:tab/>
        <w:t>وافقت اللجنة على تنفيذ المرحلة الثانية المقترحة للمشروعات الثلاثة عقب إجراء التقييم المستقل للمرحلة الأولى. واستُهل تنفيذ المرحلة الثانية للمشروعات عقب الموافقة عليها مباشرة استنادا إلى الأموال المخصصة في وثيقة البرنامج والميزانية للثنائية 2012/2013.</w:t>
      </w:r>
    </w:p>
    <w:p w:rsidR="00A03BC2" w:rsidRDefault="00A03BC2" w:rsidP="00A03BC2">
      <w:pPr>
        <w:pStyle w:val="NumberedParaAR"/>
      </w:pPr>
      <w:r>
        <w:rPr>
          <w:rFonts w:hint="cs"/>
          <w:rtl/>
        </w:rPr>
        <w:t>وفضلا عن المشروعات المذكورة أعلاه المتوقعة في وثيقة البرنامج والميزانية للثنائية 2012/2013، اقترحت بوركينا فاصو مشروعا (</w:t>
      </w:r>
      <w:r>
        <w:rPr>
          <w:rtl/>
        </w:rPr>
        <w:t>تعزيز وتطوير القطاع السمعي البصري في بوركينا فاصو</w:t>
      </w:r>
      <w:r>
        <w:rPr>
          <w:rFonts w:hint="cs"/>
          <w:rtl/>
        </w:rPr>
        <w:t xml:space="preserve"> </w:t>
      </w:r>
      <w:r>
        <w:rPr>
          <w:rtl/>
        </w:rPr>
        <w:t>وبعض البلدان الأفريقية</w:t>
      </w:r>
      <w:r>
        <w:rPr>
          <w:rFonts w:hint="cs"/>
          <w:rtl/>
        </w:rPr>
        <w:t xml:space="preserve">) في عام 2012. وعقب موافقة اللجنة عليه، حُددت الموارد اللازمة لتنفيذه في الثنائية 2012/2013 من </w:t>
      </w:r>
      <w:proofErr w:type="spellStart"/>
      <w:r>
        <w:rPr>
          <w:rFonts w:hint="cs"/>
          <w:rtl/>
        </w:rPr>
        <w:t>الوفورات</w:t>
      </w:r>
      <w:proofErr w:type="spellEnd"/>
      <w:r>
        <w:rPr>
          <w:rFonts w:hint="cs"/>
          <w:rtl/>
        </w:rPr>
        <w:t xml:space="preserve"> المحققة من تنفيذ مشروعات جدول أعمال التنمية. </w:t>
      </w:r>
    </w:p>
    <w:p w:rsidR="00A03BC2" w:rsidRDefault="00A03BC2" w:rsidP="00A03BC2">
      <w:pPr>
        <w:pStyle w:val="NumberedParaAR"/>
      </w:pPr>
      <w:r>
        <w:rPr>
          <w:rFonts w:hint="cs"/>
          <w:rtl/>
        </w:rPr>
        <w:t>ولقد أدى تنفيذ الحل المتكامل خلال الثنائية 2012/2013، على النحو المتوخى في وقت الموافقة على المسار، إلى تماشي التخطيط ووضع الميزانية لمشروعات وأنشطة جدول أعمال التنمية، وسائر أنشطة المنظمة، مع إطار الإدارة القائمة على النتائج، وضَمَنَ توافر الأموال على الفور من أجل تنفيذ مشروعات جدول أعمال التنمية، وبالتالي أدى إلى تلافي طول الفترة الزمنية بين الموافقة على المشروعات والبدء في تنفيذها.</w:t>
      </w:r>
    </w:p>
    <w:p w:rsidR="00A03BC2" w:rsidRDefault="00A03BC2" w:rsidP="00A03BC2">
      <w:pPr>
        <w:pStyle w:val="DecisionParaAR"/>
      </w:pPr>
      <w:r>
        <w:rPr>
          <w:rFonts w:hint="cs"/>
          <w:rtl/>
        </w:rPr>
        <w:t xml:space="preserve">إن لجنة البرنامج </w:t>
      </w:r>
      <w:r w:rsidR="00F87A1D">
        <w:rPr>
          <w:rFonts w:hint="cs"/>
          <w:rtl/>
        </w:rPr>
        <w:t>والميزانية مدعوة إلى توصية جمعيات</w:t>
      </w:r>
      <w:r>
        <w:rPr>
          <w:rFonts w:hint="cs"/>
          <w:rtl/>
        </w:rPr>
        <w:t xml:space="preserve"> الدول الأعضاء في الويبو بالإحاطة علما بمضمون هذه الوثيقة.</w:t>
      </w:r>
    </w:p>
    <w:p w:rsidR="00A03BC2" w:rsidRDefault="00A03BC2" w:rsidP="00A03BC2">
      <w:pPr>
        <w:pStyle w:val="EndofDocumentAR"/>
        <w:rPr>
          <w:rtl/>
        </w:rPr>
      </w:pPr>
      <w:r>
        <w:rPr>
          <w:rFonts w:hint="cs"/>
          <w:rtl/>
        </w:rPr>
        <w:t>[نهاية الوثيقة]</w:t>
      </w:r>
    </w:p>
    <w:sectPr w:rsidR="00A03BC2" w:rsidSect="00C65F73">
      <w:headerReference w:type="default" r:id="rId9"/>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A1D" w:rsidRDefault="00F87A1D">
      <w:r>
        <w:separator/>
      </w:r>
    </w:p>
  </w:endnote>
  <w:endnote w:type="continuationSeparator" w:id="0">
    <w:p w:rsidR="00F87A1D" w:rsidRDefault="00F87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A1D" w:rsidRDefault="00F87A1D" w:rsidP="009622BF">
      <w:pPr>
        <w:bidi/>
      </w:pPr>
      <w:bookmarkStart w:id="0" w:name="OLE_LINK1"/>
      <w:bookmarkStart w:id="1" w:name="OLE_LINK2"/>
      <w:r>
        <w:separator/>
      </w:r>
      <w:bookmarkEnd w:id="0"/>
      <w:bookmarkEnd w:id="1"/>
    </w:p>
  </w:footnote>
  <w:footnote w:type="continuationSeparator" w:id="0">
    <w:p w:rsidR="00F87A1D" w:rsidRDefault="00F87A1D"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A1D" w:rsidRPr="00B552F5" w:rsidRDefault="00F87A1D" w:rsidP="00F87A1D">
    <w:pPr>
      <w:rPr>
        <w:rtl/>
        <w:lang w:val="fr-CH"/>
      </w:rPr>
    </w:pPr>
    <w:r>
      <w:t>WO/PBC/20/4</w:t>
    </w:r>
  </w:p>
  <w:p w:rsidR="00F87A1D" w:rsidRDefault="00F87A1D" w:rsidP="00D61541">
    <w:r>
      <w:fldChar w:fldCharType="begin"/>
    </w:r>
    <w:r>
      <w:instrText xml:space="preserve"> PAGE  \* MERGEFORMAT </w:instrText>
    </w:r>
    <w:r>
      <w:fldChar w:fldCharType="separate"/>
    </w:r>
    <w:r w:rsidR="00086781">
      <w:rPr>
        <w:noProof/>
      </w:rPr>
      <w:t>3</w:t>
    </w:r>
    <w:r>
      <w:fldChar w:fldCharType="end"/>
    </w:r>
  </w:p>
  <w:p w:rsidR="00F87A1D" w:rsidRDefault="00F87A1D"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8BD031AE"/>
    <w:lvl w:ilvl="0" w:tplc="8716D08E">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C9771F"/>
    <w:multiLevelType w:val="hybridMultilevel"/>
    <w:tmpl w:val="47B0BD70"/>
    <w:lvl w:ilvl="0" w:tplc="4E244ABA">
      <w:numFmt w:val="bullet"/>
      <w:lvlText w:val="-"/>
      <w:lvlJc w:val="left"/>
      <w:pPr>
        <w:ind w:left="1497" w:hanging="360"/>
      </w:pPr>
      <w:rPr>
        <w:rFonts w:ascii="Arabic Typesetting" w:eastAsia="Times New Roman" w:hAnsi="Arabic Typesetting" w:cs="Arabic Typesetting"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18"/>
  </w:num>
  <w:num w:numId="5">
    <w:abstractNumId w:val="8"/>
  </w:num>
  <w:num w:numId="6">
    <w:abstractNumId w:val="19"/>
  </w:num>
  <w:num w:numId="7">
    <w:abstractNumId w:val="14"/>
  </w:num>
  <w:num w:numId="8">
    <w:abstractNumId w:val="17"/>
  </w:num>
  <w:num w:numId="9">
    <w:abstractNumId w:val="16"/>
  </w:num>
  <w:num w:numId="10">
    <w:abstractNumId w:val="2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3"/>
  </w:num>
  <w:num w:numId="22">
    <w:abstractNumId w:val="12"/>
    <w:lvlOverride w:ilvl="0">
      <w:startOverride w:val="1"/>
    </w:lvlOverride>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12D"/>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57967"/>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781"/>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56B2"/>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718"/>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2A4"/>
    <w:rsid w:val="001E175F"/>
    <w:rsid w:val="001E19F7"/>
    <w:rsid w:val="001E2669"/>
    <w:rsid w:val="001E3FB9"/>
    <w:rsid w:val="001E4083"/>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16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31D"/>
    <w:rsid w:val="003D37D4"/>
    <w:rsid w:val="003D47A7"/>
    <w:rsid w:val="003D56B5"/>
    <w:rsid w:val="003D5DCC"/>
    <w:rsid w:val="003D6B84"/>
    <w:rsid w:val="003D7955"/>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C45"/>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12D"/>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161"/>
    <w:rsid w:val="006A6A14"/>
    <w:rsid w:val="006A753A"/>
    <w:rsid w:val="006A777C"/>
    <w:rsid w:val="006A7C46"/>
    <w:rsid w:val="006B0F76"/>
    <w:rsid w:val="006B1F20"/>
    <w:rsid w:val="006B22C6"/>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3869"/>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4021"/>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9F7"/>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3BC2"/>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2DE1"/>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5F73"/>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29D1"/>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1D"/>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ABC"/>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_5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A_51_AR.dotx</Template>
  <TotalTime>48</TotalTime>
  <Pages>5</Pages>
  <Words>862</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A/51/15 (Arabic)</vt:lpstr>
    </vt:vector>
  </TitlesOfParts>
  <Company>World Intellectual Property Organization</Company>
  <LinksUpToDate>false</LinksUpToDate>
  <CharactersWithSpaces>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A/51/15 (Arabic)</dc:title>
  <dc:creator>وثيقة من إعداد الأمانة</dc:creator>
  <cp:lastModifiedBy>MERZOUK Fawzi</cp:lastModifiedBy>
  <cp:revision>15</cp:revision>
  <cp:lastPrinted>2013-07-22T09:20:00Z</cp:lastPrinted>
  <dcterms:created xsi:type="dcterms:W3CDTF">2013-07-22T08:27:00Z</dcterms:created>
  <dcterms:modified xsi:type="dcterms:W3CDTF">2013-07-22T09:22:00Z</dcterms:modified>
</cp:coreProperties>
</file>