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578" w:type="dxa"/>
        <w:tblInd w:w="-5" w:type="dxa"/>
        <w:tblLook w:val="01E0" w:firstRow="1" w:lastRow="1" w:firstColumn="1" w:lastColumn="1" w:noHBand="0" w:noVBand="0"/>
      </w:tblPr>
      <w:tblGrid>
        <w:gridCol w:w="4628"/>
        <w:gridCol w:w="4443"/>
        <w:gridCol w:w="507"/>
      </w:tblGrid>
      <w:tr w:rsidR="0028285A" w:rsidTr="00C11E09">
        <w:tc>
          <w:tcPr>
            <w:tcW w:w="4628" w:type="dxa"/>
          </w:tcPr>
          <w:p w:rsidR="0028285A" w:rsidRDefault="0028285A" w:rsidP="001667B6">
            <w:pPr>
              <w:bidi/>
              <w:rPr>
                <w:rFonts w:ascii="Arabic Typesetting" w:hAnsi="Arabic Typesetting" w:cs="Arabic Typesetting"/>
                <w:sz w:val="36"/>
                <w:szCs w:val="36"/>
                <w:rtl/>
              </w:rPr>
            </w:pPr>
          </w:p>
        </w:tc>
        <w:tc>
          <w:tcPr>
            <w:tcW w:w="4443" w:type="dxa"/>
          </w:tcPr>
          <w:p w:rsidR="0028285A" w:rsidRDefault="0028285A" w:rsidP="001667B6">
            <w:pPr>
              <w:bidi/>
            </w:pPr>
          </w:p>
        </w:tc>
        <w:tc>
          <w:tcPr>
            <w:tcW w:w="507" w:type="dxa"/>
          </w:tcPr>
          <w:p w:rsidR="0028285A" w:rsidRDefault="0028285A" w:rsidP="001667B6">
            <w:pPr>
              <w:rPr>
                <w:b/>
                <w:bCs/>
                <w:sz w:val="40"/>
                <w:szCs w:val="40"/>
              </w:rPr>
            </w:pPr>
            <w:r>
              <w:rPr>
                <w:b/>
                <w:bCs/>
                <w:sz w:val="40"/>
                <w:szCs w:val="40"/>
              </w:rPr>
              <w:t>A</w:t>
            </w:r>
          </w:p>
        </w:tc>
      </w:tr>
      <w:tr w:rsidR="00C11E09" w:rsidTr="00C11E09">
        <w:trPr>
          <w:trHeight w:val="1508"/>
        </w:trPr>
        <w:tc>
          <w:tcPr>
            <w:tcW w:w="4628" w:type="dxa"/>
            <w:vAlign w:val="bottom"/>
          </w:tcPr>
          <w:p w:rsidR="00C11E09" w:rsidRDefault="00C11E09" w:rsidP="001667B6">
            <w:pPr>
              <w:bidi/>
              <w:rPr>
                <w:rFonts w:ascii="Arabic Typesetting" w:hAnsi="Arabic Typesetting" w:cs="Arabic Typesetting"/>
                <w:sz w:val="36"/>
                <w:szCs w:val="36"/>
                <w:rtl/>
              </w:rPr>
            </w:pPr>
          </w:p>
        </w:tc>
        <w:tc>
          <w:tcPr>
            <w:tcW w:w="4950" w:type="dxa"/>
            <w:gridSpan w:val="2"/>
          </w:tcPr>
          <w:p w:rsidR="00C11E09" w:rsidRPr="0028285A" w:rsidRDefault="00305AF0" w:rsidP="0028285A">
            <w:pPr>
              <w:bidi/>
              <w:rPr>
                <w:sz w:val="40"/>
                <w:szCs w:val="40"/>
                <w:rtl/>
              </w:rPr>
            </w:pPr>
            <w:r>
              <w:rPr>
                <w:noProof/>
              </w:rPr>
              <w:drawing>
                <wp:inline distT="0" distB="0" distL="0" distR="0" wp14:anchorId="55CF5185" wp14:editId="0D773276">
                  <wp:extent cx="1263650" cy="1200150"/>
                  <wp:effectExtent l="0" t="0" r="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650" cy="1200150"/>
                          </a:xfrm>
                          <a:prstGeom prst="rect">
                            <a:avLst/>
                          </a:prstGeom>
                          <a:noFill/>
                          <a:ln>
                            <a:noFill/>
                          </a:ln>
                        </pic:spPr>
                      </pic:pic>
                    </a:graphicData>
                  </a:graphic>
                </wp:inline>
              </w:drawing>
            </w:r>
          </w:p>
        </w:tc>
      </w:tr>
      <w:tr w:rsidR="001667B6" w:rsidTr="0028285A">
        <w:trPr>
          <w:trHeight w:val="333"/>
        </w:trPr>
        <w:tc>
          <w:tcPr>
            <w:tcW w:w="9578" w:type="dxa"/>
            <w:gridSpan w:val="3"/>
            <w:tcBorders>
              <w:top w:val="single" w:sz="4" w:space="0" w:color="auto"/>
            </w:tcBorders>
            <w:vAlign w:val="bottom"/>
          </w:tcPr>
          <w:p w:rsidR="00B6101C" w:rsidRPr="00B6101C" w:rsidRDefault="0028285A" w:rsidP="000438A8">
            <w:pPr>
              <w:pStyle w:val="DocumentCodeAR"/>
              <w:bidi/>
            </w:pPr>
            <w:r>
              <w:t>WIPO</w:t>
            </w:r>
            <w:r w:rsidR="00B6101C" w:rsidRPr="00B6101C">
              <w:t>/</w:t>
            </w:r>
            <w:r w:rsidR="00144768">
              <w:t>IP/ITAI/GE/18/1</w:t>
            </w:r>
            <w:r w:rsidR="00993B93">
              <w:t xml:space="preserve"> ADD.</w:t>
            </w:r>
          </w:p>
        </w:tc>
      </w:tr>
      <w:tr w:rsidR="001667B6" w:rsidTr="0028285A">
        <w:tc>
          <w:tcPr>
            <w:tcW w:w="9578" w:type="dxa"/>
            <w:gridSpan w:val="3"/>
          </w:tcPr>
          <w:p w:rsidR="001667B6" w:rsidRPr="00B6101C" w:rsidRDefault="00144768" w:rsidP="00FB7EC9">
            <w:pPr>
              <w:pStyle w:val="DocumentLanguageAR"/>
              <w:bidi/>
              <w:rPr>
                <w:rtl/>
                <w:lang w:bidi="ar-EG"/>
              </w:rPr>
            </w:pPr>
            <w:r>
              <w:rPr>
                <w:rFonts w:hint="cs"/>
                <w:rtl/>
              </w:rPr>
              <w:t xml:space="preserve">الأصل: </w:t>
            </w:r>
            <w:r>
              <w:rPr>
                <w:rFonts w:hint="cs"/>
                <w:rtl/>
                <w:lang w:bidi="ar-EG"/>
              </w:rPr>
              <w:t>بالإنكليزية</w:t>
            </w:r>
          </w:p>
        </w:tc>
      </w:tr>
      <w:tr w:rsidR="001667B6" w:rsidTr="0028285A">
        <w:tc>
          <w:tcPr>
            <w:tcW w:w="9578" w:type="dxa"/>
            <w:gridSpan w:val="3"/>
          </w:tcPr>
          <w:p w:rsidR="001667B6" w:rsidRPr="00B6101C" w:rsidRDefault="00B6101C" w:rsidP="00144768">
            <w:pPr>
              <w:pStyle w:val="DocumentDateAR"/>
              <w:bidi/>
              <w:rPr>
                <w:rtl/>
              </w:rPr>
            </w:pPr>
            <w:r w:rsidRPr="00B6101C">
              <w:rPr>
                <w:rFonts w:hint="cs"/>
                <w:rtl/>
              </w:rPr>
              <w:t xml:space="preserve">التاريخ: </w:t>
            </w:r>
            <w:r w:rsidR="00144768">
              <w:rPr>
                <w:rFonts w:hint="cs"/>
                <w:rtl/>
              </w:rPr>
              <w:t>29 مارس</w:t>
            </w:r>
            <w:r w:rsidRPr="00B6101C">
              <w:rPr>
                <w:rFonts w:hint="cs"/>
                <w:rtl/>
              </w:rPr>
              <w:t xml:space="preserve"> </w:t>
            </w:r>
            <w:r w:rsidR="00775D0C">
              <w:rPr>
                <w:rFonts w:hint="cs"/>
                <w:rtl/>
              </w:rPr>
              <w:t>2018</w:t>
            </w:r>
            <w:bookmarkStart w:id="2" w:name="_GoBack"/>
            <w:bookmarkEnd w:id="2"/>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44768" w:rsidRPr="00F27305" w:rsidRDefault="00144768" w:rsidP="00144768">
      <w:pPr>
        <w:pStyle w:val="MeetingTitleAR"/>
        <w:bidi/>
      </w:pPr>
      <w:r>
        <w:rPr>
          <w:rtl/>
        </w:rPr>
        <w:t>اجتماع مكاتب الملكية الفكرية بشأن استراتيجيات تكنولوجيا المعلومات والاتصالات وال</w:t>
      </w:r>
      <w:r>
        <w:rPr>
          <w:rFonts w:hint="cs"/>
          <w:rtl/>
        </w:rPr>
        <w:t>ذكاء</w:t>
      </w:r>
      <w:r>
        <w:rPr>
          <w:rtl/>
        </w:rPr>
        <w:t xml:space="preserve"> </w:t>
      </w:r>
      <w:r>
        <w:rPr>
          <w:rFonts w:hint="cs"/>
          <w:rtl/>
        </w:rPr>
        <w:t>الا</w:t>
      </w:r>
      <w:r>
        <w:rPr>
          <w:rtl/>
        </w:rPr>
        <w:t>ص</w:t>
      </w:r>
      <w:r>
        <w:rPr>
          <w:rFonts w:hint="cs"/>
          <w:rtl/>
        </w:rPr>
        <w:t>ط</w:t>
      </w:r>
      <w:r>
        <w:rPr>
          <w:rtl/>
        </w:rPr>
        <w:t>ناعي ل</w:t>
      </w:r>
      <w:r>
        <w:rPr>
          <w:rFonts w:hint="cs"/>
          <w:rtl/>
        </w:rPr>
        <w:t xml:space="preserve">أغراض </w:t>
      </w:r>
      <w:r>
        <w:rPr>
          <w:rtl/>
        </w:rPr>
        <w:t>إدارة الملكية الفكرية</w:t>
      </w:r>
      <w:r>
        <w:rPr>
          <w:rFonts w:hint="cs"/>
          <w:rtl/>
        </w:rPr>
        <w:t xml:space="preserve"> </w:t>
      </w:r>
    </w:p>
    <w:p w:rsidR="00144768" w:rsidRPr="0028285A" w:rsidRDefault="00144768" w:rsidP="00144768">
      <w:pPr>
        <w:pStyle w:val="NormalParaAR"/>
        <w:spacing w:after="0" w:line="400" w:lineRule="exact"/>
        <w:rPr>
          <w:sz w:val="40"/>
          <w:szCs w:val="40"/>
          <w:rtl/>
        </w:rPr>
      </w:pPr>
    </w:p>
    <w:p w:rsidR="00144768" w:rsidRPr="0028285A" w:rsidRDefault="00144768" w:rsidP="00144768">
      <w:pPr>
        <w:pStyle w:val="NormalParaAR"/>
        <w:spacing w:line="400" w:lineRule="exact"/>
        <w:rPr>
          <w:sz w:val="40"/>
          <w:szCs w:val="40"/>
        </w:rPr>
      </w:pPr>
    </w:p>
    <w:p w:rsidR="00144768" w:rsidRDefault="00144768" w:rsidP="00144768">
      <w:pPr>
        <w:pStyle w:val="MeetingDatesAR"/>
        <w:bidi/>
        <w:spacing w:before="240" w:after="240"/>
        <w:rPr>
          <w:rtl/>
        </w:rPr>
      </w:pPr>
      <w:r>
        <w:rPr>
          <w:rFonts w:hint="cs"/>
          <w:rtl/>
        </w:rPr>
        <w:t>جنيف، من 23 إلى 25 مايو 2018</w:t>
      </w:r>
    </w:p>
    <w:p w:rsidR="00144768" w:rsidRPr="00D61541" w:rsidRDefault="00144768" w:rsidP="001C5A29">
      <w:pPr>
        <w:pStyle w:val="DocumentTitleAR"/>
        <w:bidi/>
        <w:spacing w:before="360" w:after="240"/>
        <w:rPr>
          <w:rtl/>
          <w:lang w:bidi="ar-EG"/>
        </w:rPr>
      </w:pPr>
      <w:r>
        <w:rPr>
          <w:rFonts w:hint="cs"/>
          <w:rtl/>
        </w:rPr>
        <w:t xml:space="preserve">إضافة إلى الوثيقة </w:t>
      </w:r>
      <w:r>
        <w:t>WIPO/ITAI/GE/18/1</w:t>
      </w:r>
      <w:r>
        <w:rPr>
          <w:rFonts w:hint="cs"/>
          <w:rtl/>
        </w:rPr>
        <w:t xml:space="preserve"> "</w:t>
      </w:r>
      <w:r>
        <w:rPr>
          <w:rtl/>
        </w:rPr>
        <w:t xml:space="preserve">ملخص الردود على مذكرة </w:t>
      </w:r>
      <w:r>
        <w:rPr>
          <w:rFonts w:hint="cs"/>
          <w:rtl/>
        </w:rPr>
        <w:t xml:space="preserve">بشأن استخدام </w:t>
      </w:r>
      <w:r>
        <w:rPr>
          <w:rtl/>
        </w:rPr>
        <w:t xml:space="preserve">تطبيقات </w:t>
      </w:r>
      <w:r>
        <w:rPr>
          <w:rFonts w:hint="cs"/>
          <w:rtl/>
        </w:rPr>
        <w:t xml:space="preserve">الذكاء الاصطناعي في </w:t>
      </w:r>
      <w:r>
        <w:rPr>
          <w:rtl/>
        </w:rPr>
        <w:t xml:space="preserve">إدارة </w:t>
      </w:r>
      <w:r>
        <w:rPr>
          <w:rFonts w:hint="cs"/>
          <w:rtl/>
        </w:rPr>
        <w:t>مكاتب الملكية</w:t>
      </w:r>
      <w:r w:rsidRPr="00144768">
        <w:rPr>
          <w:rFonts w:hint="eastAsia"/>
          <w:rtl/>
        </w:rPr>
        <w:t> </w:t>
      </w:r>
      <w:r>
        <w:rPr>
          <w:rFonts w:hint="cs"/>
          <w:rtl/>
        </w:rPr>
        <w:t>الفكرية</w:t>
      </w:r>
      <w:r w:rsidR="001C5A29">
        <w:rPr>
          <w:rFonts w:hint="cs"/>
          <w:rtl/>
          <w:lang w:bidi="ar-EG"/>
        </w:rPr>
        <w:t>"</w:t>
      </w:r>
    </w:p>
    <w:p w:rsidR="00144768" w:rsidRDefault="00144768" w:rsidP="00CA427C">
      <w:pPr>
        <w:pStyle w:val="PreparedbyAR"/>
        <w:bidi/>
        <w:spacing w:after="840"/>
        <w:rPr>
          <w:rtl/>
        </w:rPr>
      </w:pPr>
      <w:r>
        <w:rPr>
          <w:rFonts w:hint="cs"/>
          <w:rtl/>
        </w:rPr>
        <w:t xml:space="preserve">وثيقة </w:t>
      </w:r>
      <w:r w:rsidRPr="00D61541">
        <w:rPr>
          <w:rFonts w:hint="cs"/>
          <w:rtl/>
        </w:rPr>
        <w:t>من إعداد</w:t>
      </w:r>
      <w:r>
        <w:rPr>
          <w:rFonts w:hint="cs"/>
          <w:rtl/>
        </w:rPr>
        <w:t xml:space="preserve"> المكتب الدولي للويبو</w:t>
      </w:r>
    </w:p>
    <w:p w:rsidR="00D61541" w:rsidRDefault="00144768" w:rsidP="00CA427C">
      <w:pPr>
        <w:pStyle w:val="NumberedParaAR"/>
      </w:pPr>
      <w:r>
        <w:rPr>
          <w:rFonts w:hint="cs"/>
          <w:rtl/>
        </w:rPr>
        <w:t>تلقى المكتب الدولي رسالتين من مكتب الفلبين للملكية الفكرية والمكتب الأوروبي للبراءات بشأن استخدام تطبيقات الذكاء الاصطناعي في إدارة مكاتب الملكية الفكرية. وعليه، ينبغي إدراج الفقرات التالية بين الفقرتين 13 و14 من</w:t>
      </w:r>
      <w:r w:rsidR="00F203CC">
        <w:rPr>
          <w:rFonts w:hint="eastAsia"/>
          <w:rtl/>
        </w:rPr>
        <w:t> </w:t>
      </w:r>
      <w:r>
        <w:rPr>
          <w:rFonts w:hint="cs"/>
          <w:rtl/>
        </w:rPr>
        <w:t xml:space="preserve">الوثيقة </w:t>
      </w:r>
      <w:r>
        <w:t>WIPO/IP/ITAI/GE/18/1</w:t>
      </w:r>
      <w:r>
        <w:rPr>
          <w:rFonts w:hint="cs"/>
          <w:rtl/>
          <w:lang w:bidi="ar-EG"/>
        </w:rPr>
        <w:t>:</w:t>
      </w:r>
    </w:p>
    <w:p w:rsidR="00144768" w:rsidRPr="00F203CC" w:rsidRDefault="00144768" w:rsidP="00CA427C">
      <w:pPr>
        <w:pStyle w:val="NormalParaAR"/>
        <w:ind w:left="567"/>
        <w:rPr>
          <w:rtl/>
          <w:lang w:bidi="ar-EG"/>
        </w:rPr>
      </w:pPr>
      <w:r w:rsidRPr="00F203CC">
        <w:rPr>
          <w:rFonts w:hint="cs"/>
          <w:rtl/>
        </w:rPr>
        <w:t>"14.</w:t>
      </w:r>
      <w:r w:rsidRPr="00F203CC">
        <w:rPr>
          <w:rtl/>
        </w:rPr>
        <w:tab/>
      </w:r>
      <w:r w:rsidRPr="00F203CC">
        <w:rPr>
          <w:rFonts w:hint="cs"/>
          <w:rtl/>
        </w:rPr>
        <w:t xml:space="preserve">يستخدم مكتب الفلبين للملكية الفكرية حالياً محرك بحث تجاري اسمه </w:t>
      </w:r>
      <w:r w:rsidRPr="00F203CC">
        <w:t>DTSearch</w:t>
      </w:r>
      <w:r w:rsidRPr="00F203CC">
        <w:rPr>
          <w:rFonts w:hint="cs"/>
          <w:rtl/>
          <w:lang w:bidi="ar-EG"/>
        </w:rPr>
        <w:t xml:space="preserve"> في عمليات البحث في البراءات. وهذا المحرك، كغيره، يحتوي على وظائف مثل  الفهرسة </w:t>
      </w:r>
      <w:r w:rsidR="001C5A29" w:rsidRPr="00F203CC">
        <w:rPr>
          <w:rFonts w:hint="cs"/>
          <w:rtl/>
          <w:lang w:bidi="ar-EG"/>
        </w:rPr>
        <w:t>التزايدية</w:t>
      </w:r>
      <w:r w:rsidRPr="00F203CC">
        <w:rPr>
          <w:rFonts w:hint="cs"/>
          <w:rtl/>
          <w:lang w:bidi="ar-EG"/>
        </w:rPr>
        <w:t xml:space="preserve"> والبحوث التشابهية. </w:t>
      </w:r>
      <w:r w:rsidR="00EB78F2" w:rsidRPr="00F203CC">
        <w:rPr>
          <w:rFonts w:hint="cs"/>
          <w:rtl/>
          <w:lang w:bidi="ar-EG"/>
        </w:rPr>
        <w:t>ولعل هذا النظام</w:t>
      </w:r>
      <w:r w:rsidRPr="00F203CC">
        <w:rPr>
          <w:rFonts w:hint="cs"/>
          <w:rtl/>
          <w:lang w:bidi="ar-EG"/>
        </w:rPr>
        <w:t xml:space="preserve"> </w:t>
      </w:r>
      <w:r w:rsidR="0022141C" w:rsidRPr="00F203CC">
        <w:rPr>
          <w:rFonts w:hint="cs"/>
          <w:rtl/>
          <w:lang w:bidi="ar-EG"/>
        </w:rPr>
        <w:t xml:space="preserve">من </w:t>
      </w:r>
      <w:r w:rsidRPr="00F203CC">
        <w:rPr>
          <w:rFonts w:hint="cs"/>
          <w:rtl/>
          <w:lang w:bidi="ar-EG"/>
        </w:rPr>
        <w:t xml:space="preserve">أقل التطبيقات كفاءة في مجال  الذكاء الاصطناعي، </w:t>
      </w:r>
      <w:r w:rsidR="0022141C" w:rsidRPr="00F203CC">
        <w:rPr>
          <w:rFonts w:hint="cs"/>
          <w:rtl/>
          <w:lang w:bidi="ar-EG"/>
        </w:rPr>
        <w:t>ولكنه</w:t>
      </w:r>
      <w:r w:rsidRPr="00F203CC">
        <w:rPr>
          <w:rFonts w:hint="cs"/>
          <w:rtl/>
          <w:lang w:bidi="ar-EG"/>
        </w:rPr>
        <w:t xml:space="preserve"> </w:t>
      </w:r>
      <w:r w:rsidR="00EB78F2" w:rsidRPr="00F203CC">
        <w:rPr>
          <w:rFonts w:hint="cs"/>
          <w:rtl/>
          <w:lang w:bidi="ar-EG"/>
        </w:rPr>
        <w:t xml:space="preserve">يظل أقوى </w:t>
      </w:r>
      <w:r w:rsidRPr="00F203CC">
        <w:rPr>
          <w:rFonts w:hint="cs"/>
          <w:rtl/>
          <w:lang w:bidi="ar-EG"/>
        </w:rPr>
        <w:t>من البحث في قاعدة البيانات التقليدية</w:t>
      </w:r>
      <w:r w:rsidR="0022141C" w:rsidRPr="00F203CC">
        <w:rPr>
          <w:rFonts w:hint="cs"/>
          <w:rtl/>
          <w:lang w:bidi="ar-EG"/>
        </w:rPr>
        <w:t>. وتستخدم منصات</w:t>
      </w:r>
      <w:r w:rsidR="0022141C" w:rsidRPr="00F203CC">
        <w:rPr>
          <w:lang w:bidi="ar-EG"/>
        </w:rPr>
        <w:t xml:space="preserve">TMView </w:t>
      </w:r>
      <w:r w:rsidR="0022141C" w:rsidRPr="00F203CC">
        <w:rPr>
          <w:rFonts w:hint="cs"/>
          <w:rtl/>
          <w:lang w:bidi="ar-EG"/>
        </w:rPr>
        <w:t xml:space="preserve"> و</w:t>
      </w:r>
      <w:r w:rsidR="0022141C" w:rsidRPr="00F203CC">
        <w:rPr>
          <w:lang w:bidi="ar-EG"/>
        </w:rPr>
        <w:t>DesignView</w:t>
      </w:r>
      <w:r w:rsidR="0022141C" w:rsidRPr="00F203CC">
        <w:rPr>
          <w:rFonts w:hint="cs"/>
          <w:rtl/>
          <w:lang w:bidi="ar-EG"/>
        </w:rPr>
        <w:t xml:space="preserve"> لرابطة </w:t>
      </w:r>
      <w:r w:rsidR="0022141C" w:rsidRPr="00F203CC">
        <w:rPr>
          <w:rtl/>
          <w:lang w:bidi="ar-EG"/>
        </w:rPr>
        <w:t>أمم جنوب شرق</w:t>
      </w:r>
      <w:r w:rsidR="0022141C" w:rsidRPr="00F203CC">
        <w:rPr>
          <w:rFonts w:hint="cs"/>
          <w:rtl/>
          <w:lang w:bidi="ar-EG"/>
        </w:rPr>
        <w:t>ي</w:t>
      </w:r>
      <w:r w:rsidR="0022141C" w:rsidRPr="00F203CC">
        <w:rPr>
          <w:rtl/>
          <w:lang w:bidi="ar-EG"/>
        </w:rPr>
        <w:t xml:space="preserve"> آسيا</w:t>
      </w:r>
      <w:r w:rsidR="0022141C" w:rsidRPr="00F203CC">
        <w:rPr>
          <w:rFonts w:hint="cs"/>
          <w:rtl/>
          <w:lang w:bidi="ar-EG"/>
        </w:rPr>
        <w:t xml:space="preserve"> و</w:t>
      </w:r>
      <w:r w:rsidR="0022141C" w:rsidRPr="00F203CC">
        <w:rPr>
          <w:lang w:bidi="ar-EG"/>
        </w:rPr>
        <w:t>Patentscope</w:t>
      </w:r>
      <w:r w:rsidR="0022141C" w:rsidRPr="00F203CC">
        <w:rPr>
          <w:rFonts w:hint="cs"/>
          <w:rtl/>
          <w:lang w:bidi="ar-EG"/>
        </w:rPr>
        <w:t xml:space="preserve"> للويبو و</w:t>
      </w:r>
      <w:r w:rsidR="0022141C" w:rsidRPr="00F203CC">
        <w:rPr>
          <w:lang w:bidi="ar-EG"/>
        </w:rPr>
        <w:t>eTMFile</w:t>
      </w:r>
      <w:r w:rsidR="0022141C" w:rsidRPr="00F203CC">
        <w:rPr>
          <w:rFonts w:hint="cs"/>
          <w:rtl/>
          <w:lang w:bidi="ar-EG"/>
        </w:rPr>
        <w:t xml:space="preserve"> لمكتب الفلبين للملكية الفكرية أيضاً محركات بحث مجانية مثل </w:t>
      </w:r>
      <w:r w:rsidR="0022141C" w:rsidRPr="00F203CC">
        <w:rPr>
          <w:lang w:bidi="ar-EG"/>
        </w:rPr>
        <w:t>SOLR</w:t>
      </w:r>
      <w:r w:rsidR="0022141C" w:rsidRPr="00F203CC">
        <w:rPr>
          <w:rFonts w:hint="cs"/>
          <w:rtl/>
          <w:lang w:bidi="ar-EG"/>
        </w:rPr>
        <w:t>.</w:t>
      </w:r>
    </w:p>
    <w:p w:rsidR="0022141C" w:rsidRPr="00CA427C" w:rsidRDefault="0022141C" w:rsidP="00CA427C">
      <w:pPr>
        <w:pStyle w:val="NormalParaAR"/>
        <w:ind w:left="567"/>
        <w:rPr>
          <w:rtl/>
          <w:lang w:bidi="ar-EG"/>
        </w:rPr>
      </w:pPr>
      <w:r w:rsidRPr="00F203CC">
        <w:rPr>
          <w:rFonts w:hint="cs"/>
          <w:rtl/>
          <w:lang w:bidi="ar-EG"/>
        </w:rPr>
        <w:t>15.</w:t>
      </w:r>
      <w:r w:rsidRPr="00F203CC">
        <w:rPr>
          <w:rtl/>
          <w:lang w:bidi="ar-EG"/>
        </w:rPr>
        <w:tab/>
      </w:r>
      <w:r w:rsidRPr="00CA427C">
        <w:rPr>
          <w:rFonts w:hint="cs"/>
          <w:rtl/>
          <w:lang w:bidi="ar-EG"/>
        </w:rPr>
        <w:t xml:space="preserve">ويستخدم مكتب الفلبين للملكية الفكرية أيضاً برنامج </w:t>
      </w:r>
      <w:r w:rsidRPr="00CA427C">
        <w:rPr>
          <w:lang w:bidi="ar-EG"/>
        </w:rPr>
        <w:t>COGNOS</w:t>
      </w:r>
      <w:r w:rsidRPr="00CA427C">
        <w:rPr>
          <w:rFonts w:hint="cs"/>
          <w:rtl/>
          <w:lang w:bidi="ar-EG"/>
        </w:rPr>
        <w:t xml:space="preserve"> - وهو برنامج تجاري لتحليل المعلومات الخاصة بالأعمال </w:t>
      </w:r>
      <w:r w:rsidR="001C5A29" w:rsidRPr="00CA427C">
        <w:rPr>
          <w:rFonts w:hint="cs"/>
          <w:rtl/>
          <w:lang w:bidi="ar-EG"/>
        </w:rPr>
        <w:t>-</w:t>
      </w:r>
      <w:r w:rsidRPr="00CA427C">
        <w:rPr>
          <w:rFonts w:hint="cs"/>
          <w:rtl/>
          <w:lang w:bidi="ar-EG"/>
        </w:rPr>
        <w:t xml:space="preserve"> في دعم متطلبات الإبلاغ الإداري للمكتب. ويستخدم المكتب ذلك النظام في إجراء عملية استخراج ونقل وتحميل </w:t>
      </w:r>
      <w:r w:rsidR="001C5A29" w:rsidRPr="00CA427C">
        <w:rPr>
          <w:rFonts w:hint="cs"/>
          <w:rtl/>
          <w:lang w:bidi="ar-EG"/>
        </w:rPr>
        <w:t>ل</w:t>
      </w:r>
      <w:r w:rsidR="00EB78F2" w:rsidRPr="00CA427C">
        <w:rPr>
          <w:rFonts w:hint="cs"/>
          <w:rtl/>
          <w:lang w:bidi="ar-EG"/>
        </w:rPr>
        <w:t xml:space="preserve">لبيانات </w:t>
      </w:r>
      <w:r w:rsidRPr="00CA427C">
        <w:rPr>
          <w:rFonts w:hint="cs"/>
          <w:rtl/>
          <w:lang w:bidi="ar-EG"/>
        </w:rPr>
        <w:t xml:space="preserve">من قاعدة بيانات </w:t>
      </w:r>
      <w:r w:rsidR="00EB78F2" w:rsidRPr="00CA427C">
        <w:rPr>
          <w:rFonts w:hint="cs"/>
          <w:rtl/>
          <w:lang w:bidi="ar-EG"/>
        </w:rPr>
        <w:t xml:space="preserve">نظام إدارة الملكية الصناعية إلى مجموعات </w:t>
      </w:r>
      <w:r w:rsidR="001C5A29" w:rsidRPr="00CA427C">
        <w:rPr>
          <w:rFonts w:hint="cs"/>
          <w:rtl/>
          <w:lang w:bidi="ar-EG"/>
        </w:rPr>
        <w:t xml:space="preserve">قابلة للاستخدام </w:t>
      </w:r>
      <w:r w:rsidR="00EB78F2" w:rsidRPr="00CA427C">
        <w:rPr>
          <w:rFonts w:hint="cs"/>
          <w:rtl/>
          <w:lang w:bidi="ar-EG"/>
        </w:rPr>
        <w:t xml:space="preserve">في </w:t>
      </w:r>
      <w:r w:rsidR="001C5A29" w:rsidRPr="00CA427C">
        <w:rPr>
          <w:rFonts w:hint="cs"/>
          <w:rtl/>
          <w:lang w:bidi="ar-EG"/>
        </w:rPr>
        <w:t>نظا</w:t>
      </w:r>
      <w:r w:rsidR="00CA427C">
        <w:rPr>
          <w:rFonts w:hint="cs"/>
          <w:rtl/>
          <w:lang w:bidi="ar-EG"/>
        </w:rPr>
        <w:t>م</w:t>
      </w:r>
      <w:r w:rsidR="00CA427C">
        <w:rPr>
          <w:rFonts w:hint="eastAsia"/>
          <w:rtl/>
          <w:lang w:bidi="ar-EG"/>
        </w:rPr>
        <w:t> </w:t>
      </w:r>
      <w:r w:rsidR="00EB78F2" w:rsidRPr="00CA427C">
        <w:rPr>
          <w:lang w:bidi="ar-EG"/>
        </w:rPr>
        <w:t>COGNOS</w:t>
      </w:r>
      <w:r w:rsidR="00EB78F2" w:rsidRPr="00CA427C">
        <w:rPr>
          <w:rFonts w:hint="cs"/>
          <w:rtl/>
          <w:lang w:bidi="ar-EG"/>
        </w:rPr>
        <w:t>.</w:t>
      </w:r>
    </w:p>
    <w:p w:rsidR="00EB78F2" w:rsidRPr="00F203CC" w:rsidRDefault="001C5A29" w:rsidP="00CA427C">
      <w:pPr>
        <w:pStyle w:val="NormalParaAR"/>
        <w:ind w:left="567"/>
        <w:rPr>
          <w:rtl/>
          <w:lang w:bidi="ar-EG"/>
        </w:rPr>
      </w:pPr>
      <w:r w:rsidRPr="00F203CC">
        <w:rPr>
          <w:rFonts w:hint="cs"/>
          <w:rtl/>
          <w:lang w:bidi="ar-EG"/>
        </w:rPr>
        <w:lastRenderedPageBreak/>
        <w:t>16.</w:t>
      </w:r>
      <w:r w:rsidRPr="00F203CC">
        <w:rPr>
          <w:rtl/>
          <w:lang w:bidi="ar-EG"/>
        </w:rPr>
        <w:tab/>
      </w:r>
      <w:r w:rsidR="00EB78F2" w:rsidRPr="00F203CC">
        <w:rPr>
          <w:rFonts w:hint="cs"/>
          <w:rtl/>
          <w:lang w:bidi="ar-EG"/>
        </w:rPr>
        <w:t xml:space="preserve">وبناء على تجربة مكتب الفلبين للملكية الفكرية، تعتمد موثوقية أي نظام بحث على دقة البيانات الأصلية </w:t>
      </w:r>
      <w:r w:rsidRPr="00F203CC">
        <w:rPr>
          <w:rFonts w:hint="cs"/>
          <w:rtl/>
          <w:lang w:bidi="ar-EG"/>
        </w:rPr>
        <w:t>المستخدمة</w:t>
      </w:r>
      <w:r w:rsidR="00EB78F2" w:rsidRPr="00F203CC">
        <w:rPr>
          <w:rFonts w:hint="cs"/>
          <w:rtl/>
          <w:lang w:bidi="ar-EG"/>
        </w:rPr>
        <w:t>. ولاحظ المكتب أن نظاماً للبحث بالصور عن العلامات التجارية من شأنه أن يكون تحسيناً مفيداً في</w:t>
      </w:r>
      <w:r w:rsidR="00CA427C">
        <w:rPr>
          <w:rFonts w:hint="eastAsia"/>
          <w:lang w:bidi="ar-EG"/>
        </w:rPr>
        <w:t> </w:t>
      </w:r>
      <w:r w:rsidR="00EB78F2" w:rsidRPr="00F203CC">
        <w:rPr>
          <w:rFonts w:hint="cs"/>
          <w:rtl/>
          <w:lang w:bidi="ar-EG"/>
        </w:rPr>
        <w:t xml:space="preserve">نظام إدارة الملكية الصناعية، وأنه يمكن استخدام "حلول التنقيب عن البيانات" لوضع نظام لإدارة المعارف يساعد في معالجة التناقضات في نتائج الفحص المتعلقة بالملكية </w:t>
      </w:r>
      <w:r w:rsidRPr="00F203CC">
        <w:rPr>
          <w:rFonts w:hint="cs"/>
          <w:rtl/>
          <w:lang w:bidi="ar-EG"/>
        </w:rPr>
        <w:t>الفكرية</w:t>
      </w:r>
      <w:r w:rsidR="00EB78F2" w:rsidRPr="00F203CC">
        <w:rPr>
          <w:rFonts w:hint="cs"/>
          <w:rtl/>
          <w:lang w:bidi="ar-EG"/>
        </w:rPr>
        <w:t>.</w:t>
      </w:r>
    </w:p>
    <w:p w:rsidR="00EB78F2" w:rsidRPr="00F203CC" w:rsidRDefault="00EB78F2" w:rsidP="00CA427C">
      <w:pPr>
        <w:pStyle w:val="NormalParaAR"/>
        <w:ind w:left="567"/>
        <w:rPr>
          <w:rtl/>
          <w:lang w:bidi="ar-EG"/>
        </w:rPr>
      </w:pPr>
      <w:r w:rsidRPr="00F203CC">
        <w:rPr>
          <w:rFonts w:hint="cs"/>
          <w:rtl/>
          <w:lang w:bidi="ar-EG"/>
        </w:rPr>
        <w:t>17.</w:t>
      </w:r>
      <w:r w:rsidRPr="00F203CC">
        <w:rPr>
          <w:rtl/>
          <w:lang w:bidi="ar-EG"/>
        </w:rPr>
        <w:tab/>
      </w:r>
      <w:r w:rsidRPr="00F203CC">
        <w:rPr>
          <w:rFonts w:hint="cs"/>
          <w:rtl/>
          <w:lang w:bidi="ar-EG"/>
        </w:rPr>
        <w:t>وما انفك المكتب الأوروبي للبراءات يعمل على استحداث حلول للأعمال تقوم على التعلّم الآلي والذكاء الاصطناعي في المجالات التالية ونفذها بدرجات متفاوتة:</w:t>
      </w:r>
    </w:p>
    <w:p w:rsidR="00EB78F2" w:rsidRPr="00CA427C" w:rsidRDefault="00EB78F2" w:rsidP="00CA427C">
      <w:pPr>
        <w:pStyle w:val="NormalParaAR"/>
        <w:numPr>
          <w:ilvl w:val="0"/>
          <w:numId w:val="22"/>
        </w:numPr>
        <w:spacing w:after="0"/>
        <w:ind w:left="1701" w:hanging="567"/>
        <w:rPr>
          <w:spacing w:val="-5"/>
          <w:lang w:bidi="ar-EG"/>
        </w:rPr>
      </w:pPr>
      <w:r w:rsidRPr="00CA427C">
        <w:rPr>
          <w:rFonts w:hint="cs"/>
          <w:spacing w:val="-5"/>
          <w:rtl/>
          <w:lang w:bidi="ar-EG"/>
        </w:rPr>
        <w:t>التصنيف الآلي المسبق لطلبات البراءات الواردة من أجل توزيعها عل</w:t>
      </w:r>
      <w:r w:rsidR="001C5A29" w:rsidRPr="00CA427C">
        <w:rPr>
          <w:rFonts w:hint="cs"/>
          <w:spacing w:val="-5"/>
          <w:rtl/>
          <w:lang w:bidi="ar-EG"/>
        </w:rPr>
        <w:t>ى وحدات البحث والفحص</w:t>
      </w:r>
      <w:r w:rsidR="001C5A29" w:rsidRPr="00CA427C">
        <w:rPr>
          <w:rFonts w:hint="eastAsia"/>
          <w:spacing w:val="-5"/>
          <w:rtl/>
          <w:lang w:bidi="ar-EG"/>
        </w:rPr>
        <w:t> </w:t>
      </w:r>
      <w:r w:rsidR="001C5A29" w:rsidRPr="00CA427C">
        <w:rPr>
          <w:rFonts w:hint="cs"/>
          <w:spacing w:val="-5"/>
          <w:rtl/>
          <w:lang w:bidi="ar-EG"/>
        </w:rPr>
        <w:t>الوجيهة؛</w:t>
      </w:r>
    </w:p>
    <w:p w:rsidR="00EB78F2" w:rsidRPr="00F203CC" w:rsidRDefault="00EB78F2" w:rsidP="00CA427C">
      <w:pPr>
        <w:pStyle w:val="NormalParaAR"/>
        <w:numPr>
          <w:ilvl w:val="0"/>
          <w:numId w:val="22"/>
        </w:numPr>
        <w:spacing w:after="0"/>
        <w:ind w:left="1701" w:hanging="567"/>
        <w:rPr>
          <w:lang w:bidi="ar-EG"/>
        </w:rPr>
      </w:pPr>
      <w:r w:rsidRPr="00F203CC">
        <w:rPr>
          <w:rFonts w:hint="cs"/>
          <w:rtl/>
          <w:lang w:bidi="ar-EG"/>
        </w:rPr>
        <w:t>التصنيف الآلي لوثائق البراءات وفقاً للتصنيف التعاوني للبراءات؛</w:t>
      </w:r>
    </w:p>
    <w:p w:rsidR="00EB78F2" w:rsidRPr="00F203CC" w:rsidRDefault="00EB78F2" w:rsidP="00CA427C">
      <w:pPr>
        <w:pStyle w:val="NormalParaAR"/>
        <w:numPr>
          <w:ilvl w:val="0"/>
          <w:numId w:val="22"/>
        </w:numPr>
        <w:spacing w:after="0"/>
        <w:ind w:left="1701" w:hanging="567"/>
        <w:rPr>
          <w:lang w:bidi="ar-EG"/>
        </w:rPr>
      </w:pPr>
      <w:r w:rsidRPr="00F203CC">
        <w:rPr>
          <w:rFonts w:hint="cs"/>
          <w:rtl/>
          <w:lang w:bidi="ar-EG"/>
        </w:rPr>
        <w:t>إعادة التصنيف الآلي لوثائق البراءات وفقاً للتغييرات في التصنيف التعاوني للبراءات؛</w:t>
      </w:r>
    </w:p>
    <w:p w:rsidR="00EB78F2" w:rsidRPr="00F203CC" w:rsidRDefault="00EB78F2" w:rsidP="00CA427C">
      <w:pPr>
        <w:pStyle w:val="NormalParaAR"/>
        <w:numPr>
          <w:ilvl w:val="0"/>
          <w:numId w:val="22"/>
        </w:numPr>
        <w:spacing w:after="0"/>
        <w:ind w:left="1701" w:hanging="567"/>
        <w:rPr>
          <w:lang w:bidi="ar-EG"/>
        </w:rPr>
      </w:pPr>
      <w:r w:rsidRPr="00F203CC">
        <w:rPr>
          <w:rFonts w:hint="cs"/>
          <w:rtl/>
          <w:lang w:bidi="ar-EG"/>
        </w:rPr>
        <w:t>البحث الآلي عن حالة التقنية الصناعية السابقة المرتبطة بطلبات البراءات الواردة؛</w:t>
      </w:r>
    </w:p>
    <w:p w:rsidR="00EB78F2" w:rsidRPr="00F203CC" w:rsidRDefault="00EB78F2" w:rsidP="00CA427C">
      <w:pPr>
        <w:pStyle w:val="NormalParaAR"/>
        <w:numPr>
          <w:ilvl w:val="0"/>
          <w:numId w:val="22"/>
        </w:numPr>
        <w:spacing w:after="0"/>
        <w:ind w:left="1701" w:hanging="567"/>
        <w:rPr>
          <w:lang w:bidi="ar-EG"/>
        </w:rPr>
      </w:pPr>
      <w:r w:rsidRPr="00F203CC">
        <w:rPr>
          <w:rFonts w:hint="cs"/>
          <w:rtl/>
          <w:lang w:bidi="ar-EG"/>
        </w:rPr>
        <w:t>التوليد الآلي للاستفسارات؛</w:t>
      </w:r>
    </w:p>
    <w:p w:rsidR="00EB78F2" w:rsidRPr="00F203CC" w:rsidRDefault="0031444B" w:rsidP="00CA427C">
      <w:pPr>
        <w:pStyle w:val="NormalParaAR"/>
        <w:numPr>
          <w:ilvl w:val="0"/>
          <w:numId w:val="22"/>
        </w:numPr>
        <w:spacing w:after="0"/>
        <w:ind w:left="1701" w:hanging="567"/>
        <w:rPr>
          <w:lang w:bidi="ar-EG"/>
        </w:rPr>
      </w:pPr>
      <w:r w:rsidRPr="00F203CC">
        <w:rPr>
          <w:rFonts w:hint="cs"/>
          <w:rtl/>
          <w:lang w:bidi="ar-EG"/>
        </w:rPr>
        <w:t>التحشية</w:t>
      </w:r>
      <w:r w:rsidR="00EB78F2" w:rsidRPr="00F203CC">
        <w:rPr>
          <w:rFonts w:hint="cs"/>
          <w:rtl/>
          <w:lang w:bidi="ar-EG"/>
        </w:rPr>
        <w:t xml:space="preserve"> </w:t>
      </w:r>
      <w:r w:rsidRPr="00F203CC">
        <w:rPr>
          <w:rFonts w:hint="cs"/>
          <w:rtl/>
          <w:lang w:bidi="ar-EG"/>
        </w:rPr>
        <w:t>الآلية</w:t>
      </w:r>
      <w:r w:rsidR="00EB78F2" w:rsidRPr="00F203CC">
        <w:rPr>
          <w:rFonts w:hint="cs"/>
          <w:rtl/>
          <w:lang w:bidi="ar-EG"/>
        </w:rPr>
        <w:t xml:space="preserve"> </w:t>
      </w:r>
      <w:r w:rsidR="001C5A29" w:rsidRPr="00F203CC">
        <w:rPr>
          <w:rFonts w:hint="cs"/>
          <w:rtl/>
          <w:lang w:bidi="ar-EG"/>
        </w:rPr>
        <w:t>لوثائق البراءات</w:t>
      </w:r>
      <w:r w:rsidR="00EB78F2" w:rsidRPr="00F203CC">
        <w:rPr>
          <w:rFonts w:hint="cs"/>
          <w:rtl/>
          <w:lang w:bidi="ar-EG"/>
        </w:rPr>
        <w:t>؛</w:t>
      </w:r>
    </w:p>
    <w:p w:rsidR="00EB78F2" w:rsidRPr="00F203CC" w:rsidRDefault="00EB78F2" w:rsidP="00CA427C">
      <w:pPr>
        <w:pStyle w:val="NormalParaAR"/>
        <w:numPr>
          <w:ilvl w:val="0"/>
          <w:numId w:val="22"/>
        </w:numPr>
        <w:spacing w:after="0"/>
        <w:ind w:left="1701" w:hanging="567"/>
        <w:rPr>
          <w:lang w:bidi="ar-EG"/>
        </w:rPr>
      </w:pPr>
      <w:r w:rsidRPr="00F203CC">
        <w:rPr>
          <w:rFonts w:hint="cs"/>
          <w:rtl/>
          <w:lang w:bidi="ar-EG"/>
        </w:rPr>
        <w:t xml:space="preserve">الكشف الآلي عن المشكلات/الحلول في </w:t>
      </w:r>
      <w:r w:rsidR="001C5A29" w:rsidRPr="00F203CC">
        <w:rPr>
          <w:rFonts w:hint="cs"/>
          <w:rtl/>
          <w:lang w:bidi="ar-EG"/>
        </w:rPr>
        <w:t>وثائق البراءات</w:t>
      </w:r>
      <w:r w:rsidRPr="00F203CC">
        <w:rPr>
          <w:rFonts w:hint="cs"/>
          <w:rtl/>
          <w:lang w:bidi="ar-EG"/>
        </w:rPr>
        <w:t>؛</w:t>
      </w:r>
    </w:p>
    <w:p w:rsidR="00EB78F2" w:rsidRPr="00F203CC" w:rsidRDefault="00EB78F2" w:rsidP="00CA427C">
      <w:pPr>
        <w:pStyle w:val="NormalParaAR"/>
        <w:numPr>
          <w:ilvl w:val="0"/>
          <w:numId w:val="22"/>
        </w:numPr>
        <w:spacing w:after="0"/>
        <w:ind w:left="1701" w:hanging="567"/>
        <w:rPr>
          <w:lang w:bidi="ar-EG"/>
        </w:rPr>
      </w:pPr>
      <w:r w:rsidRPr="00F203CC">
        <w:rPr>
          <w:rFonts w:hint="cs"/>
          <w:rtl/>
          <w:lang w:bidi="ar-EG"/>
        </w:rPr>
        <w:t>الترجمة الآلية لوثائق البراءات؛</w:t>
      </w:r>
    </w:p>
    <w:p w:rsidR="00EB78F2" w:rsidRPr="00F203CC" w:rsidRDefault="00EB78F2" w:rsidP="00CA427C">
      <w:pPr>
        <w:pStyle w:val="NormalParaAR"/>
        <w:numPr>
          <w:ilvl w:val="0"/>
          <w:numId w:val="22"/>
        </w:numPr>
        <w:spacing w:after="0"/>
        <w:ind w:left="1701" w:hanging="567"/>
        <w:rPr>
          <w:lang w:bidi="ar-EG"/>
        </w:rPr>
      </w:pPr>
      <w:r w:rsidRPr="00F203CC">
        <w:rPr>
          <w:rFonts w:hint="cs"/>
          <w:rtl/>
          <w:lang w:bidi="ar-EG"/>
        </w:rPr>
        <w:t>تحديد توجهات الهجرة/الاختراق لتكنولوجيات محددة (اختراع ينفذه الحاسوب) في</w:t>
      </w:r>
      <w:r w:rsidR="001C5A29" w:rsidRPr="00F203CC">
        <w:rPr>
          <w:rFonts w:hint="cs"/>
          <w:rtl/>
          <w:lang w:bidi="ar-EG"/>
        </w:rPr>
        <w:t>ما يخص</w:t>
      </w:r>
      <w:r w:rsidRPr="00F203CC">
        <w:rPr>
          <w:rFonts w:hint="cs"/>
          <w:rtl/>
          <w:lang w:bidi="ar-EG"/>
        </w:rPr>
        <w:t xml:space="preserve"> قطاعات تكنولوجية أخرى؛</w:t>
      </w:r>
    </w:p>
    <w:p w:rsidR="00EB78F2" w:rsidRPr="00F203CC" w:rsidRDefault="00EB78F2" w:rsidP="00CA427C">
      <w:pPr>
        <w:pStyle w:val="NormalParaAR"/>
        <w:numPr>
          <w:ilvl w:val="0"/>
          <w:numId w:val="22"/>
        </w:numPr>
        <w:ind w:left="1701" w:hanging="567"/>
        <w:rPr>
          <w:lang w:bidi="ar-EG"/>
        </w:rPr>
      </w:pPr>
      <w:r w:rsidRPr="00F203CC">
        <w:rPr>
          <w:rFonts w:hint="cs"/>
          <w:rtl/>
          <w:lang w:bidi="ar-EG"/>
        </w:rPr>
        <w:t>البحث الآلي في الأشكال والصور عن رسومات البراءات.</w:t>
      </w:r>
    </w:p>
    <w:p w:rsidR="00F203CC" w:rsidRPr="00F203CC" w:rsidRDefault="00EB78F2" w:rsidP="00CA427C">
      <w:pPr>
        <w:pStyle w:val="NormalParaAR"/>
        <w:ind w:left="567"/>
        <w:rPr>
          <w:rtl/>
          <w:lang w:bidi="ar-EG"/>
        </w:rPr>
      </w:pPr>
      <w:r w:rsidRPr="00F203CC">
        <w:rPr>
          <w:rFonts w:hint="cs"/>
          <w:rtl/>
          <w:lang w:bidi="ar-EG"/>
        </w:rPr>
        <w:t>18.</w:t>
      </w:r>
      <w:r w:rsidRPr="00F203CC">
        <w:rPr>
          <w:rtl/>
          <w:lang w:bidi="ar-EG"/>
        </w:rPr>
        <w:tab/>
      </w:r>
      <w:r w:rsidRPr="00F203CC">
        <w:rPr>
          <w:rFonts w:hint="cs"/>
          <w:rtl/>
          <w:lang w:bidi="ar-EG"/>
        </w:rPr>
        <w:t>ويعمل المكتب الأوروبي للبراءات، من خلال فريقه المعني بعلوم البيانات، على استحداث أنظمته الخاصة القائمة على الذكاء الاصطناعي (وما يرتبط بها من نماذج تعل</w:t>
      </w:r>
      <w:r w:rsidR="001C5A29" w:rsidRPr="00F203CC">
        <w:rPr>
          <w:rFonts w:hint="cs"/>
          <w:rtl/>
          <w:lang w:bidi="ar-EG"/>
        </w:rPr>
        <w:t>ّ</w:t>
      </w:r>
      <w:r w:rsidRPr="00F203CC">
        <w:rPr>
          <w:rFonts w:hint="cs"/>
          <w:rtl/>
          <w:lang w:bidi="ar-EG"/>
        </w:rPr>
        <w:t xml:space="preserve">م آلي) استناداً إلى مكتبات برمجيات مفتوحة المصدر ومخصصة لأغراض المكتب. وعليه، يتبوأ المكتب مكانة فريدة </w:t>
      </w:r>
      <w:r w:rsidR="0031444B" w:rsidRPr="00F203CC">
        <w:rPr>
          <w:rFonts w:hint="cs"/>
          <w:rtl/>
          <w:lang w:bidi="ar-EG"/>
        </w:rPr>
        <w:t>إذ يمكنه الجمع بين خبرات فريقه المعني بعلوم البيانات و</w:t>
      </w:r>
      <w:r w:rsidR="001C5A29" w:rsidRPr="00F203CC">
        <w:rPr>
          <w:rFonts w:hint="cs"/>
          <w:rtl/>
          <w:lang w:bidi="ar-EG"/>
        </w:rPr>
        <w:t>ال</w:t>
      </w:r>
      <w:r w:rsidR="0031444B" w:rsidRPr="00F203CC">
        <w:rPr>
          <w:rFonts w:hint="cs"/>
          <w:rtl/>
          <w:lang w:bidi="ar-EG"/>
        </w:rPr>
        <w:t>فهم ال</w:t>
      </w:r>
      <w:r w:rsidR="001C5A29" w:rsidRPr="00F203CC">
        <w:rPr>
          <w:rFonts w:hint="cs"/>
          <w:rtl/>
          <w:lang w:bidi="ar-EG"/>
        </w:rPr>
        <w:t>عملي</w:t>
      </w:r>
      <w:r w:rsidR="0031444B" w:rsidRPr="00F203CC">
        <w:rPr>
          <w:rFonts w:hint="cs"/>
          <w:rtl/>
          <w:lang w:bidi="ar-EG"/>
        </w:rPr>
        <w:t xml:space="preserve"> الفريد </w:t>
      </w:r>
      <w:r w:rsidR="001C5A29" w:rsidRPr="00F203CC">
        <w:rPr>
          <w:rFonts w:hint="cs"/>
          <w:rtl/>
          <w:lang w:bidi="ar-EG"/>
        </w:rPr>
        <w:t>ل</w:t>
      </w:r>
      <w:r w:rsidR="0031444B" w:rsidRPr="00F203CC">
        <w:rPr>
          <w:rFonts w:hint="cs"/>
          <w:rtl/>
          <w:lang w:bidi="ar-EG"/>
        </w:rPr>
        <w:t xml:space="preserve">فاحصيه ومجموعته القيمة من البيانات التي تتكون من بيانات البحث المسجَّلة فضلاً عن مجموعة </w:t>
      </w:r>
      <w:r w:rsidR="001C5A29" w:rsidRPr="00F203CC">
        <w:rPr>
          <w:rFonts w:hint="cs"/>
          <w:rtl/>
          <w:lang w:bidi="ar-EG"/>
        </w:rPr>
        <w:t>المكتب من التقنيات</w:t>
      </w:r>
      <w:r w:rsidR="0031444B" w:rsidRPr="00F203CC">
        <w:rPr>
          <w:rFonts w:hint="cs"/>
          <w:rtl/>
          <w:lang w:bidi="ar-EG"/>
        </w:rPr>
        <w:t xml:space="preserve"> الصناعية السابقة</w:t>
      </w:r>
      <w:r w:rsidR="001C5A29" w:rsidRPr="00F203CC">
        <w:rPr>
          <w:rFonts w:hint="cs"/>
          <w:rtl/>
          <w:lang w:bidi="ar-EG"/>
        </w:rPr>
        <w:t>.</w:t>
      </w:r>
      <w:r w:rsidR="0031444B" w:rsidRPr="00F203CC">
        <w:rPr>
          <w:rFonts w:hint="cs"/>
          <w:rtl/>
          <w:lang w:bidi="ar-EG"/>
        </w:rPr>
        <w:t xml:space="preserve"> ويستعين المكتب أيضاً بمنتجات تجارية في مجال التحشية الآلية عن طريق مزودي برمجيات في مشاريع مختلفة. ويستخدم المكتب خدمة ترجمة البراءات في مجال الترجمة الآلية مع عمله على </w:t>
      </w:r>
      <w:r w:rsidR="001C5A29" w:rsidRPr="00F203CC">
        <w:rPr>
          <w:rFonts w:hint="cs"/>
          <w:rtl/>
          <w:lang w:bidi="ar-EG"/>
        </w:rPr>
        <w:t>تطوير</w:t>
      </w:r>
      <w:r w:rsidR="0031444B" w:rsidRPr="00F203CC">
        <w:rPr>
          <w:rFonts w:hint="cs"/>
          <w:rtl/>
          <w:lang w:bidi="ar-EG"/>
        </w:rPr>
        <w:t xml:space="preserve"> نظامه الخاص للترجمة الآلية. وقد وضع المكتب مجموعة بيانات مرجعية خاصة</w:t>
      </w:r>
      <w:r w:rsidR="001C5A29" w:rsidRPr="00F203CC">
        <w:rPr>
          <w:rFonts w:hint="cs"/>
          <w:rtl/>
          <w:lang w:bidi="ar-EG"/>
        </w:rPr>
        <w:t xml:space="preserve"> (معايير "</w:t>
      </w:r>
      <w:r w:rsidR="0031444B" w:rsidRPr="00F203CC">
        <w:rPr>
          <w:rFonts w:hint="cs"/>
          <w:rtl/>
          <w:lang w:bidi="ar-EG"/>
        </w:rPr>
        <w:t>ذهبية</w:t>
      </w:r>
      <w:r w:rsidR="001C5A29" w:rsidRPr="00F203CC">
        <w:rPr>
          <w:rFonts w:hint="cs"/>
          <w:rtl/>
          <w:lang w:bidi="ar-EG"/>
        </w:rPr>
        <w:t>" أساسية</w:t>
      </w:r>
      <w:r w:rsidR="0031444B" w:rsidRPr="00F203CC">
        <w:rPr>
          <w:rFonts w:hint="cs"/>
          <w:rtl/>
          <w:lang w:bidi="ar-EG"/>
        </w:rPr>
        <w:t>) ونظام</w:t>
      </w:r>
      <w:r w:rsidR="00CA427C">
        <w:rPr>
          <w:rFonts w:hint="eastAsia"/>
          <w:rtl/>
          <w:lang w:bidi="ar-EG"/>
        </w:rPr>
        <w:t> </w:t>
      </w:r>
      <w:r w:rsidR="0031444B" w:rsidRPr="00F203CC">
        <w:rPr>
          <w:rFonts w:hint="cs"/>
          <w:rtl/>
          <w:lang w:bidi="ar-EG"/>
        </w:rPr>
        <w:t xml:space="preserve">لقياس أداء أدوات البحث المؤتمتة. ويقوم ذلك النظام تحديداً على مؤشرات قياس وإطار </w:t>
      </w:r>
      <w:r w:rsidR="001C5A29" w:rsidRPr="00F203CC">
        <w:rPr>
          <w:rFonts w:hint="cs"/>
          <w:rtl/>
          <w:lang w:bidi="ar-EG"/>
        </w:rPr>
        <w:t>ل</w:t>
      </w:r>
      <w:r w:rsidR="0031444B" w:rsidRPr="00F203CC">
        <w:rPr>
          <w:rFonts w:hint="cs"/>
          <w:rtl/>
          <w:lang w:bidi="ar-EG"/>
        </w:rPr>
        <w:t>تقييم فوائد تحسينات الأتمتة في البح</w:t>
      </w:r>
      <w:r w:rsidR="001C5A29" w:rsidRPr="00F203CC">
        <w:rPr>
          <w:rFonts w:hint="cs"/>
          <w:rtl/>
          <w:lang w:bidi="ar-EG"/>
        </w:rPr>
        <w:t>و</w:t>
      </w:r>
      <w:r w:rsidR="0031444B" w:rsidRPr="00F203CC">
        <w:rPr>
          <w:rFonts w:hint="cs"/>
          <w:rtl/>
          <w:lang w:bidi="ar-EG"/>
        </w:rPr>
        <w:t>ث</w:t>
      </w:r>
      <w:r w:rsidR="001C5A29" w:rsidRPr="00F203CC">
        <w:rPr>
          <w:rFonts w:hint="cs"/>
          <w:rtl/>
          <w:lang w:bidi="ar-EG"/>
        </w:rPr>
        <w:t>،</w:t>
      </w:r>
      <w:r w:rsidR="0031444B" w:rsidRPr="00F203CC">
        <w:rPr>
          <w:rFonts w:hint="cs"/>
          <w:rtl/>
          <w:lang w:bidi="ar-EG"/>
        </w:rPr>
        <w:t xml:space="preserve"> وبيئة </w:t>
      </w:r>
      <w:r w:rsidR="001C5A29" w:rsidRPr="00F203CC">
        <w:rPr>
          <w:rFonts w:hint="cs"/>
          <w:rtl/>
          <w:lang w:bidi="ar-EG"/>
        </w:rPr>
        <w:t xml:space="preserve">من </w:t>
      </w:r>
      <w:r w:rsidR="0031444B" w:rsidRPr="00F203CC">
        <w:rPr>
          <w:rFonts w:hint="cs"/>
          <w:rtl/>
          <w:lang w:bidi="ar-EG"/>
        </w:rPr>
        <w:t xml:space="preserve">علوم البيانات </w:t>
      </w:r>
      <w:r w:rsidR="001C5A29" w:rsidRPr="00F203CC">
        <w:rPr>
          <w:rFonts w:hint="cs"/>
          <w:rtl/>
          <w:lang w:bidi="ar-EG"/>
        </w:rPr>
        <w:t>تدعم</w:t>
      </w:r>
      <w:r w:rsidR="0031444B" w:rsidRPr="00F203CC">
        <w:rPr>
          <w:rFonts w:hint="cs"/>
          <w:rtl/>
          <w:lang w:bidi="ar-EG"/>
        </w:rPr>
        <w:t xml:space="preserve"> تحليل واختبار حلول التعل</w:t>
      </w:r>
      <w:r w:rsidR="001C5A29" w:rsidRPr="00F203CC">
        <w:rPr>
          <w:rFonts w:hint="cs"/>
          <w:rtl/>
          <w:lang w:bidi="ar-EG"/>
        </w:rPr>
        <w:t>ّ</w:t>
      </w:r>
      <w:r w:rsidR="0031444B" w:rsidRPr="00F203CC">
        <w:rPr>
          <w:rFonts w:hint="cs"/>
          <w:rtl/>
          <w:lang w:bidi="ar-EG"/>
        </w:rPr>
        <w:t>م الآلي ومعالجة البيانات. و</w:t>
      </w:r>
      <w:r w:rsidR="001C5A29" w:rsidRPr="00F203CC">
        <w:rPr>
          <w:rFonts w:hint="cs"/>
          <w:rtl/>
          <w:lang w:bidi="ar-EG"/>
        </w:rPr>
        <w:t>وضع</w:t>
      </w:r>
      <w:r w:rsidR="00CA427C">
        <w:rPr>
          <w:rFonts w:hint="eastAsia"/>
          <w:rtl/>
          <w:lang w:bidi="ar-EG"/>
        </w:rPr>
        <w:t> </w:t>
      </w:r>
      <w:r w:rsidR="001C5A29" w:rsidRPr="00F203CC">
        <w:rPr>
          <w:rFonts w:hint="cs"/>
          <w:rtl/>
          <w:lang w:bidi="ar-EG"/>
        </w:rPr>
        <w:t>المكتب نموذجاً لوثائق البراءات</w:t>
      </w:r>
      <w:r w:rsidR="00F203CC" w:rsidRPr="00F203CC">
        <w:rPr>
          <w:rFonts w:hint="cs"/>
          <w:rtl/>
          <w:lang w:bidi="ar-EG"/>
        </w:rPr>
        <w:t xml:space="preserve"> (</w:t>
      </w:r>
      <w:r w:rsidR="00F203CC" w:rsidRPr="00F203CC">
        <w:rPr>
          <w:lang w:bidi="ar-EG"/>
        </w:rPr>
        <w:t>PDM</w:t>
      </w:r>
      <w:r w:rsidR="00F203CC" w:rsidRPr="00F203CC">
        <w:rPr>
          <w:rFonts w:hint="cs"/>
          <w:rtl/>
          <w:lang w:bidi="ar-EG"/>
        </w:rPr>
        <w:t>) أد</w:t>
      </w:r>
      <w:r w:rsidR="001C5A29" w:rsidRPr="00F203CC">
        <w:rPr>
          <w:rFonts w:hint="cs"/>
          <w:rtl/>
          <w:lang w:bidi="ar-EG"/>
        </w:rPr>
        <w:t>مجه</w:t>
      </w:r>
      <w:r w:rsidR="0031444B" w:rsidRPr="00F203CC">
        <w:rPr>
          <w:rFonts w:hint="cs"/>
          <w:rtl/>
          <w:lang w:bidi="ar-EG"/>
        </w:rPr>
        <w:t xml:space="preserve"> في بيئة إدارة المعارف والمعلومات</w:t>
      </w:r>
      <w:r w:rsidR="00F203CC" w:rsidRPr="00F203CC">
        <w:rPr>
          <w:rFonts w:hint="cs"/>
          <w:rtl/>
          <w:lang w:bidi="ar-EG"/>
        </w:rPr>
        <w:t xml:space="preserve"> </w:t>
      </w:r>
      <w:r w:rsidR="00F203CC" w:rsidRPr="00F203CC">
        <w:rPr>
          <w:lang w:bidi="ar-EG"/>
        </w:rPr>
        <w:t>(KIME)</w:t>
      </w:r>
      <w:r w:rsidR="00F203CC" w:rsidRPr="00F203CC">
        <w:rPr>
          <w:rFonts w:hint="cs"/>
          <w:rtl/>
          <w:lang w:bidi="ar-EG"/>
        </w:rPr>
        <w:t xml:space="preserve"> بغية إثراء عملية التعلّم الآلي فيما يخص إدارة البراءات وغيرها من البيانات إثراءً مستمراً.</w:t>
      </w:r>
    </w:p>
    <w:p w:rsidR="0031444B" w:rsidRPr="00F203CC" w:rsidRDefault="0031444B" w:rsidP="00CA427C">
      <w:pPr>
        <w:pStyle w:val="NormalParaAR"/>
        <w:ind w:left="567"/>
        <w:rPr>
          <w:rtl/>
          <w:lang w:bidi="ar-EG"/>
        </w:rPr>
      </w:pPr>
      <w:r w:rsidRPr="00F203CC">
        <w:rPr>
          <w:rFonts w:hint="cs"/>
          <w:rtl/>
          <w:lang w:bidi="ar-EG"/>
        </w:rPr>
        <w:t>19.</w:t>
      </w:r>
      <w:r w:rsidRPr="00F203CC">
        <w:rPr>
          <w:rtl/>
          <w:lang w:bidi="ar-EG"/>
        </w:rPr>
        <w:tab/>
      </w:r>
      <w:r w:rsidRPr="00F203CC">
        <w:rPr>
          <w:rFonts w:hint="cs"/>
          <w:rtl/>
          <w:lang w:bidi="ar-EG"/>
        </w:rPr>
        <w:t xml:space="preserve">ولا يعتمد المكتب الأوروبي للبراءات على الأدلة السردية وإنما يستخدم معايير </w:t>
      </w:r>
      <w:r w:rsidR="00F203CC" w:rsidRPr="00F203CC">
        <w:rPr>
          <w:rFonts w:hint="cs"/>
          <w:rtl/>
          <w:lang w:bidi="ar-EG"/>
        </w:rPr>
        <w:t>"ذهبية" أساسية</w:t>
      </w:r>
      <w:r w:rsidRPr="00F203CC">
        <w:rPr>
          <w:rFonts w:hint="cs"/>
          <w:rtl/>
          <w:lang w:bidi="ar-EG"/>
        </w:rPr>
        <w:t xml:space="preserve"> منقحة</w:t>
      </w:r>
      <w:r w:rsidR="00F203CC" w:rsidRPr="00F203CC">
        <w:rPr>
          <w:rFonts w:hint="cs"/>
          <w:rtl/>
          <w:lang w:bidi="ar-EG"/>
        </w:rPr>
        <w:t xml:space="preserve"> وخالية من الأخطاء</w:t>
      </w:r>
      <w:r w:rsidRPr="00F203CC">
        <w:rPr>
          <w:rFonts w:hint="cs"/>
          <w:rtl/>
          <w:lang w:bidi="ar-EG"/>
        </w:rPr>
        <w:t xml:space="preserve">. </w:t>
      </w:r>
      <w:r w:rsidR="00F203CC" w:rsidRPr="00F203CC">
        <w:rPr>
          <w:rFonts w:hint="cs"/>
          <w:rtl/>
          <w:lang w:bidi="ar-EG"/>
        </w:rPr>
        <w:t>إذ</w:t>
      </w:r>
      <w:r w:rsidR="00F203CC" w:rsidRPr="00F203CC">
        <w:rPr>
          <w:rFonts w:hint="eastAsia"/>
          <w:rtl/>
          <w:lang w:bidi="ar-EG"/>
        </w:rPr>
        <w:t> </w:t>
      </w:r>
      <w:r w:rsidRPr="00F203CC">
        <w:rPr>
          <w:rFonts w:hint="cs"/>
          <w:rtl/>
          <w:lang w:bidi="ar-EG"/>
        </w:rPr>
        <w:t xml:space="preserve">تولى خبراء رفيعو المستوى جمع بيانات الاستشهاد والتصنيف والتبويب على مدى عشرات السنين من العمل. </w:t>
      </w:r>
      <w:r w:rsidR="00F203CC" w:rsidRPr="00F203CC">
        <w:rPr>
          <w:rFonts w:hint="cs"/>
          <w:rtl/>
          <w:lang w:bidi="ar-EG"/>
        </w:rPr>
        <w:t xml:space="preserve">ولعل هذه العملية </w:t>
      </w:r>
      <w:r w:rsidR="00F203CC" w:rsidRPr="00F203CC">
        <w:rPr>
          <w:rtl/>
          <w:lang w:bidi="ar-EG"/>
        </w:rPr>
        <w:t>–</w:t>
      </w:r>
      <w:r w:rsidR="00F203CC" w:rsidRPr="00F203CC">
        <w:rPr>
          <w:rFonts w:hint="cs"/>
          <w:rtl/>
          <w:lang w:bidi="ar-EG"/>
        </w:rPr>
        <w:t xml:space="preserve"> أي جمع البيانات الأساسية الخالية من الأخطاء - هي أهم وأكبر خطوة في استخدام التعلّم الآلي وتتطلب</w:t>
      </w:r>
      <w:r w:rsidR="00CE5BDD" w:rsidRPr="00F203CC">
        <w:rPr>
          <w:rFonts w:hint="cs"/>
          <w:rtl/>
          <w:lang w:bidi="ar-EG"/>
        </w:rPr>
        <w:t xml:space="preserve"> الاستعانة بأخصائيين لتفادي الأخطاء. والمكتب مستعد لتبادل خبراته في مجال تقييم الأدوات المطورة داخلياً أو خارجياً. إذ يكتسي الفهم السليم لطريقة التقييم أهمية محورية في نجاح أي أداة سواء كانت داخلية أو</w:t>
      </w:r>
      <w:r w:rsidR="00CA427C">
        <w:rPr>
          <w:rFonts w:hint="eastAsia"/>
          <w:rtl/>
          <w:lang w:bidi="ar-EG"/>
        </w:rPr>
        <w:t> </w:t>
      </w:r>
      <w:r w:rsidR="00CE5BDD" w:rsidRPr="00F203CC">
        <w:rPr>
          <w:rFonts w:hint="cs"/>
          <w:rtl/>
          <w:lang w:bidi="ar-EG"/>
        </w:rPr>
        <w:t xml:space="preserve">خارجية. ولعل مجال الذكاء الاصطناعي والتعلّم الآلي مجال زاخر بالوعود والتوقعات ولكن يجب الانتباه </w:t>
      </w:r>
      <w:r w:rsidR="00F203CC" w:rsidRPr="00F203CC">
        <w:rPr>
          <w:rFonts w:hint="cs"/>
          <w:rtl/>
          <w:lang w:bidi="ar-EG"/>
        </w:rPr>
        <w:t xml:space="preserve">إلى </w:t>
      </w:r>
      <w:r w:rsidR="00CE5BDD" w:rsidRPr="00F203CC">
        <w:rPr>
          <w:rFonts w:hint="cs"/>
          <w:rtl/>
          <w:lang w:bidi="ar-EG"/>
        </w:rPr>
        <w:t xml:space="preserve">أن </w:t>
      </w:r>
      <w:r w:rsidR="00F203CC" w:rsidRPr="00F203CC">
        <w:rPr>
          <w:rFonts w:hint="cs"/>
          <w:rtl/>
          <w:lang w:bidi="ar-EG"/>
        </w:rPr>
        <w:t xml:space="preserve">لأي </w:t>
      </w:r>
      <w:r w:rsidR="00CE5BDD" w:rsidRPr="00F203CC">
        <w:rPr>
          <w:rFonts w:hint="cs"/>
          <w:rtl/>
          <w:lang w:bidi="ar-EG"/>
        </w:rPr>
        <w:t xml:space="preserve">أخطاء صغيرة في التدريب </w:t>
      </w:r>
      <w:r w:rsidR="00F203CC" w:rsidRPr="00F203CC">
        <w:rPr>
          <w:rFonts w:hint="cs"/>
          <w:rtl/>
          <w:lang w:bidi="ar-EG"/>
        </w:rPr>
        <w:t>ف</w:t>
      </w:r>
      <w:r w:rsidR="00CE5BDD" w:rsidRPr="00F203CC">
        <w:rPr>
          <w:rFonts w:hint="cs"/>
          <w:rtl/>
          <w:lang w:bidi="ar-EG"/>
        </w:rPr>
        <w:t>التقييم آثار</w:t>
      </w:r>
      <w:r w:rsidR="00F203CC" w:rsidRPr="00F203CC">
        <w:rPr>
          <w:rFonts w:hint="cs"/>
          <w:rtl/>
          <w:lang w:bidi="ar-EG"/>
        </w:rPr>
        <w:t>اً</w:t>
      </w:r>
      <w:r w:rsidR="00CE5BDD" w:rsidRPr="00F203CC">
        <w:rPr>
          <w:rFonts w:hint="cs"/>
          <w:rtl/>
          <w:lang w:bidi="ar-EG"/>
        </w:rPr>
        <w:t xml:space="preserve"> كارثية عند إطلاق نظام مدرَّب على أسس غير سليمة تماماً."</w:t>
      </w:r>
    </w:p>
    <w:p w:rsidR="0022141C" w:rsidRPr="00F203CC" w:rsidRDefault="00CE5BDD" w:rsidP="00CA427C">
      <w:pPr>
        <w:pStyle w:val="NumberedParaAR"/>
        <w:spacing w:after="340"/>
        <w:rPr>
          <w:lang w:bidi="ar-EG"/>
        </w:rPr>
      </w:pPr>
      <w:r w:rsidRPr="00F203CC">
        <w:rPr>
          <w:rFonts w:hint="cs"/>
          <w:rtl/>
          <w:lang w:bidi="ar-EG"/>
        </w:rPr>
        <w:lastRenderedPageBreak/>
        <w:t>وبناء على ما تقدَّم، ينبغي إعادة ترقيم فقرات الوثيقة المذكورة اعتباراً من الفقرة 14.</w:t>
      </w:r>
    </w:p>
    <w:p w:rsidR="00CE5BDD" w:rsidRPr="00F203CC" w:rsidRDefault="00CE5BDD" w:rsidP="00CA427C">
      <w:pPr>
        <w:pStyle w:val="EndofDocumentAR"/>
        <w:rPr>
          <w:rtl/>
          <w:lang w:bidi="ar-EG"/>
        </w:rPr>
      </w:pPr>
      <w:r w:rsidRPr="00F203CC">
        <w:rPr>
          <w:rFonts w:hint="cs"/>
          <w:rtl/>
          <w:lang w:bidi="ar-EG"/>
        </w:rPr>
        <w:t>[نهاية الوثيقة]</w:t>
      </w:r>
    </w:p>
    <w:sectPr w:rsidR="00CE5BDD" w:rsidRPr="00F203CC"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E11" w:rsidRDefault="00574E11">
      <w:r>
        <w:separator/>
      </w:r>
    </w:p>
  </w:endnote>
  <w:endnote w:type="continuationSeparator" w:id="0">
    <w:p w:rsidR="00574E11" w:rsidRDefault="0057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E11" w:rsidRDefault="00574E11" w:rsidP="009622BF">
      <w:pPr>
        <w:bidi/>
      </w:pPr>
      <w:bookmarkStart w:id="0" w:name="OLE_LINK1"/>
      <w:bookmarkStart w:id="1" w:name="OLE_LINK2"/>
      <w:r>
        <w:separator/>
      </w:r>
      <w:bookmarkEnd w:id="0"/>
      <w:bookmarkEnd w:id="1"/>
    </w:p>
  </w:footnote>
  <w:footnote w:type="continuationSeparator" w:id="0">
    <w:p w:rsidR="00574E11" w:rsidRDefault="00574E11"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8EB" w:rsidRDefault="00CE5BDD" w:rsidP="0028285A">
    <w:r>
      <w:t>WIPO/IP/ITAI/GE/18/1</w:t>
    </w:r>
    <w:r w:rsidR="00993B93">
      <w:t xml:space="preserve"> ADD.</w:t>
    </w:r>
  </w:p>
  <w:p w:rsidR="00FB28EB" w:rsidRDefault="00FB28EB" w:rsidP="00D61541">
    <w:r>
      <w:fldChar w:fldCharType="begin"/>
    </w:r>
    <w:r>
      <w:instrText xml:space="preserve"> PAGE  \* MERGEFORMAT </w:instrText>
    </w:r>
    <w:r>
      <w:fldChar w:fldCharType="separate"/>
    </w:r>
    <w:r w:rsidR="00B1429A">
      <w:rPr>
        <w:noProof/>
      </w:rPr>
      <w:t>3</w:t>
    </w:r>
    <w:r>
      <w:fldChar w:fldCharType="end"/>
    </w:r>
  </w:p>
  <w:p w:rsidR="00FB28EB" w:rsidRDefault="00FB28EB"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99553C5"/>
    <w:multiLevelType w:val="hybridMultilevel"/>
    <w:tmpl w:val="CCD6E1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F827E8C"/>
    <w:multiLevelType w:val="hybridMultilevel"/>
    <w:tmpl w:val="3D6A7418"/>
    <w:lvl w:ilvl="0" w:tplc="51D005D6">
      <w:start w:val="1"/>
      <w:numFmt w:val="bullet"/>
      <w:lvlText w:val=""/>
      <w:lvlJc w:val="left"/>
      <w:pPr>
        <w:ind w:left="1287" w:hanging="360"/>
      </w:pPr>
      <w:rPr>
        <w:rFonts w:ascii="Symbol" w:hAnsi="Symbol" w:hint="default"/>
        <w:sz w:val="24"/>
        <w:szCs w:val="24"/>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10"/>
  </w:num>
  <w:num w:numId="4">
    <w:abstractNumId w:val="19"/>
  </w:num>
  <w:num w:numId="5">
    <w:abstractNumId w:val="8"/>
  </w:num>
  <w:num w:numId="6">
    <w:abstractNumId w:val="20"/>
  </w:num>
  <w:num w:numId="7">
    <w:abstractNumId w:val="13"/>
  </w:num>
  <w:num w:numId="8">
    <w:abstractNumId w:val="18"/>
  </w:num>
  <w:num w:numId="9">
    <w:abstractNumId w:val="17"/>
  </w:num>
  <w:num w:numId="10">
    <w:abstractNumId w:val="21"/>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4"/>
  </w:num>
  <w:num w:numId="22">
    <w:abstractNumId w:val="1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ara"/>
    <w:docVar w:name="TermBases" w:val="WIPOLDTERM"/>
    <w:docVar w:name="TermBaseURL" w:val="empty"/>
    <w:docVar w:name="TextBases" w:val="LanguageDivision\TextBase TMs\WorkspaceATS\Patents &amp; Arbitration|LanguageDivision\TextBase TMs\WorkspaceATS\Brands &amp; Designs|LanguageDivision\TextBase TMs\WorkspaceATS\Communication|LanguageDivision\TextBase TMs\WorkspaceATS\Copyright|LanguageDivision\TextBase TMs\WorkspaceATS\Development|LanguageDivision\TextBase TMs\WorkspaceATS\Global Infrastructure|LanguageDivision\TextBase TMs\WorkspaceATS\Global Issues|LanguageDivision\TextBase TMs\WorkspaceATS\Governance|LanguageDivision\TextBase TMs\WorkspaceATS\Archives\Legacy\Academy|LanguageDivision\TextBase TMs\WorkspaceATS\Archives\Legacy\Administrative from 6L|LanguageDivision\TextBase TMs\WorkspaceATS\Archives\Legacy\Budget and Finance|LanguageDivision\TextBase TMs\WorkspaceATS\Archives\Legacy\Copyright|LanguageDivision\TextBase TMs\WorkspaceATS\Archives\Legacy\Glossaries|LanguageDivision\TextBase TMs\WorkspaceATS\Archives\Legacy\IP_Press_Other|LanguageDivision\TextBase TMs\WorkspaceATS\Archives\Legacy\Patents|LanguageDivision\TextBase TMs\WorkspaceATS\Archives\Legacy\Trademarks|LanguageDivision\TextBase TMs\WorkspaceATS\Archives\Legacy\Treaties|LanguageDivision\TextBase TMs\WorkspaceATS\Archives\Legacy\UPOV"/>
    <w:docVar w:name="TextBaseURL" w:val="empty"/>
    <w:docVar w:name="UILng" w:val="en"/>
  </w:docVars>
  <w:rsids>
    <w:rsidRoot w:val="00144768"/>
    <w:rsid w:val="00002CBE"/>
    <w:rsid w:val="00003232"/>
    <w:rsid w:val="000033DA"/>
    <w:rsid w:val="0000579F"/>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768"/>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A29"/>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41C"/>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285A"/>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3004A6"/>
    <w:rsid w:val="0030129C"/>
    <w:rsid w:val="003013E2"/>
    <w:rsid w:val="00301FE4"/>
    <w:rsid w:val="00302AD1"/>
    <w:rsid w:val="00303E3A"/>
    <w:rsid w:val="00305417"/>
    <w:rsid w:val="00305AF0"/>
    <w:rsid w:val="00306127"/>
    <w:rsid w:val="0030641B"/>
    <w:rsid w:val="003067C8"/>
    <w:rsid w:val="00311453"/>
    <w:rsid w:val="003114C9"/>
    <w:rsid w:val="0031229D"/>
    <w:rsid w:val="0031444B"/>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20F1"/>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1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5D0C"/>
    <w:rsid w:val="00776A33"/>
    <w:rsid w:val="00776F15"/>
    <w:rsid w:val="007779ED"/>
    <w:rsid w:val="00780B1A"/>
    <w:rsid w:val="007810D3"/>
    <w:rsid w:val="0078264A"/>
    <w:rsid w:val="00785E46"/>
    <w:rsid w:val="00787917"/>
    <w:rsid w:val="00791489"/>
    <w:rsid w:val="00791683"/>
    <w:rsid w:val="00792F0C"/>
    <w:rsid w:val="00795460"/>
    <w:rsid w:val="007A0313"/>
    <w:rsid w:val="007A0A83"/>
    <w:rsid w:val="007A4BB3"/>
    <w:rsid w:val="007A6307"/>
    <w:rsid w:val="007A6822"/>
    <w:rsid w:val="007A724D"/>
    <w:rsid w:val="007A749D"/>
    <w:rsid w:val="007A7B37"/>
    <w:rsid w:val="007B024C"/>
    <w:rsid w:val="007B1C4C"/>
    <w:rsid w:val="007B2800"/>
    <w:rsid w:val="007B38F7"/>
    <w:rsid w:val="007B40D4"/>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B93"/>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77C5"/>
    <w:rsid w:val="00A37B2E"/>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4E6A"/>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29A"/>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1E09"/>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27C"/>
    <w:rsid w:val="00CA4503"/>
    <w:rsid w:val="00CA5A66"/>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1560"/>
    <w:rsid w:val="00CE23CD"/>
    <w:rsid w:val="00CE247A"/>
    <w:rsid w:val="00CE2A1A"/>
    <w:rsid w:val="00CE2F05"/>
    <w:rsid w:val="00CE4A51"/>
    <w:rsid w:val="00CE4F80"/>
    <w:rsid w:val="00CE50E4"/>
    <w:rsid w:val="00CE51E8"/>
    <w:rsid w:val="00CE56A1"/>
    <w:rsid w:val="00CE5BDD"/>
    <w:rsid w:val="00CE64A5"/>
    <w:rsid w:val="00CE669E"/>
    <w:rsid w:val="00CE66B5"/>
    <w:rsid w:val="00CE6BFE"/>
    <w:rsid w:val="00CE7031"/>
    <w:rsid w:val="00CE7258"/>
    <w:rsid w:val="00CF0B9B"/>
    <w:rsid w:val="00CF0F7C"/>
    <w:rsid w:val="00CF13B8"/>
    <w:rsid w:val="00CF3739"/>
    <w:rsid w:val="00CF5597"/>
    <w:rsid w:val="00CF57B4"/>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01AC"/>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4B00"/>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B78F2"/>
    <w:rsid w:val="00EC0725"/>
    <w:rsid w:val="00EC0889"/>
    <w:rsid w:val="00EC0C13"/>
    <w:rsid w:val="00EC148C"/>
    <w:rsid w:val="00EC2D7D"/>
    <w:rsid w:val="00EC36AD"/>
    <w:rsid w:val="00EC3BCF"/>
    <w:rsid w:val="00EC56B1"/>
    <w:rsid w:val="00EC664F"/>
    <w:rsid w:val="00EC6749"/>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28EF"/>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3CC"/>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8EB"/>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FB7EC9"/>
    <w:pPr>
      <w:spacing w:after="108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775D0C"/>
    <w:rPr>
      <w:rFonts w:ascii="Tahoma" w:hAnsi="Tahoma" w:cs="Tahoma"/>
      <w:sz w:val="16"/>
      <w:szCs w:val="16"/>
    </w:rPr>
  </w:style>
  <w:style w:type="character" w:customStyle="1" w:styleId="BalloonTextChar">
    <w:name w:val="Balloon Text Char"/>
    <w:basedOn w:val="DefaultParagraphFont"/>
    <w:link w:val="BalloonText"/>
    <w:rsid w:val="00775D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FB7EC9"/>
    <w:pPr>
      <w:spacing w:after="108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775D0C"/>
    <w:rPr>
      <w:rFonts w:ascii="Tahoma" w:hAnsi="Tahoma" w:cs="Tahoma"/>
      <w:sz w:val="16"/>
      <w:szCs w:val="16"/>
    </w:rPr>
  </w:style>
  <w:style w:type="character" w:customStyle="1" w:styleId="BalloonTextChar">
    <w:name w:val="Balloon Text Char"/>
    <w:basedOn w:val="DefaultParagraphFont"/>
    <w:link w:val="BalloonText"/>
    <w:rsid w:val="00775D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3806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WIPO/IP/ITAI/GE/18/1 Add. (Arabic)</vt:lpstr>
    </vt:vector>
  </TitlesOfParts>
  <Company>WIPO</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WIPO/IP/ITAI/GE/18/1 Add. (Arabic)</dc:title>
  <dc:creator>Ahmed Hassan</dc:creator>
  <cp:lastModifiedBy>FEDER-AGUILERA Nancy</cp:lastModifiedBy>
  <cp:revision>2</cp:revision>
  <cp:lastPrinted>2018-04-04T12:06:00Z</cp:lastPrinted>
  <dcterms:created xsi:type="dcterms:W3CDTF">2018-04-05T07:18:00Z</dcterms:created>
  <dcterms:modified xsi:type="dcterms:W3CDTF">2018-04-05T07:18:00Z</dcterms:modified>
</cp:coreProperties>
</file>