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F7C86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F7C8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D6452" w:rsidP="001E69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r w:rsidR="001E6960">
              <w:rPr>
                <w:rFonts w:ascii="Arial Black" w:hAnsi="Arial Black"/>
                <w:caps/>
                <w:sz w:val="15"/>
              </w:rPr>
              <w:t>9</w:t>
            </w:r>
            <w:bookmarkStart w:id="0" w:name="Code"/>
            <w:bookmarkEnd w:id="0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F7C86" w:rsidP="001F7C8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F7C86" w:rsidRDefault="001F7C86" w:rsidP="001F7C8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 </w:t>
            </w:r>
            <w:r w:rsidR="001E6960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E6960">
              <w:rPr>
                <w:rFonts w:ascii="Arial Black" w:hAnsi="Arial Black"/>
                <w:caps/>
                <w:sz w:val="15"/>
              </w:rPr>
              <w:t>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Default="008B2CC1" w:rsidP="008B2CC1"/>
    <w:p w:rsidR="00727164" w:rsidRDefault="00727164" w:rsidP="008B2CC1"/>
    <w:p w:rsidR="00727164" w:rsidRPr="008B2CC1" w:rsidRDefault="00727164" w:rsidP="008B2CC1"/>
    <w:p w:rsidR="008B2CC1" w:rsidRPr="008B2CC1" w:rsidRDefault="008B2CC1" w:rsidP="008B2CC1"/>
    <w:p w:rsidR="008B2CC1" w:rsidRPr="00B653A0" w:rsidRDefault="001F7C86" w:rsidP="008B2CC1">
      <w:pPr>
        <w:rPr>
          <w:b/>
          <w:sz w:val="28"/>
          <w:szCs w:val="28"/>
          <w:lang w:val="ru-RU"/>
        </w:rPr>
      </w:pPr>
      <w:r w:rsidRPr="00B653A0">
        <w:rPr>
          <w:b/>
          <w:bCs/>
          <w:sz w:val="28"/>
          <w:szCs w:val="28"/>
          <w:lang w:val="ru-RU"/>
        </w:rPr>
        <w:t>Дипломатическая конференция по принятию нового акта Лиссабонского соглашения об охране наименований мест происхождения и их международной регистрации</w:t>
      </w:r>
    </w:p>
    <w:p w:rsidR="003845C1" w:rsidRPr="00B653A0" w:rsidRDefault="003845C1" w:rsidP="003845C1">
      <w:pPr>
        <w:rPr>
          <w:lang w:val="ru-RU"/>
        </w:rPr>
      </w:pPr>
    </w:p>
    <w:p w:rsidR="00727164" w:rsidRPr="00B653A0" w:rsidRDefault="00727164" w:rsidP="003845C1">
      <w:pPr>
        <w:rPr>
          <w:lang w:val="ru-RU"/>
        </w:rPr>
      </w:pPr>
    </w:p>
    <w:p w:rsidR="003845C1" w:rsidRPr="00B653A0" w:rsidRDefault="003845C1" w:rsidP="003845C1">
      <w:pPr>
        <w:rPr>
          <w:lang w:val="ru-RU"/>
        </w:rPr>
      </w:pPr>
    </w:p>
    <w:p w:rsidR="008B2CC1" w:rsidRPr="00B653A0" w:rsidRDefault="001F7C86" w:rsidP="008B2CC1">
      <w:pPr>
        <w:rPr>
          <w:b/>
          <w:sz w:val="24"/>
          <w:szCs w:val="24"/>
          <w:lang w:val="ru-RU"/>
        </w:rPr>
      </w:pPr>
      <w:r w:rsidRPr="00B653A0">
        <w:rPr>
          <w:b/>
          <w:sz w:val="24"/>
          <w:szCs w:val="24"/>
          <w:lang w:val="ru-RU"/>
        </w:rPr>
        <w:t>Женева</w:t>
      </w:r>
      <w:r w:rsidR="0079049A" w:rsidRPr="00B653A0">
        <w:rPr>
          <w:b/>
          <w:sz w:val="24"/>
          <w:szCs w:val="24"/>
          <w:lang w:val="ru-RU"/>
        </w:rPr>
        <w:t xml:space="preserve">, </w:t>
      </w:r>
      <w:r w:rsidRPr="00B653A0">
        <w:rPr>
          <w:b/>
          <w:sz w:val="24"/>
          <w:szCs w:val="24"/>
          <w:lang w:val="ru-RU"/>
        </w:rPr>
        <w:t>11 –</w:t>
      </w:r>
      <w:r w:rsidR="00644389" w:rsidRPr="00B653A0">
        <w:rPr>
          <w:b/>
          <w:sz w:val="24"/>
          <w:szCs w:val="24"/>
          <w:lang w:val="ru-RU"/>
        </w:rPr>
        <w:t xml:space="preserve"> 21</w:t>
      </w:r>
      <w:r w:rsidRPr="00B653A0">
        <w:rPr>
          <w:b/>
          <w:sz w:val="24"/>
          <w:szCs w:val="24"/>
          <w:lang w:val="ru-RU"/>
        </w:rPr>
        <w:t xml:space="preserve"> мая </w:t>
      </w:r>
      <w:r w:rsidR="00BA71FC" w:rsidRPr="00B653A0">
        <w:rPr>
          <w:b/>
          <w:sz w:val="24"/>
          <w:szCs w:val="24"/>
          <w:lang w:val="ru-RU"/>
        </w:rPr>
        <w:t>201</w:t>
      </w:r>
      <w:r w:rsidR="00E151DB" w:rsidRPr="00B653A0">
        <w:rPr>
          <w:b/>
          <w:sz w:val="24"/>
          <w:szCs w:val="24"/>
          <w:lang w:val="ru-RU"/>
        </w:rPr>
        <w:t>5</w:t>
      </w:r>
      <w:r w:rsidRPr="00B653A0">
        <w:rPr>
          <w:b/>
          <w:sz w:val="24"/>
          <w:szCs w:val="24"/>
          <w:lang w:val="ru-RU"/>
        </w:rPr>
        <w:t xml:space="preserve"> г.</w:t>
      </w:r>
    </w:p>
    <w:p w:rsidR="008B2CC1" w:rsidRPr="00B653A0" w:rsidRDefault="008B2CC1" w:rsidP="008B2CC1">
      <w:pPr>
        <w:rPr>
          <w:lang w:val="ru-RU"/>
        </w:rPr>
      </w:pPr>
    </w:p>
    <w:p w:rsidR="008B2CC1" w:rsidRPr="00B653A0" w:rsidRDefault="008B2CC1" w:rsidP="008B2CC1">
      <w:pPr>
        <w:rPr>
          <w:lang w:val="ru-RU"/>
        </w:rPr>
      </w:pPr>
    </w:p>
    <w:p w:rsidR="008B2CC1" w:rsidRPr="00B653A0" w:rsidRDefault="008B2CC1" w:rsidP="008B2CC1">
      <w:pPr>
        <w:rPr>
          <w:lang w:val="ru-RU"/>
        </w:rPr>
      </w:pPr>
    </w:p>
    <w:p w:rsidR="001F7C86" w:rsidRPr="00B653A0" w:rsidRDefault="001F7C86" w:rsidP="001E6960">
      <w:pPr>
        <w:spacing w:line="250" w:lineRule="auto"/>
        <w:rPr>
          <w:sz w:val="24"/>
          <w:lang w:val="ru-RU"/>
        </w:rPr>
      </w:pPr>
      <w:bookmarkStart w:id="3" w:name="TitleOfDoc"/>
      <w:bookmarkEnd w:id="3"/>
      <w:r w:rsidRPr="00B653A0">
        <w:rPr>
          <w:sz w:val="24"/>
          <w:lang w:val="ru-RU"/>
        </w:rPr>
        <w:t>ПРЕДЛОЖЕНИЕ ДЕЛЕГАЦИЙ АРГЕНТИНЫ, АВСТРАЛИИ, КАНАДЫ, ЧИЛИ, ЯПОНИИ, НОВОЙ ЗЕЛАНДИИ, ПАНАМЫ, РЕСПУБЛИКИ КОРЕЯ, САУДОВСКОЙ АРАВИИ, СИНГАПУРА, СОЕДИНЕННЫХ ШТАТОВ АМЕРИКИ И УРУГВАЯ</w:t>
      </w:r>
    </w:p>
    <w:p w:rsidR="00AC205C" w:rsidRPr="00B653A0" w:rsidRDefault="00AC205C">
      <w:pPr>
        <w:rPr>
          <w:lang w:val="ru-RU"/>
        </w:rPr>
      </w:pPr>
      <w:bookmarkStart w:id="4" w:name="Prepared"/>
      <w:bookmarkEnd w:id="4"/>
    </w:p>
    <w:p w:rsidR="002928D3" w:rsidRPr="00B653A0" w:rsidRDefault="002928D3">
      <w:pPr>
        <w:rPr>
          <w:lang w:val="ru-RU"/>
        </w:rPr>
      </w:pPr>
    </w:p>
    <w:p w:rsidR="007620E6" w:rsidRPr="00B653A0" w:rsidRDefault="007620E6">
      <w:pPr>
        <w:rPr>
          <w:lang w:val="ru-RU"/>
        </w:rPr>
      </w:pPr>
    </w:p>
    <w:p w:rsidR="007620E6" w:rsidRPr="00B653A0" w:rsidRDefault="007620E6">
      <w:pPr>
        <w:rPr>
          <w:lang w:val="ru-RU"/>
        </w:rPr>
      </w:pPr>
    </w:p>
    <w:p w:rsidR="00663A83" w:rsidRPr="00B653A0" w:rsidRDefault="00663A83">
      <w:pPr>
        <w:rPr>
          <w:lang w:val="ru-RU"/>
        </w:rPr>
      </w:pPr>
    </w:p>
    <w:p w:rsidR="001F7C86" w:rsidRPr="00B653A0" w:rsidRDefault="00B04399" w:rsidP="00E479B5">
      <w:pPr>
        <w:rPr>
          <w:lang w:val="ru-RU"/>
        </w:rPr>
      </w:pPr>
      <w:r w:rsidRPr="00B653A0">
        <w:rPr>
          <w:lang w:val="ru-RU"/>
        </w:rPr>
        <w:fldChar w:fldCharType="begin"/>
      </w:r>
      <w:r w:rsidRPr="00B653A0">
        <w:rPr>
          <w:lang w:val="ru-RU"/>
        </w:rPr>
        <w:instrText xml:space="preserve"> AUTONUM  </w:instrText>
      </w:r>
      <w:r w:rsidRPr="00B653A0">
        <w:rPr>
          <w:lang w:val="ru-RU"/>
        </w:rPr>
        <w:fldChar w:fldCharType="end"/>
      </w:r>
      <w:r w:rsidRPr="00B653A0">
        <w:rPr>
          <w:lang w:val="ru-RU"/>
        </w:rPr>
        <w:tab/>
      </w:r>
      <w:r w:rsidR="001F7C86" w:rsidRPr="00B653A0">
        <w:rPr>
          <w:lang w:val="ru-RU"/>
        </w:rPr>
        <w:t xml:space="preserve">Своим </w:t>
      </w:r>
      <w:r w:rsidR="005573EB" w:rsidRPr="00B653A0">
        <w:rPr>
          <w:lang w:val="ru-RU"/>
        </w:rPr>
        <w:t>сообщением от 8 мая 2015</w:t>
      </w:r>
      <w:r w:rsidR="001F7C86" w:rsidRPr="00B653A0">
        <w:rPr>
          <w:lang w:val="ru-RU"/>
        </w:rPr>
        <w:t xml:space="preserve"> г. делегации Аргентины, Австралии, Канады, Чили, Японии, Новой Зеландии, Панамы, Республики Корея, Саудовской Аравии, Сингапура, Соединенных Штатов Америки и Уругвая препроводили Международному бюро Всемирной организации интеллектуальной собственности (ВОИС) предложение, содержащееся в настоящем документе. </w:t>
      </w:r>
    </w:p>
    <w:p w:rsidR="00E479B5" w:rsidRPr="00B653A0" w:rsidRDefault="00E479B5" w:rsidP="00E479B5">
      <w:pPr>
        <w:spacing w:line="247" w:lineRule="auto"/>
        <w:ind w:left="452" w:right="6475"/>
        <w:rPr>
          <w:lang w:val="ru-RU"/>
        </w:rPr>
      </w:pPr>
      <w:r w:rsidRPr="00B653A0">
        <w:rPr>
          <w:i/>
          <w:sz w:val="24"/>
          <w:lang w:val="ru-RU"/>
        </w:rPr>
        <w:t xml:space="preserve"> </w:t>
      </w:r>
      <w:r w:rsidRPr="00B653A0">
        <w:rPr>
          <w:lang w:val="ru-RU"/>
        </w:rPr>
        <w:t xml:space="preserve"> </w:t>
      </w:r>
      <w:r w:rsidRPr="00B653A0">
        <w:rPr>
          <w:lang w:val="ru-RU"/>
        </w:rPr>
        <w:tab/>
        <w:t xml:space="preserve"> </w:t>
      </w:r>
    </w:p>
    <w:p w:rsidR="00E479B5" w:rsidRPr="00B653A0" w:rsidRDefault="00E479B5" w:rsidP="001E6960">
      <w:pPr>
        <w:ind w:right="46"/>
        <w:rPr>
          <w:lang w:val="ru-RU"/>
        </w:rPr>
      </w:pPr>
    </w:p>
    <w:p w:rsidR="001F7C86" w:rsidRPr="00B653A0" w:rsidRDefault="001F7C86" w:rsidP="001E6960">
      <w:pPr>
        <w:ind w:right="46"/>
        <w:rPr>
          <w:lang w:val="ru-RU"/>
        </w:rPr>
      </w:pPr>
      <w:r w:rsidRPr="00B653A0">
        <w:rPr>
          <w:lang w:val="ru-RU"/>
        </w:rPr>
        <w:t>ПРЕДЛОЖЕНИЕ ПО УЛУЧШЕНИЮ ПРОЕКТА ПРАВИЛ ПРОЦЕДУРЫ ДИПЛОМАТИЧЕСКОЙ КОНФЕРЕНЦИИ</w:t>
      </w:r>
    </w:p>
    <w:p w:rsidR="001E6960" w:rsidRPr="00B653A0" w:rsidRDefault="001E6960" w:rsidP="001E6960">
      <w:pPr>
        <w:ind w:left="5"/>
        <w:rPr>
          <w:lang w:val="ru-RU"/>
        </w:rPr>
      </w:pPr>
    </w:p>
    <w:p w:rsidR="001F7C86" w:rsidRPr="00B653A0" w:rsidRDefault="00B04399" w:rsidP="001E6960">
      <w:pPr>
        <w:ind w:right="46"/>
        <w:rPr>
          <w:lang w:val="ru-RU"/>
        </w:rPr>
      </w:pPr>
      <w:r w:rsidRPr="00B653A0">
        <w:rPr>
          <w:lang w:val="ru-RU"/>
        </w:rPr>
        <w:fldChar w:fldCharType="begin"/>
      </w:r>
      <w:r w:rsidRPr="00B653A0">
        <w:rPr>
          <w:lang w:val="ru-RU"/>
        </w:rPr>
        <w:instrText xml:space="preserve"> AUTONUM  </w:instrText>
      </w:r>
      <w:r w:rsidRPr="00B653A0">
        <w:rPr>
          <w:lang w:val="ru-RU"/>
        </w:rPr>
        <w:fldChar w:fldCharType="end"/>
      </w:r>
      <w:r w:rsidRPr="00B653A0">
        <w:rPr>
          <w:lang w:val="ru-RU"/>
        </w:rPr>
        <w:tab/>
      </w:r>
      <w:r w:rsidR="001F7C86" w:rsidRPr="00B653A0">
        <w:rPr>
          <w:lang w:val="ru-RU"/>
        </w:rPr>
        <w:t>Предложение касается «Проекта правил процедуры Дипломатической конференции</w:t>
      </w:r>
      <w:r w:rsidR="005573EB" w:rsidRPr="00B653A0">
        <w:rPr>
          <w:lang w:val="ru-RU"/>
        </w:rPr>
        <w:t>» (документ LI/DC/2 Prov.), выработанн</w:t>
      </w:r>
      <w:r w:rsidR="00A116BB">
        <w:rPr>
          <w:lang w:val="ru-RU"/>
        </w:rPr>
        <w:t>ого</w:t>
      </w:r>
      <w:r w:rsidR="005573EB" w:rsidRPr="00B653A0">
        <w:rPr>
          <w:lang w:val="ru-RU"/>
        </w:rPr>
        <w:t xml:space="preserve"> для 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регистрации.  Правило 1(2) проекта правил предусматривает, что Конференция на своем пленарном заседании правомочна принять Правила процедуры и вносить в них любые поправки.  Кроме того, в проекте правил (правило 2) определяется, что Конференция состоит из делегаций государств-членов Лиссабонского союза, делегаций Африканской организации интеллектуальной собственности и Европейского союза, делегаций государств-членов ВОИС</w:t>
      </w:r>
      <w:r w:rsidR="00A116BB">
        <w:rPr>
          <w:lang w:val="ru-RU"/>
        </w:rPr>
        <w:t>,</w:t>
      </w:r>
      <w:r w:rsidR="005573EB" w:rsidRPr="00B653A0">
        <w:rPr>
          <w:lang w:val="ru-RU"/>
        </w:rPr>
        <w:t xml:space="preserve"> делегаций государств-членов Организации Объединенных Наций</w:t>
      </w:r>
      <w:r w:rsidR="005813B7" w:rsidRPr="00B653A0">
        <w:rPr>
          <w:lang w:val="ru-RU"/>
        </w:rPr>
        <w:t>, не являющихся членами ВОИС</w:t>
      </w:r>
      <w:r w:rsidR="00A116BB">
        <w:rPr>
          <w:lang w:val="ru-RU"/>
        </w:rPr>
        <w:t>, и</w:t>
      </w:r>
      <w:r w:rsidR="005813B7" w:rsidRPr="00B653A0">
        <w:rPr>
          <w:lang w:val="ru-RU"/>
        </w:rPr>
        <w:t xml:space="preserve"> других представителей, приглашенных в качестве наблюдателей.  Согласно правилу 29, делегации-члены могут предлагать поправки в основное </w:t>
      </w:r>
      <w:r w:rsidR="005813B7" w:rsidRPr="00B653A0">
        <w:rPr>
          <w:lang w:val="ru-RU"/>
        </w:rPr>
        <w:lastRenderedPageBreak/>
        <w:t xml:space="preserve">предложение, однако проект правил обходит молчанием вопрос о том, кто может предлагать поправки к Правилам процедуры.  Из этого следует, что поправки к проекту правил могут предлагать все участники.  </w:t>
      </w:r>
      <w:bookmarkStart w:id="5" w:name="_GoBack"/>
      <w:r w:rsidR="0079366B">
        <w:rPr>
          <w:lang w:val="ru-RU"/>
        </w:rPr>
        <w:t xml:space="preserve">В правиле 46 говорится о том, что </w:t>
      </w:r>
      <w:r w:rsidR="00E774D9">
        <w:rPr>
          <w:lang w:val="ru-RU"/>
        </w:rPr>
        <w:t>делегации-наблюдатели</w:t>
      </w:r>
      <w:r w:rsidR="00662AD4">
        <w:rPr>
          <w:lang w:val="ru-RU"/>
        </w:rPr>
        <w:t xml:space="preserve"> и наблюдатели</w:t>
      </w:r>
      <w:r w:rsidR="00E774D9">
        <w:rPr>
          <w:lang w:val="ru-RU"/>
        </w:rPr>
        <w:t xml:space="preserve"> могут присутствовать на пленарных заседаниях конференции.</w:t>
      </w:r>
      <w:bookmarkEnd w:id="5"/>
      <w:r w:rsidR="00E774D9">
        <w:rPr>
          <w:lang w:val="ru-RU"/>
        </w:rPr>
        <w:t xml:space="preserve">  </w:t>
      </w:r>
      <w:r w:rsidR="005813B7" w:rsidRPr="00B653A0">
        <w:rPr>
          <w:lang w:val="ru-RU"/>
        </w:rPr>
        <w:t xml:space="preserve">И наконец, правило 34(1) предусматривает, что все решения всех органов, по возможности, принимаются на основе консенсуса.  Мы считаем, что данная предлагаемая поправка к проекту правил процедуры должна быть одобрена </w:t>
      </w:r>
      <w:r w:rsidR="00A116BB">
        <w:rPr>
          <w:lang w:val="ru-RU"/>
        </w:rPr>
        <w:t>Конференцией на основе консенсуса</w:t>
      </w:r>
      <w:r w:rsidR="005813B7" w:rsidRPr="00B653A0">
        <w:rPr>
          <w:lang w:val="ru-RU"/>
        </w:rPr>
        <w:t xml:space="preserve">.  </w:t>
      </w:r>
      <w:r w:rsidR="005573EB" w:rsidRPr="00B653A0">
        <w:rPr>
          <w:lang w:val="ru-RU"/>
        </w:rPr>
        <w:t xml:space="preserve"> </w:t>
      </w:r>
    </w:p>
    <w:p w:rsidR="001E6960" w:rsidRPr="00B653A0" w:rsidRDefault="001E6960" w:rsidP="001E6960">
      <w:pPr>
        <w:ind w:left="5"/>
        <w:rPr>
          <w:lang w:val="ru-RU"/>
        </w:rPr>
      </w:pPr>
    </w:p>
    <w:p w:rsidR="005813B7" w:rsidRPr="00B653A0" w:rsidRDefault="00B04399" w:rsidP="00A116BB">
      <w:pPr>
        <w:ind w:right="-185"/>
        <w:rPr>
          <w:lang w:val="ru-RU"/>
        </w:rPr>
      </w:pPr>
      <w:r w:rsidRPr="00B653A0">
        <w:rPr>
          <w:lang w:val="ru-RU"/>
        </w:rPr>
        <w:fldChar w:fldCharType="begin"/>
      </w:r>
      <w:r w:rsidRPr="00B653A0">
        <w:rPr>
          <w:lang w:val="ru-RU"/>
        </w:rPr>
        <w:instrText xml:space="preserve"> AUTONUM  </w:instrText>
      </w:r>
      <w:r w:rsidRPr="00B653A0">
        <w:rPr>
          <w:lang w:val="ru-RU"/>
        </w:rPr>
        <w:fldChar w:fldCharType="end"/>
      </w:r>
      <w:r w:rsidRPr="00B653A0">
        <w:rPr>
          <w:lang w:val="ru-RU"/>
        </w:rPr>
        <w:tab/>
      </w:r>
      <w:r w:rsidR="005813B7" w:rsidRPr="00B653A0">
        <w:rPr>
          <w:lang w:val="ru-RU"/>
        </w:rPr>
        <w:t>Как поясняется в документе LI/R/PM/5/Rev.3 и как отмечалось на заседаниях Подготовительного комитета, обычно формат дипломатических конференций ВОИС предусматривает полноценное участие и право голоса всех государств-членов Организации.  Однако нынешний проект правил, содержащийся в документе L</w:t>
      </w:r>
      <w:r w:rsidR="00A116BB">
        <w:rPr>
          <w:lang w:val="ru-RU"/>
        </w:rPr>
        <w:t>I/DC/2 </w:t>
      </w:r>
      <w:r w:rsidR="005813B7" w:rsidRPr="00B653A0">
        <w:rPr>
          <w:lang w:val="ru-RU"/>
        </w:rPr>
        <w:t>Prov., ограничивает полноценное участие и право голоса только нынешними членами Лиссабонского союза и наделяет двух членов, не являющихся членами ВОИС, б</w:t>
      </w:r>
      <w:r w:rsidR="00A116BB" w:rsidRPr="00A116BB">
        <w:rPr>
          <w:i/>
          <w:lang w:val="ru-RU"/>
        </w:rPr>
        <w:t>о</w:t>
      </w:r>
      <w:r w:rsidR="005813B7" w:rsidRPr="00B653A0">
        <w:rPr>
          <w:lang w:val="ru-RU"/>
        </w:rPr>
        <w:t xml:space="preserve">льшими правами на участие в переговорах, чем права членов ВОИС, которые не являются </w:t>
      </w:r>
      <w:r w:rsidR="00B653A0" w:rsidRPr="00B653A0">
        <w:rPr>
          <w:lang w:val="ru-RU"/>
        </w:rPr>
        <w:t>членами</w:t>
      </w:r>
      <w:r w:rsidR="005813B7" w:rsidRPr="00B653A0">
        <w:rPr>
          <w:lang w:val="ru-RU"/>
        </w:rPr>
        <w:t xml:space="preserve"> Лиссабонского союза.  В последние 20 лет на всех дипломатических конференциях ВОИС, включая Дипломатическую конференцию по принятию нового акта </w:t>
      </w:r>
      <w:r w:rsidR="00B653A0" w:rsidRPr="00B653A0">
        <w:rPr>
          <w:lang w:val="ru-RU"/>
        </w:rPr>
        <w:t>действующего</w:t>
      </w:r>
      <w:r w:rsidR="005813B7" w:rsidRPr="00B653A0">
        <w:rPr>
          <w:lang w:val="ru-RU"/>
        </w:rPr>
        <w:t xml:space="preserve"> договора (Гаагское соглашение), равноправное участие было обеспечено всем членам ВОИС (см. выдержки из документов недавних дипломатических конференций в приложении). </w:t>
      </w:r>
    </w:p>
    <w:p w:rsidR="001E6960" w:rsidRPr="00B653A0" w:rsidRDefault="001E6960" w:rsidP="001E6960">
      <w:pPr>
        <w:ind w:left="5"/>
        <w:rPr>
          <w:lang w:val="ru-RU"/>
        </w:rPr>
      </w:pPr>
    </w:p>
    <w:p w:rsidR="005813B7" w:rsidRPr="00B653A0" w:rsidRDefault="00B04399" w:rsidP="001E6960">
      <w:pPr>
        <w:ind w:right="291"/>
        <w:rPr>
          <w:lang w:val="ru-RU"/>
        </w:rPr>
      </w:pPr>
      <w:r w:rsidRPr="00B653A0">
        <w:rPr>
          <w:lang w:val="ru-RU"/>
        </w:rPr>
        <w:fldChar w:fldCharType="begin"/>
      </w:r>
      <w:r w:rsidRPr="00B653A0">
        <w:rPr>
          <w:lang w:val="ru-RU"/>
        </w:rPr>
        <w:instrText xml:space="preserve"> AUTONUM  </w:instrText>
      </w:r>
      <w:r w:rsidRPr="00B653A0">
        <w:rPr>
          <w:lang w:val="ru-RU"/>
        </w:rPr>
        <w:fldChar w:fldCharType="end"/>
      </w:r>
      <w:r w:rsidRPr="00B653A0">
        <w:rPr>
          <w:lang w:val="ru-RU"/>
        </w:rPr>
        <w:tab/>
      </w:r>
      <w:r w:rsidR="005813B7" w:rsidRPr="00B653A0">
        <w:rPr>
          <w:lang w:val="ru-RU"/>
        </w:rPr>
        <w:t xml:space="preserve">Для обеспечения полноценного и равноправного участия всех членов ВОИС мы по-прежнему предлагаем </w:t>
      </w:r>
      <w:r w:rsidR="00CC3AD5">
        <w:rPr>
          <w:lang w:val="ru-RU"/>
        </w:rPr>
        <w:t>изменить</w:t>
      </w:r>
      <w:r w:rsidR="005813B7" w:rsidRPr="00B653A0">
        <w:rPr>
          <w:lang w:val="ru-RU"/>
        </w:rPr>
        <w:t xml:space="preserve"> документ LI/DC/2 Prov. следующим </w:t>
      </w:r>
      <w:r w:rsidR="00CC3AD5">
        <w:rPr>
          <w:lang w:val="ru-RU"/>
        </w:rPr>
        <w:t>образом:</w:t>
      </w:r>
    </w:p>
    <w:p w:rsidR="001E6960" w:rsidRPr="00B653A0" w:rsidRDefault="001E6960" w:rsidP="001E6960">
      <w:pPr>
        <w:ind w:left="5"/>
        <w:rPr>
          <w:lang w:val="ru-RU"/>
        </w:rPr>
      </w:pPr>
    </w:p>
    <w:p w:rsidR="0008417D" w:rsidRPr="00B653A0" w:rsidRDefault="0008417D" w:rsidP="001E6960">
      <w:pPr>
        <w:ind w:left="5"/>
        <w:rPr>
          <w:lang w:val="ru-RU"/>
        </w:rPr>
      </w:pPr>
    </w:p>
    <w:p w:rsidR="005813B7" w:rsidRPr="00B653A0" w:rsidRDefault="005813B7" w:rsidP="00CF1AC0">
      <w:pPr>
        <w:ind w:right="46"/>
        <w:rPr>
          <w:caps/>
          <w:lang w:val="ru-RU"/>
        </w:rPr>
      </w:pPr>
      <w:r w:rsidRPr="00B653A0">
        <w:rPr>
          <w:caps/>
          <w:lang w:val="ru-RU"/>
        </w:rPr>
        <w:t>ПРОЕКТ ПРАВИЛ ПРОЦЕДУРЫ дипломатической конференции</w:t>
      </w:r>
    </w:p>
    <w:p w:rsidR="001E6960" w:rsidRPr="00B653A0" w:rsidRDefault="00003E90" w:rsidP="0008417D">
      <w:pPr>
        <w:pStyle w:val="Heading3"/>
        <w:rPr>
          <w:lang w:val="ru-RU"/>
        </w:rPr>
      </w:pPr>
      <w:r w:rsidRPr="00B653A0">
        <w:rPr>
          <w:u w:color="000000"/>
          <w:lang w:val="ru-RU"/>
        </w:rPr>
        <w:t>Правило</w:t>
      </w:r>
      <w:r w:rsidR="001E6960" w:rsidRPr="00B653A0">
        <w:rPr>
          <w:u w:color="000000"/>
          <w:lang w:val="ru-RU"/>
        </w:rPr>
        <w:t xml:space="preserve"> 2</w:t>
      </w:r>
      <w:r w:rsidR="001E6960" w:rsidRPr="00B653A0">
        <w:rPr>
          <w:lang w:val="ru-RU"/>
        </w:rPr>
        <w:t xml:space="preserve">: </w:t>
      </w:r>
      <w:r w:rsidR="00E26819" w:rsidRPr="00B653A0">
        <w:rPr>
          <w:lang w:val="ru-RU"/>
        </w:rPr>
        <w:t xml:space="preserve"> </w:t>
      </w:r>
      <w:r w:rsidRPr="00B653A0">
        <w:rPr>
          <w:u w:color="000000"/>
          <w:lang w:val="ru-RU"/>
        </w:rPr>
        <w:t>Состав Конференции</w:t>
      </w:r>
      <w:r w:rsidR="001E6960" w:rsidRPr="00B653A0">
        <w:rPr>
          <w:lang w:val="ru-RU"/>
        </w:rPr>
        <w:t xml:space="preserve"> </w:t>
      </w:r>
    </w:p>
    <w:p w:rsidR="001E6960" w:rsidRPr="00B653A0" w:rsidRDefault="001E6960" w:rsidP="001E6960">
      <w:pPr>
        <w:ind w:left="5"/>
        <w:rPr>
          <w:lang w:val="ru-RU"/>
        </w:rPr>
      </w:pPr>
      <w:r w:rsidRPr="00B653A0">
        <w:rPr>
          <w:lang w:val="ru-RU"/>
        </w:rPr>
        <w:t xml:space="preserve"> </w:t>
      </w:r>
    </w:p>
    <w:p w:rsidR="001E6960" w:rsidRPr="00B653A0" w:rsidRDefault="00003E90" w:rsidP="001E6960">
      <w:pPr>
        <w:numPr>
          <w:ilvl w:val="0"/>
          <w:numId w:val="11"/>
        </w:numPr>
        <w:ind w:left="556" w:right="46" w:hanging="566"/>
        <w:rPr>
          <w:lang w:val="ru-RU"/>
        </w:rPr>
      </w:pPr>
      <w:r w:rsidRPr="00B653A0">
        <w:rPr>
          <w:lang w:val="ru-RU"/>
        </w:rPr>
        <w:t>Конференция состоит из</w:t>
      </w:r>
      <w:r w:rsidR="00B653A0" w:rsidRPr="00B653A0">
        <w:rPr>
          <w:lang w:val="ru-RU"/>
        </w:rPr>
        <w:t>:</w:t>
      </w:r>
      <w:r w:rsidR="001E6960" w:rsidRPr="00B653A0">
        <w:rPr>
          <w:lang w:val="ru-RU"/>
        </w:rPr>
        <w:t xml:space="preserve"> </w:t>
      </w:r>
    </w:p>
    <w:p w:rsidR="001E6960" w:rsidRPr="00B653A0" w:rsidRDefault="001E6960" w:rsidP="001E6960">
      <w:pPr>
        <w:ind w:left="5"/>
        <w:rPr>
          <w:lang w:val="ru-RU"/>
        </w:rPr>
      </w:pPr>
      <w:r w:rsidRPr="00B653A0">
        <w:rPr>
          <w:lang w:val="ru-RU"/>
        </w:rPr>
        <w:t xml:space="preserve"> </w:t>
      </w:r>
    </w:p>
    <w:p w:rsidR="00003E90" w:rsidRPr="00B653A0" w:rsidRDefault="00003E90" w:rsidP="00AC2FFE">
      <w:pPr>
        <w:numPr>
          <w:ilvl w:val="1"/>
          <w:numId w:val="11"/>
        </w:numPr>
        <w:ind w:left="567" w:right="46" w:hanging="23"/>
        <w:rPr>
          <w:lang w:val="ru-RU"/>
        </w:rPr>
      </w:pPr>
      <w:r w:rsidRPr="00B653A0">
        <w:rPr>
          <w:lang w:val="ru-RU"/>
        </w:rPr>
        <w:t>делегаций государств-членов Всемирной организации интеллектуальной собственности (ниже именуемых «делегации-члены»);</w:t>
      </w:r>
    </w:p>
    <w:p w:rsidR="001E6960" w:rsidRPr="00B653A0" w:rsidRDefault="001E6960" w:rsidP="00AC2FFE">
      <w:pPr>
        <w:ind w:left="567" w:hanging="23"/>
        <w:rPr>
          <w:lang w:val="ru-RU"/>
        </w:rPr>
      </w:pPr>
    </w:p>
    <w:p w:rsidR="00003E90" w:rsidRPr="00B653A0" w:rsidRDefault="006D39BD" w:rsidP="00AC2FFE">
      <w:pPr>
        <w:numPr>
          <w:ilvl w:val="1"/>
          <w:numId w:val="11"/>
        </w:numPr>
        <w:ind w:left="567" w:right="46" w:hanging="23"/>
        <w:rPr>
          <w:lang w:val="ru-RU"/>
        </w:rPr>
      </w:pPr>
      <w:r w:rsidRPr="00B653A0">
        <w:rPr>
          <w:lang w:val="ru-RU"/>
        </w:rPr>
        <w:t>делегаций Африканской организации интеллектуальной собственности и Европейского союза (ниже именуемых «специальные делегации»);</w:t>
      </w:r>
    </w:p>
    <w:p w:rsidR="001E6960" w:rsidRPr="00B653A0" w:rsidRDefault="001E6960" w:rsidP="00AC2FFE">
      <w:pPr>
        <w:ind w:left="567" w:hanging="23"/>
        <w:rPr>
          <w:lang w:val="ru-RU"/>
        </w:rPr>
      </w:pPr>
    </w:p>
    <w:p w:rsidR="006D39BD" w:rsidRPr="00B653A0" w:rsidRDefault="006D39BD" w:rsidP="00AC2FFE">
      <w:pPr>
        <w:numPr>
          <w:ilvl w:val="1"/>
          <w:numId w:val="11"/>
        </w:numPr>
        <w:ind w:left="567" w:right="46" w:hanging="23"/>
        <w:rPr>
          <w:lang w:val="ru-RU"/>
        </w:rPr>
      </w:pPr>
      <w:r w:rsidRPr="00B653A0">
        <w:rPr>
          <w:lang w:val="ru-RU"/>
        </w:rPr>
        <w:t>делегаций государств-членов Организации Объединенных Наций, не являющихся членами Всемирной организации интеллектуальной собственности (ниже именуемых «делегации-наблюдатели»);  и</w:t>
      </w:r>
    </w:p>
    <w:p w:rsidR="001E6960" w:rsidRPr="00B653A0" w:rsidRDefault="001E6960" w:rsidP="00AC2FFE">
      <w:pPr>
        <w:ind w:left="567" w:hanging="23"/>
        <w:rPr>
          <w:lang w:val="ru-RU"/>
        </w:rPr>
      </w:pPr>
    </w:p>
    <w:p w:rsidR="006D39BD" w:rsidRPr="00B653A0" w:rsidRDefault="006D39BD" w:rsidP="00AC2FFE">
      <w:pPr>
        <w:numPr>
          <w:ilvl w:val="1"/>
          <w:numId w:val="11"/>
        </w:numPr>
        <w:ind w:left="567" w:right="46" w:hanging="23"/>
        <w:rPr>
          <w:lang w:val="ru-RU"/>
        </w:rPr>
      </w:pPr>
      <w:r w:rsidRPr="00B653A0">
        <w:rPr>
          <w:lang w:val="ru-RU"/>
        </w:rPr>
        <w:t xml:space="preserve">представителей межправительственных и неправительственных организаций и других субъектов, приглашенных на Конференцию в качестве наблюдателей (ниже именуемых «наблюдатели»). </w:t>
      </w:r>
    </w:p>
    <w:p w:rsidR="001E6960" w:rsidRPr="00B653A0" w:rsidRDefault="001E6960" w:rsidP="001E6960">
      <w:pPr>
        <w:ind w:left="4"/>
        <w:rPr>
          <w:lang w:val="ru-RU"/>
        </w:rPr>
      </w:pPr>
    </w:p>
    <w:p w:rsidR="006D39BD" w:rsidRPr="00B653A0" w:rsidRDefault="006D39BD" w:rsidP="00D31559">
      <w:pPr>
        <w:numPr>
          <w:ilvl w:val="0"/>
          <w:numId w:val="11"/>
        </w:numPr>
        <w:ind w:left="0" w:right="46" w:hanging="10"/>
        <w:rPr>
          <w:lang w:val="ru-RU"/>
        </w:rPr>
      </w:pPr>
      <w:r w:rsidRPr="00B653A0">
        <w:rPr>
          <w:lang w:val="ru-RU"/>
        </w:rPr>
        <w:t>В настоящих Правилах процедуры ссылки на «делегации-члены» означают также ссылки на «специальные делегации», если не предусмотрено иное (см. правил</w:t>
      </w:r>
      <w:r w:rsidR="004B0AE2">
        <w:rPr>
          <w:lang w:val="ru-RU"/>
        </w:rPr>
        <w:t>а</w:t>
      </w:r>
      <w:r w:rsidRPr="00B653A0">
        <w:rPr>
          <w:lang w:val="ru-RU"/>
        </w:rPr>
        <w:t xml:space="preserve"> 11(2), 33 и 34).</w:t>
      </w:r>
    </w:p>
    <w:p w:rsidR="001E6960" w:rsidRPr="00B653A0" w:rsidRDefault="001E6960" w:rsidP="00D31559">
      <w:pPr>
        <w:ind w:hanging="10"/>
        <w:rPr>
          <w:lang w:val="ru-RU"/>
        </w:rPr>
      </w:pPr>
    </w:p>
    <w:p w:rsidR="006D39BD" w:rsidRPr="00B653A0" w:rsidRDefault="006D39BD" w:rsidP="00D31559">
      <w:pPr>
        <w:numPr>
          <w:ilvl w:val="0"/>
          <w:numId w:val="11"/>
        </w:numPr>
        <w:ind w:left="0" w:right="46" w:hanging="10"/>
        <w:rPr>
          <w:lang w:val="ru-RU"/>
        </w:rPr>
      </w:pPr>
      <w:r w:rsidRPr="00B653A0">
        <w:rPr>
          <w:lang w:val="ru-RU"/>
        </w:rPr>
        <w:t>В настоящих Правилах процедуры ссылки на «делегации» означают ссылки на делегации трех видов (делегации-члены, специальные делегации и делегации-наблюдатели), но не на наблюдателей.</w:t>
      </w:r>
    </w:p>
    <w:p w:rsidR="001E6960" w:rsidRPr="00B653A0" w:rsidRDefault="001E6960" w:rsidP="001E6960">
      <w:pPr>
        <w:ind w:left="4"/>
        <w:rPr>
          <w:lang w:val="ru-RU"/>
        </w:rPr>
      </w:pPr>
    </w:p>
    <w:p w:rsidR="005B553A" w:rsidRPr="00B653A0" w:rsidRDefault="001E6960" w:rsidP="00E74F6D">
      <w:pPr>
        <w:ind w:left="5533"/>
        <w:rPr>
          <w:lang w:val="ru-RU"/>
        </w:rPr>
      </w:pPr>
      <w:r w:rsidRPr="00B653A0">
        <w:rPr>
          <w:lang w:val="ru-RU"/>
        </w:rPr>
        <w:t>[</w:t>
      </w:r>
      <w:r w:rsidR="006D39BD" w:rsidRPr="00B653A0">
        <w:rPr>
          <w:lang w:val="ru-RU"/>
        </w:rPr>
        <w:t>Приложение следует</w:t>
      </w:r>
      <w:r w:rsidRPr="00B653A0">
        <w:rPr>
          <w:lang w:val="ru-RU"/>
        </w:rPr>
        <w:t xml:space="preserve">] </w:t>
      </w:r>
    </w:p>
    <w:p w:rsidR="00EF60FA" w:rsidRPr="00B653A0" w:rsidRDefault="00EF60FA" w:rsidP="005B553A">
      <w:pPr>
        <w:rPr>
          <w:lang w:val="ru-RU"/>
        </w:rPr>
        <w:sectPr w:rsidR="00EF60FA" w:rsidRPr="00B653A0" w:rsidSect="005D739A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E370E" w:rsidRPr="00B653A0" w:rsidRDefault="008E370E" w:rsidP="008E370E">
      <w:pPr>
        <w:ind w:right="48"/>
        <w:jc w:val="right"/>
        <w:rPr>
          <w:lang w:val="ru-RU"/>
        </w:rPr>
      </w:pPr>
    </w:p>
    <w:p w:rsidR="001E6960" w:rsidRPr="00B653A0" w:rsidRDefault="001E6960" w:rsidP="008E370E">
      <w:pPr>
        <w:ind w:right="48"/>
        <w:jc w:val="right"/>
        <w:rPr>
          <w:lang w:val="ru-RU"/>
        </w:rPr>
      </w:pPr>
    </w:p>
    <w:p w:rsidR="006D39BD" w:rsidRPr="00B653A0" w:rsidRDefault="006D39BD" w:rsidP="00663A83">
      <w:pPr>
        <w:spacing w:after="53"/>
        <w:rPr>
          <w:lang w:val="ru-RU"/>
        </w:rPr>
      </w:pPr>
      <w:r w:rsidRPr="00B653A0">
        <w:rPr>
          <w:lang w:val="ru-RU"/>
        </w:rPr>
        <w:t>ПРИМЕРЫ ОКОНЧАТЕЛЬНЫХ ПРАВИЛ ПРОЦЕДУРЫ РАЗЛИЧНЫХ ДИПЛОМАТИЧЕСКИХ КОНФЕРЕНЦИЙ ВОИС – ВЫДЕРЖКИ, КАСАЮЩИЕСЯ СОСТАВА КОНФЕРЕНЦИИ</w:t>
      </w:r>
    </w:p>
    <w:p w:rsidR="00663A83" w:rsidRPr="00B653A0" w:rsidRDefault="00663A83" w:rsidP="00663A83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rPr>
          <w:lang w:val="ru-RU"/>
        </w:rPr>
      </w:pPr>
      <w:r w:rsidRPr="00B653A0">
        <w:rPr>
          <w:b/>
          <w:lang w:val="ru-RU"/>
        </w:rPr>
        <w:t>Дипломатическая конференция по принятию Нового акта к Гаагскому соглашению о международном депонировании промышленных образцов, Правила процедуры, H/DC/12, правило</w:t>
      </w:r>
      <w:r w:rsidRPr="00B653A0">
        <w:rPr>
          <w:lang w:val="ru-RU"/>
        </w:rPr>
        <w:t xml:space="preserve"> </w:t>
      </w:r>
      <w:r w:rsidRPr="00B653A0">
        <w:rPr>
          <w:b/>
          <w:lang w:val="ru-RU"/>
        </w:rPr>
        <w:t>2 (Женева, 1999</w:t>
      </w:r>
      <w:r w:rsidRPr="00B653A0">
        <w:rPr>
          <w:lang w:val="ru-RU"/>
        </w:rPr>
        <w:t xml:space="preserve"> </w:t>
      </w:r>
      <w:r w:rsidRPr="00B653A0">
        <w:rPr>
          <w:b/>
          <w:lang w:val="ru-RU"/>
        </w:rPr>
        <w:t xml:space="preserve">г.) </w:t>
      </w:r>
      <w:r w:rsidRPr="00B653A0">
        <w:rPr>
          <w:lang w:val="ru-RU"/>
        </w:rPr>
        <w:t xml:space="preserve"> </w:t>
      </w:r>
    </w:p>
    <w:p w:rsidR="00E74F6D" w:rsidRPr="00B653A0" w:rsidRDefault="00E74F6D" w:rsidP="00E74F6D">
      <w:pPr>
        <w:rPr>
          <w:lang w:val="ru-RU"/>
        </w:rPr>
      </w:pPr>
    </w:p>
    <w:p w:rsidR="00E74F6D" w:rsidRPr="00B653A0" w:rsidRDefault="00E74F6D" w:rsidP="00E74F6D">
      <w:pPr>
        <w:pStyle w:val="Heading2"/>
        <w:keepNext w:val="0"/>
        <w:tabs>
          <w:tab w:val="center" w:pos="800"/>
          <w:tab w:val="center" w:pos="3103"/>
        </w:tabs>
        <w:spacing w:before="0" w:after="0"/>
        <w:rPr>
          <w:u w:val="single"/>
          <w:lang w:val="ru-RU"/>
        </w:rPr>
      </w:pPr>
      <w:r w:rsidRPr="00B653A0">
        <w:rPr>
          <w:caps w:val="0"/>
          <w:u w:val="single"/>
          <w:lang w:val="ru-RU"/>
        </w:rPr>
        <w:t>Правило 2</w:t>
      </w:r>
      <w:r w:rsidRPr="00B653A0">
        <w:rPr>
          <w:caps w:val="0"/>
          <w:lang w:val="ru-RU"/>
        </w:rPr>
        <w:t>:</w:t>
      </w:r>
      <w:r w:rsidR="00FE197C">
        <w:rPr>
          <w:caps w:val="0"/>
          <w:lang w:val="ru-RU"/>
        </w:rPr>
        <w:t xml:space="preserve">  </w:t>
      </w:r>
      <w:r w:rsidRPr="00B653A0">
        <w:rPr>
          <w:caps w:val="0"/>
          <w:u w:val="single"/>
          <w:lang w:val="ru-RU"/>
        </w:rPr>
        <w:t xml:space="preserve">Состав Конференции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2"/>
        </w:numPr>
        <w:spacing w:line="249" w:lineRule="auto"/>
        <w:ind w:left="621" w:right="46" w:hanging="631"/>
        <w:rPr>
          <w:lang w:val="ru-RU"/>
        </w:rPr>
      </w:pPr>
      <w:r w:rsidRPr="00B653A0">
        <w:rPr>
          <w:lang w:val="ru-RU"/>
        </w:rPr>
        <w:t xml:space="preserve">Конференция состоит из: </w:t>
      </w:r>
    </w:p>
    <w:p w:rsidR="00E74F6D" w:rsidRPr="00B653A0" w:rsidRDefault="00E74F6D" w:rsidP="00E74F6D">
      <w:pPr>
        <w:spacing w:line="259" w:lineRule="auto"/>
        <w:ind w:left="4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2"/>
        </w:numPr>
        <w:spacing w:line="249" w:lineRule="auto"/>
        <w:ind w:left="646" w:right="46" w:hanging="10"/>
        <w:rPr>
          <w:lang w:val="ru-RU"/>
        </w:rPr>
      </w:pPr>
      <w:r w:rsidRPr="00B653A0">
        <w:rPr>
          <w:lang w:val="ru-RU"/>
        </w:rPr>
        <w:t xml:space="preserve">делегаций государств-членов Всемирной организации интеллектуальной собственности (далее именуемых «обычные делегации-члены»); </w:t>
      </w:r>
    </w:p>
    <w:p w:rsidR="00E74F6D" w:rsidRPr="00B653A0" w:rsidRDefault="00E74F6D" w:rsidP="00E74F6D">
      <w:pPr>
        <w:spacing w:line="259" w:lineRule="auto"/>
        <w:ind w:left="1291"/>
        <w:rPr>
          <w:lang w:val="ru-RU"/>
        </w:rPr>
      </w:pPr>
      <w:r w:rsidRPr="00B653A0">
        <w:rPr>
          <w:lang w:val="ru-RU"/>
        </w:rPr>
        <w:t xml:space="preserve"> </w:t>
      </w:r>
    </w:p>
    <w:p w:rsidR="00E74F6D" w:rsidRPr="00B653A0" w:rsidRDefault="00E74F6D" w:rsidP="00E74F6D">
      <w:pPr>
        <w:numPr>
          <w:ilvl w:val="1"/>
          <w:numId w:val="12"/>
        </w:numPr>
        <w:spacing w:line="249" w:lineRule="auto"/>
        <w:ind w:left="646" w:right="46" w:hanging="10"/>
        <w:rPr>
          <w:lang w:val="ru-RU"/>
        </w:rPr>
      </w:pPr>
      <w:r w:rsidRPr="00B653A0">
        <w:rPr>
          <w:lang w:val="ru-RU"/>
        </w:rPr>
        <w:t xml:space="preserve">делегаций Африканской организации интеллектуальной собственности, Африканской региональной организации промышленной собственности и Европейского сообщества (далее именуемых «специальные делегации-члены»);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2"/>
        </w:numPr>
        <w:spacing w:line="249" w:lineRule="auto"/>
        <w:ind w:left="646" w:right="46" w:hanging="10"/>
        <w:rPr>
          <w:lang w:val="ru-RU"/>
        </w:rPr>
      </w:pPr>
      <w:r w:rsidRPr="00B653A0">
        <w:rPr>
          <w:lang w:val="ru-RU"/>
        </w:rPr>
        <w:t xml:space="preserve">делегаций государств-членов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именуемых «делегации-наблюдатели»);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2"/>
        </w:numPr>
        <w:spacing w:line="249" w:lineRule="auto"/>
        <w:ind w:left="646" w:right="46" w:hanging="10"/>
        <w:rPr>
          <w:lang w:val="ru-RU"/>
        </w:rPr>
      </w:pPr>
      <w:r w:rsidRPr="00B653A0">
        <w:rPr>
          <w:lang w:val="ru-RU"/>
        </w:rPr>
        <w:t xml:space="preserve">представителей межправительственных и неправительственных организаций, приглашенных на Конференцию в качестве наблюдателей (далее именуемых «организации-наблюдатели»).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2"/>
        </w:numPr>
        <w:spacing w:line="249" w:lineRule="auto"/>
        <w:ind w:left="0" w:right="46" w:hanging="10"/>
        <w:rPr>
          <w:lang w:val="ru-RU"/>
        </w:rPr>
      </w:pPr>
      <w:r w:rsidRPr="00B653A0">
        <w:rPr>
          <w:lang w:val="ru-RU"/>
        </w:rPr>
        <w:t xml:space="preserve">В настоящих Правилах процедуры ссылки на «делегации-члены» означают ссылки на «обычные делегации-члены» и «специальные делегации-члены».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pStyle w:val="Heading1"/>
        <w:keepNext w:val="0"/>
        <w:spacing w:before="0" w:after="0"/>
        <w:rPr>
          <w:lang w:val="ru-RU"/>
        </w:rPr>
      </w:pPr>
      <w:r w:rsidRPr="00B653A0">
        <w:rPr>
          <w:caps w:val="0"/>
          <w:lang w:val="ru-RU"/>
        </w:rPr>
        <w:t>Дипломатическая конференция по принятию пересмотренного Договора о законах по товарным знакам, Правила процедуры, TLT/R/DC/2, правило</w:t>
      </w:r>
      <w:r w:rsidRPr="00B653A0">
        <w:rPr>
          <w:b w:val="0"/>
          <w:caps w:val="0"/>
          <w:lang w:val="ru-RU"/>
        </w:rPr>
        <w:t xml:space="preserve"> </w:t>
      </w:r>
      <w:r w:rsidRPr="00B653A0">
        <w:rPr>
          <w:caps w:val="0"/>
          <w:lang w:val="ru-RU"/>
        </w:rPr>
        <w:t>2 (Сингапур, 2006</w:t>
      </w:r>
      <w:r w:rsidRPr="00B653A0">
        <w:rPr>
          <w:b w:val="0"/>
          <w:caps w:val="0"/>
          <w:lang w:val="ru-RU"/>
        </w:rPr>
        <w:t xml:space="preserve"> </w:t>
      </w:r>
      <w:r w:rsidRPr="00B653A0">
        <w:rPr>
          <w:caps w:val="0"/>
          <w:lang w:val="ru-RU"/>
        </w:rPr>
        <w:t xml:space="preserve">г.) </w:t>
      </w:r>
      <w:r w:rsidRPr="00B653A0">
        <w:rPr>
          <w:lang w:val="ru-RU"/>
        </w:rPr>
        <w:t xml:space="preserve"> </w:t>
      </w:r>
    </w:p>
    <w:p w:rsidR="00EF60FA" w:rsidRDefault="00EF60FA" w:rsidP="00E74F6D">
      <w:pPr>
        <w:pStyle w:val="Heading2"/>
        <w:keepNext w:val="0"/>
        <w:tabs>
          <w:tab w:val="center" w:pos="800"/>
          <w:tab w:val="center" w:pos="3103"/>
        </w:tabs>
        <w:spacing w:before="0" w:after="0"/>
        <w:rPr>
          <w:caps w:val="0"/>
          <w:u w:val="single"/>
          <w:lang w:val="ru-RU"/>
        </w:rPr>
      </w:pPr>
    </w:p>
    <w:p w:rsidR="00E74F6D" w:rsidRPr="00B653A0" w:rsidRDefault="00E74F6D" w:rsidP="00E74F6D">
      <w:pPr>
        <w:pStyle w:val="Heading2"/>
        <w:keepNext w:val="0"/>
        <w:tabs>
          <w:tab w:val="center" w:pos="800"/>
          <w:tab w:val="center" w:pos="3103"/>
        </w:tabs>
        <w:spacing w:before="0" w:after="0"/>
        <w:rPr>
          <w:u w:val="single"/>
          <w:lang w:val="ru-RU"/>
        </w:rPr>
      </w:pPr>
      <w:r w:rsidRPr="00B653A0">
        <w:rPr>
          <w:caps w:val="0"/>
          <w:u w:val="single"/>
          <w:lang w:val="ru-RU"/>
        </w:rPr>
        <w:t>Правило 2</w:t>
      </w:r>
      <w:r w:rsidRPr="00B653A0">
        <w:rPr>
          <w:caps w:val="0"/>
          <w:lang w:val="ru-RU"/>
        </w:rPr>
        <w:t>:</w:t>
      </w:r>
      <w:r w:rsidR="00FE197C">
        <w:rPr>
          <w:caps w:val="0"/>
          <w:lang w:val="ru-RU"/>
        </w:rPr>
        <w:t xml:space="preserve"> </w:t>
      </w:r>
      <w:r w:rsidRPr="00B653A0">
        <w:rPr>
          <w:caps w:val="0"/>
          <w:lang w:val="ru-RU"/>
        </w:rPr>
        <w:t xml:space="preserve"> </w:t>
      </w:r>
      <w:r w:rsidRPr="00B653A0">
        <w:rPr>
          <w:caps w:val="0"/>
          <w:u w:val="single"/>
          <w:lang w:val="ru-RU"/>
        </w:rPr>
        <w:t xml:space="preserve">Состав Конференции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3"/>
        </w:numPr>
        <w:spacing w:line="249" w:lineRule="auto"/>
        <w:ind w:left="621" w:right="46" w:hanging="631"/>
        <w:rPr>
          <w:lang w:val="ru-RU"/>
        </w:rPr>
      </w:pPr>
      <w:r w:rsidRPr="00B653A0">
        <w:rPr>
          <w:lang w:val="ru-RU"/>
        </w:rPr>
        <w:t xml:space="preserve">Конференция состоит из: </w:t>
      </w:r>
    </w:p>
    <w:p w:rsidR="00E74F6D" w:rsidRPr="00B653A0" w:rsidRDefault="00E74F6D" w:rsidP="00E74F6D">
      <w:pPr>
        <w:spacing w:line="259" w:lineRule="auto"/>
        <w:ind w:left="4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3"/>
        </w:numPr>
        <w:spacing w:line="249" w:lineRule="auto"/>
        <w:ind w:left="645" w:right="46" w:hanging="10"/>
        <w:rPr>
          <w:lang w:val="ru-RU"/>
        </w:rPr>
      </w:pPr>
      <w:r w:rsidRPr="00B653A0">
        <w:rPr>
          <w:lang w:val="ru-RU"/>
        </w:rPr>
        <w:t xml:space="preserve">делегаций государств-членов Всемирной организации интеллектуальной собственности (далее «обычные делегации-члены»); </w:t>
      </w:r>
    </w:p>
    <w:p w:rsidR="00E74F6D" w:rsidRPr="00B653A0" w:rsidRDefault="00E74F6D" w:rsidP="00E74F6D">
      <w:pPr>
        <w:spacing w:line="259" w:lineRule="auto"/>
        <w:ind w:left="4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3"/>
        </w:numPr>
        <w:spacing w:line="249" w:lineRule="auto"/>
        <w:ind w:left="645" w:right="46" w:hanging="10"/>
        <w:rPr>
          <w:lang w:val="ru-RU"/>
        </w:rPr>
      </w:pPr>
      <w:r w:rsidRPr="00B653A0">
        <w:rPr>
          <w:lang w:val="ru-RU"/>
        </w:rPr>
        <w:t xml:space="preserve">делегаций Африканской организации интеллектуальной собственности, Африканской региональной организации интеллектуальной собственности и делегации Европейского сообщества (далее «специальные делегации-члены»); </w:t>
      </w:r>
    </w:p>
    <w:p w:rsidR="00E74F6D" w:rsidRPr="00B653A0" w:rsidRDefault="00E74F6D" w:rsidP="00E74F6D">
      <w:pPr>
        <w:spacing w:line="259" w:lineRule="auto"/>
        <w:ind w:left="4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3"/>
        </w:numPr>
        <w:spacing w:line="249" w:lineRule="auto"/>
        <w:ind w:left="645" w:right="46" w:hanging="10"/>
        <w:rPr>
          <w:lang w:val="ru-RU"/>
        </w:rPr>
      </w:pPr>
      <w:r w:rsidRPr="00B653A0">
        <w:rPr>
          <w:lang w:val="ru-RU"/>
        </w:rPr>
        <w:t xml:space="preserve">делегаций государств-членов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«делегации-наблюдатели»); </w:t>
      </w:r>
    </w:p>
    <w:p w:rsidR="00E74F6D" w:rsidRPr="00B653A0" w:rsidRDefault="00E74F6D" w:rsidP="00E74F6D">
      <w:pPr>
        <w:spacing w:line="259" w:lineRule="auto"/>
        <w:ind w:left="4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3"/>
        </w:numPr>
        <w:spacing w:line="249" w:lineRule="auto"/>
        <w:ind w:left="645" w:right="46" w:hanging="10"/>
        <w:rPr>
          <w:lang w:val="ru-RU"/>
        </w:rPr>
      </w:pPr>
      <w:r w:rsidRPr="00B653A0">
        <w:rPr>
          <w:lang w:val="ru-RU"/>
        </w:rPr>
        <w:lastRenderedPageBreak/>
        <w:t xml:space="preserve">представителей межправительственных и неправительственных организаций, приглашенных на Конференцию в качестве наблюдателей (далее «организации-наблюдатели»). </w:t>
      </w:r>
    </w:p>
    <w:p w:rsidR="00E74F6D" w:rsidRPr="00B653A0" w:rsidRDefault="00E74F6D" w:rsidP="00E74F6D">
      <w:pPr>
        <w:spacing w:line="249" w:lineRule="auto"/>
        <w:ind w:right="46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3"/>
        </w:numPr>
        <w:spacing w:line="249" w:lineRule="auto"/>
        <w:ind w:left="0" w:right="46" w:hanging="10"/>
        <w:rPr>
          <w:lang w:val="ru-RU"/>
        </w:rPr>
      </w:pPr>
      <w:r w:rsidRPr="00B653A0">
        <w:rPr>
          <w:lang w:val="ru-RU"/>
        </w:rPr>
        <w:t>В настоящих Правилах процедуры ссылки на «делегации-члены» означают также ссылки на «обычные делегации-члены» и «специальные делегации-члены».</w:t>
      </w:r>
    </w:p>
    <w:p w:rsidR="00E74F6D" w:rsidRPr="00B653A0" w:rsidRDefault="00E74F6D" w:rsidP="00E74F6D">
      <w:pPr>
        <w:spacing w:line="259" w:lineRule="auto"/>
        <w:ind w:hanging="10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3"/>
        </w:numPr>
        <w:spacing w:line="239" w:lineRule="auto"/>
        <w:ind w:left="0" w:right="46" w:hanging="10"/>
        <w:rPr>
          <w:lang w:val="ru-RU"/>
        </w:rPr>
      </w:pPr>
      <w:r w:rsidRPr="00B653A0">
        <w:rPr>
          <w:lang w:val="ru-RU"/>
        </w:rPr>
        <w:t xml:space="preserve">В настоящих Правилах процедуры ссылки на «делегации» означают ссылки на три типа делегаций (делегации-члены, специальные делегации и делегации-наблюдатели), но не означают ссылок на организации-наблюдатели.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pStyle w:val="Heading1"/>
        <w:keepNext w:val="0"/>
        <w:spacing w:before="0" w:after="0"/>
        <w:rPr>
          <w:lang w:val="ru-RU"/>
        </w:rPr>
      </w:pPr>
      <w:r w:rsidRPr="00B653A0">
        <w:rPr>
          <w:caps w:val="0"/>
          <w:lang w:val="ru-RU"/>
        </w:rPr>
        <w:t>Дипломатическая конференция по охране аудиовизуальных исполнений, проект Правил процедуры Дипломатической конференции, AVP/DC/2, правило</w:t>
      </w:r>
      <w:r w:rsidRPr="00B653A0">
        <w:rPr>
          <w:b w:val="0"/>
          <w:caps w:val="0"/>
          <w:lang w:val="ru-RU"/>
        </w:rPr>
        <w:t xml:space="preserve"> </w:t>
      </w:r>
      <w:r w:rsidRPr="00B653A0">
        <w:rPr>
          <w:caps w:val="0"/>
          <w:lang w:val="ru-RU"/>
        </w:rPr>
        <w:t>2 (Пекин, 2012</w:t>
      </w:r>
      <w:r w:rsidRPr="00B653A0">
        <w:rPr>
          <w:b w:val="0"/>
          <w:caps w:val="0"/>
          <w:lang w:val="ru-RU"/>
        </w:rPr>
        <w:t xml:space="preserve"> </w:t>
      </w:r>
      <w:r w:rsidRPr="00B653A0">
        <w:rPr>
          <w:caps w:val="0"/>
          <w:lang w:val="ru-RU"/>
        </w:rPr>
        <w:t xml:space="preserve">г.)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spacing w:line="259" w:lineRule="auto"/>
        <w:ind w:left="5"/>
        <w:rPr>
          <w:u w:val="single"/>
          <w:lang w:val="ru-RU"/>
        </w:rPr>
      </w:pPr>
      <w:r w:rsidRPr="00B653A0">
        <w:rPr>
          <w:u w:val="single"/>
          <w:lang w:val="ru-RU"/>
        </w:rPr>
        <w:t>Правило 2</w:t>
      </w:r>
      <w:r w:rsidRPr="00B653A0">
        <w:rPr>
          <w:lang w:val="ru-RU"/>
        </w:rPr>
        <w:t xml:space="preserve">:  </w:t>
      </w:r>
      <w:r w:rsidRPr="00B653A0">
        <w:rPr>
          <w:u w:val="single"/>
          <w:lang w:val="ru-RU"/>
        </w:rPr>
        <w:t xml:space="preserve">Состав Конференции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4"/>
        </w:numPr>
        <w:spacing w:line="249" w:lineRule="auto"/>
        <w:ind w:left="621" w:right="46" w:hanging="631"/>
        <w:rPr>
          <w:lang w:val="ru-RU"/>
        </w:rPr>
      </w:pPr>
      <w:r w:rsidRPr="00B653A0">
        <w:rPr>
          <w:lang w:val="ru-RU"/>
        </w:rPr>
        <w:t xml:space="preserve">Конференция состоит из: </w:t>
      </w:r>
    </w:p>
    <w:p w:rsidR="00E74F6D" w:rsidRPr="00B653A0" w:rsidRDefault="00E74F6D" w:rsidP="00E74F6D">
      <w:pPr>
        <w:spacing w:line="259" w:lineRule="auto"/>
        <w:ind w:left="4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4"/>
        </w:numPr>
        <w:spacing w:line="249" w:lineRule="auto"/>
        <w:ind w:left="645" w:right="46" w:hanging="10"/>
        <w:rPr>
          <w:lang w:val="ru-RU"/>
        </w:rPr>
      </w:pPr>
      <w:r w:rsidRPr="00B653A0">
        <w:rPr>
          <w:lang w:val="ru-RU"/>
        </w:rPr>
        <w:t xml:space="preserve">делегаций государств-членов Всемирной организации интеллектуальной собственности (далее «делегации-члены»); </w:t>
      </w:r>
    </w:p>
    <w:p w:rsidR="00E74F6D" w:rsidRPr="00B653A0" w:rsidRDefault="00E74F6D" w:rsidP="00E74F6D">
      <w:pPr>
        <w:spacing w:line="259" w:lineRule="auto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4"/>
        </w:numPr>
        <w:spacing w:line="249" w:lineRule="auto"/>
        <w:ind w:left="645" w:right="46" w:hanging="10"/>
        <w:rPr>
          <w:lang w:val="ru-RU"/>
        </w:rPr>
      </w:pPr>
      <w:r w:rsidRPr="00B653A0">
        <w:rPr>
          <w:lang w:val="ru-RU"/>
        </w:rPr>
        <w:t xml:space="preserve">специальной делегации Европейского Союза (далее «специальная делегация»); </w:t>
      </w:r>
    </w:p>
    <w:p w:rsidR="00E74F6D" w:rsidRPr="00B653A0" w:rsidRDefault="00E74F6D" w:rsidP="00E74F6D">
      <w:pPr>
        <w:spacing w:line="259" w:lineRule="auto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4"/>
        </w:numPr>
        <w:spacing w:line="249" w:lineRule="auto"/>
        <w:ind w:left="645" w:right="46" w:hanging="10"/>
        <w:rPr>
          <w:lang w:val="ru-RU"/>
        </w:rPr>
      </w:pPr>
      <w:r w:rsidRPr="00B653A0">
        <w:rPr>
          <w:lang w:val="ru-RU"/>
        </w:rPr>
        <w:t>делегаций государств – 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«делегации-наблюдатели»);</w:t>
      </w:r>
      <w:r w:rsidR="00FE197C">
        <w:rPr>
          <w:lang w:val="ru-RU"/>
        </w:rPr>
        <w:t xml:space="preserve"> </w:t>
      </w:r>
      <w:r w:rsidRPr="00B653A0">
        <w:rPr>
          <w:lang w:val="ru-RU"/>
        </w:rPr>
        <w:t xml:space="preserve"> и </w:t>
      </w:r>
    </w:p>
    <w:p w:rsidR="00E74F6D" w:rsidRPr="00B653A0" w:rsidRDefault="00E74F6D" w:rsidP="00E74F6D">
      <w:pPr>
        <w:spacing w:line="259" w:lineRule="auto"/>
        <w:rPr>
          <w:lang w:val="ru-RU"/>
        </w:rPr>
      </w:pPr>
    </w:p>
    <w:p w:rsidR="00E74F6D" w:rsidRPr="00B653A0" w:rsidRDefault="00E74F6D" w:rsidP="00E74F6D">
      <w:pPr>
        <w:numPr>
          <w:ilvl w:val="1"/>
          <w:numId w:val="14"/>
        </w:numPr>
        <w:spacing w:line="249" w:lineRule="auto"/>
        <w:ind w:left="645" w:right="46" w:hanging="10"/>
        <w:rPr>
          <w:lang w:val="ru-RU"/>
        </w:rPr>
      </w:pPr>
      <w:r w:rsidRPr="00B653A0">
        <w:rPr>
          <w:lang w:val="ru-RU"/>
        </w:rPr>
        <w:t xml:space="preserve">представителей межправительственных и неправительственных организаций и других субъектов, приглашенных на Конференцию в качестве наблюдателей (далее «наблюдатели»). </w:t>
      </w:r>
    </w:p>
    <w:p w:rsidR="00E74F6D" w:rsidRPr="00B653A0" w:rsidRDefault="00E74F6D" w:rsidP="00E74F6D">
      <w:pPr>
        <w:spacing w:line="259" w:lineRule="auto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4"/>
        </w:numPr>
        <w:spacing w:line="249" w:lineRule="auto"/>
        <w:ind w:left="0" w:right="46" w:hanging="10"/>
        <w:rPr>
          <w:lang w:val="ru-RU"/>
        </w:rPr>
      </w:pPr>
      <w:r w:rsidRPr="00B653A0">
        <w:rPr>
          <w:lang w:val="ru-RU"/>
        </w:rPr>
        <w:t xml:space="preserve">В настоящих Правилах процедуры ссылки на «делегации-члены» означают также ссылки на «специальную делегацию», если не предусмотрено иное (см. правила 11(2), 33 и 34). </w:t>
      </w:r>
    </w:p>
    <w:p w:rsidR="00E74F6D" w:rsidRPr="00B653A0" w:rsidRDefault="00E74F6D" w:rsidP="00E74F6D">
      <w:pPr>
        <w:spacing w:line="259" w:lineRule="auto"/>
        <w:ind w:hanging="10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4"/>
        </w:numPr>
        <w:spacing w:line="249" w:lineRule="auto"/>
        <w:ind w:left="0" w:right="46" w:hanging="10"/>
        <w:rPr>
          <w:lang w:val="ru-RU"/>
        </w:rPr>
      </w:pPr>
      <w:r w:rsidRPr="00B653A0">
        <w:rPr>
          <w:lang w:val="ru-RU"/>
        </w:rPr>
        <w:t xml:space="preserve">В настоящих Правилах процедуры ссылки на «делегации» означают три вида делегаций (делегации-члены, специальные делегации и делегации-наблюдатели), но не на наблюдателей. </w:t>
      </w:r>
    </w:p>
    <w:p w:rsidR="00E74F6D" w:rsidRPr="00B653A0" w:rsidRDefault="00E74F6D" w:rsidP="00E74F6D">
      <w:pPr>
        <w:spacing w:line="259" w:lineRule="auto"/>
        <w:rPr>
          <w:lang w:val="ru-RU"/>
        </w:rPr>
      </w:pPr>
    </w:p>
    <w:p w:rsidR="00E74F6D" w:rsidRPr="00B653A0" w:rsidRDefault="00E74F6D" w:rsidP="00E74F6D">
      <w:pPr>
        <w:spacing w:line="259" w:lineRule="auto"/>
        <w:ind w:left="4"/>
        <w:rPr>
          <w:lang w:val="ru-RU"/>
        </w:rPr>
      </w:pPr>
    </w:p>
    <w:p w:rsidR="00E74F6D" w:rsidRPr="00B653A0" w:rsidRDefault="00E74F6D" w:rsidP="00E74F6D">
      <w:pPr>
        <w:spacing w:line="250" w:lineRule="auto"/>
        <w:rPr>
          <w:b/>
          <w:lang w:val="ru-RU"/>
        </w:rPr>
      </w:pPr>
      <w:r w:rsidRPr="00B653A0">
        <w:rPr>
          <w:b/>
          <w:lang w:val="ru-RU"/>
        </w:rPr>
        <w:t xml:space="preserve">Дипломатическая конференция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произведениям, Правила процедуры Дипломатической конференции, </w:t>
      </w:r>
      <w:proofErr w:type="spellStart"/>
      <w:r w:rsidRPr="00B653A0">
        <w:rPr>
          <w:b/>
          <w:lang w:val="ru-RU"/>
        </w:rPr>
        <w:t>VIP</w:t>
      </w:r>
      <w:proofErr w:type="spellEnd"/>
      <w:r w:rsidRPr="00B653A0">
        <w:rPr>
          <w:b/>
          <w:lang w:val="ru-RU"/>
        </w:rPr>
        <w:t>/</w:t>
      </w:r>
      <w:proofErr w:type="spellStart"/>
      <w:r w:rsidRPr="00B653A0">
        <w:rPr>
          <w:b/>
          <w:lang w:val="ru-RU"/>
        </w:rPr>
        <w:t>DC</w:t>
      </w:r>
      <w:proofErr w:type="spellEnd"/>
      <w:r w:rsidRPr="00B653A0">
        <w:rPr>
          <w:b/>
          <w:lang w:val="ru-RU"/>
        </w:rPr>
        <w:t>/2, правило</w:t>
      </w:r>
      <w:r w:rsidRPr="00B653A0">
        <w:rPr>
          <w:lang w:val="ru-RU"/>
        </w:rPr>
        <w:t xml:space="preserve"> </w:t>
      </w:r>
      <w:r w:rsidRPr="00B653A0">
        <w:rPr>
          <w:b/>
          <w:lang w:val="ru-RU"/>
        </w:rPr>
        <w:t>2 (Марракеш, 2013</w:t>
      </w:r>
      <w:r w:rsidRPr="00B653A0">
        <w:rPr>
          <w:lang w:val="ru-RU"/>
        </w:rPr>
        <w:t xml:space="preserve"> </w:t>
      </w:r>
      <w:r w:rsidRPr="00B653A0">
        <w:rPr>
          <w:b/>
          <w:lang w:val="ru-RU"/>
        </w:rPr>
        <w:t xml:space="preserve">г.) </w:t>
      </w:r>
    </w:p>
    <w:p w:rsidR="00E74F6D" w:rsidRPr="00B653A0" w:rsidRDefault="00E74F6D" w:rsidP="00E74F6D">
      <w:pPr>
        <w:spacing w:line="259" w:lineRule="auto"/>
        <w:ind w:left="4"/>
        <w:rPr>
          <w:lang w:val="ru-RU"/>
        </w:rPr>
      </w:pPr>
    </w:p>
    <w:p w:rsidR="00E74F6D" w:rsidRPr="00B653A0" w:rsidRDefault="00E74F6D" w:rsidP="00E74F6D">
      <w:pPr>
        <w:rPr>
          <w:u w:val="single"/>
          <w:lang w:val="ru-RU"/>
        </w:rPr>
      </w:pPr>
      <w:r w:rsidRPr="00B653A0">
        <w:rPr>
          <w:u w:val="single"/>
          <w:lang w:val="ru-RU"/>
        </w:rPr>
        <w:t>Правило 2</w:t>
      </w:r>
      <w:r w:rsidRPr="00B653A0">
        <w:rPr>
          <w:lang w:val="ru-RU"/>
        </w:rPr>
        <w:t xml:space="preserve">:  </w:t>
      </w:r>
      <w:r w:rsidRPr="00B653A0">
        <w:rPr>
          <w:u w:val="single"/>
          <w:lang w:val="ru-RU"/>
        </w:rPr>
        <w:t xml:space="preserve">Состав Конференции </w:t>
      </w:r>
    </w:p>
    <w:p w:rsidR="00E74F6D" w:rsidRPr="00B653A0" w:rsidRDefault="00E74F6D" w:rsidP="00E74F6D">
      <w:pPr>
        <w:spacing w:line="259" w:lineRule="auto"/>
        <w:ind w:left="5"/>
        <w:rPr>
          <w:lang w:val="ru-RU"/>
        </w:rPr>
      </w:pPr>
    </w:p>
    <w:p w:rsidR="00E74F6D" w:rsidRPr="00B653A0" w:rsidRDefault="00E74F6D" w:rsidP="00E74F6D">
      <w:pPr>
        <w:pStyle w:val="ListParagraph"/>
        <w:numPr>
          <w:ilvl w:val="0"/>
          <w:numId w:val="16"/>
        </w:numPr>
        <w:tabs>
          <w:tab w:val="center" w:pos="587"/>
          <w:tab w:val="center" w:pos="2564"/>
        </w:tabs>
        <w:rPr>
          <w:lang w:val="ru-RU"/>
        </w:rPr>
      </w:pPr>
      <w:r w:rsidRPr="00B653A0">
        <w:rPr>
          <w:lang w:val="ru-RU"/>
        </w:rPr>
        <w:t xml:space="preserve">Конференция состоит из: </w:t>
      </w:r>
    </w:p>
    <w:p w:rsidR="00E74F6D" w:rsidRPr="00B653A0" w:rsidRDefault="00E74F6D" w:rsidP="00E74F6D">
      <w:pPr>
        <w:spacing w:line="259" w:lineRule="auto"/>
        <w:ind w:left="4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5"/>
        </w:numPr>
        <w:spacing w:line="249" w:lineRule="auto"/>
        <w:ind w:left="567" w:right="46"/>
        <w:rPr>
          <w:lang w:val="ru-RU"/>
        </w:rPr>
      </w:pPr>
      <w:r w:rsidRPr="00B653A0">
        <w:rPr>
          <w:lang w:val="ru-RU"/>
        </w:rPr>
        <w:t xml:space="preserve">делегаций государств-членов Всемирной организации интеллектуальной собственности (далее «делегации-члены»); </w:t>
      </w:r>
    </w:p>
    <w:p w:rsidR="00E74F6D" w:rsidRPr="00B653A0" w:rsidRDefault="00E74F6D" w:rsidP="00E74F6D">
      <w:pPr>
        <w:spacing w:line="259" w:lineRule="auto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5"/>
        </w:numPr>
        <w:spacing w:line="249" w:lineRule="auto"/>
        <w:ind w:left="567" w:right="46"/>
        <w:rPr>
          <w:lang w:val="ru-RU"/>
        </w:rPr>
      </w:pPr>
      <w:r w:rsidRPr="00B653A0">
        <w:rPr>
          <w:lang w:val="ru-RU"/>
        </w:rPr>
        <w:t xml:space="preserve">специальной делегации Европейского Союза (далее «специальная делегация»); </w:t>
      </w:r>
    </w:p>
    <w:p w:rsidR="00E74F6D" w:rsidRPr="00B653A0" w:rsidRDefault="00E74F6D" w:rsidP="00E74F6D">
      <w:pPr>
        <w:spacing w:line="259" w:lineRule="auto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5"/>
        </w:numPr>
        <w:spacing w:line="249" w:lineRule="auto"/>
        <w:ind w:left="567" w:right="46"/>
        <w:rPr>
          <w:lang w:val="ru-RU"/>
        </w:rPr>
      </w:pPr>
      <w:r w:rsidRPr="00B653A0">
        <w:rPr>
          <w:lang w:val="ru-RU"/>
        </w:rPr>
        <w:t>делегаций государств – 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«делегации-наблюдатели»);</w:t>
      </w:r>
      <w:r w:rsidR="00FE197C">
        <w:rPr>
          <w:lang w:val="ru-RU"/>
        </w:rPr>
        <w:t xml:space="preserve"> </w:t>
      </w:r>
      <w:r w:rsidRPr="00B653A0">
        <w:rPr>
          <w:lang w:val="ru-RU"/>
        </w:rPr>
        <w:t xml:space="preserve"> и </w:t>
      </w:r>
    </w:p>
    <w:p w:rsidR="00E74F6D" w:rsidRPr="00B653A0" w:rsidRDefault="00E74F6D" w:rsidP="00E74F6D">
      <w:pPr>
        <w:spacing w:line="259" w:lineRule="auto"/>
        <w:rPr>
          <w:lang w:val="ru-RU"/>
        </w:rPr>
      </w:pPr>
    </w:p>
    <w:p w:rsidR="00E74F6D" w:rsidRPr="00B653A0" w:rsidRDefault="00E74F6D" w:rsidP="00E74F6D">
      <w:pPr>
        <w:numPr>
          <w:ilvl w:val="0"/>
          <w:numId w:val="15"/>
        </w:numPr>
        <w:spacing w:line="249" w:lineRule="auto"/>
        <w:ind w:left="567" w:right="46"/>
        <w:rPr>
          <w:lang w:val="ru-RU"/>
        </w:rPr>
      </w:pPr>
      <w:r w:rsidRPr="00B653A0">
        <w:rPr>
          <w:lang w:val="ru-RU"/>
        </w:rPr>
        <w:t xml:space="preserve">представителей межправительственных и неправительственных организаций и других субъектов, приглашенных на Конференцию в качестве наблюдателей (далее «наблюдатели»). </w:t>
      </w:r>
    </w:p>
    <w:p w:rsidR="00663A83" w:rsidRPr="00B653A0" w:rsidRDefault="00663A83" w:rsidP="00663A83">
      <w:pPr>
        <w:spacing w:line="259" w:lineRule="auto"/>
        <w:ind w:left="4"/>
        <w:rPr>
          <w:lang w:val="ru-RU"/>
        </w:rPr>
      </w:pPr>
    </w:p>
    <w:p w:rsidR="00663A83" w:rsidRPr="00B653A0" w:rsidRDefault="00663A83" w:rsidP="00663A83">
      <w:pPr>
        <w:spacing w:line="259" w:lineRule="auto"/>
        <w:ind w:left="4"/>
        <w:rPr>
          <w:lang w:val="ru-RU"/>
        </w:rPr>
      </w:pPr>
    </w:p>
    <w:p w:rsidR="004433CC" w:rsidRPr="00B653A0" w:rsidRDefault="004433CC" w:rsidP="00663A83">
      <w:pPr>
        <w:spacing w:line="259" w:lineRule="auto"/>
        <w:ind w:left="4"/>
        <w:rPr>
          <w:lang w:val="ru-RU"/>
        </w:rPr>
      </w:pPr>
    </w:p>
    <w:p w:rsidR="00663A83" w:rsidRPr="00B653A0" w:rsidRDefault="00663A83" w:rsidP="00663A83">
      <w:pPr>
        <w:spacing w:after="1" w:line="259" w:lineRule="auto"/>
        <w:ind w:right="738"/>
        <w:jc w:val="right"/>
        <w:rPr>
          <w:lang w:val="ru-RU"/>
        </w:rPr>
      </w:pPr>
      <w:r w:rsidRPr="00B653A0">
        <w:rPr>
          <w:lang w:val="ru-RU"/>
        </w:rPr>
        <w:t>[</w:t>
      </w:r>
      <w:r w:rsidR="005573EB" w:rsidRPr="00B653A0">
        <w:rPr>
          <w:lang w:val="ru-RU"/>
        </w:rPr>
        <w:t>Конец приложения и документа</w:t>
      </w:r>
      <w:r w:rsidRPr="00B653A0">
        <w:rPr>
          <w:lang w:val="ru-RU"/>
        </w:rPr>
        <w:t xml:space="preserve">] </w:t>
      </w:r>
    </w:p>
    <w:p w:rsidR="001E6960" w:rsidRPr="00B653A0" w:rsidRDefault="001E6960" w:rsidP="00663A83">
      <w:pPr>
        <w:ind w:left="5533"/>
        <w:rPr>
          <w:i/>
          <w:lang w:val="ru-RU"/>
        </w:rPr>
      </w:pPr>
    </w:p>
    <w:sectPr w:rsidR="001E6960" w:rsidRPr="00B653A0" w:rsidSect="00EF60FA">
      <w:head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92" w:rsidRDefault="00C73692">
      <w:r>
        <w:separator/>
      </w:r>
    </w:p>
  </w:endnote>
  <w:endnote w:type="continuationSeparator" w:id="0">
    <w:p w:rsidR="00C73692" w:rsidRDefault="00C73692" w:rsidP="003B38C1">
      <w:r>
        <w:separator/>
      </w:r>
    </w:p>
    <w:p w:rsidR="00C73692" w:rsidRPr="003B38C1" w:rsidRDefault="00C736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692" w:rsidRPr="003B38C1" w:rsidRDefault="00C736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92" w:rsidRDefault="00C73692">
      <w:r>
        <w:separator/>
      </w:r>
    </w:p>
  </w:footnote>
  <w:footnote w:type="continuationSeparator" w:id="0">
    <w:p w:rsidR="00C73692" w:rsidRDefault="00C73692" w:rsidP="008B60B2">
      <w:r>
        <w:separator/>
      </w:r>
    </w:p>
    <w:p w:rsidR="00C73692" w:rsidRPr="00ED77FB" w:rsidRDefault="00C736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692" w:rsidRPr="00ED77FB" w:rsidRDefault="00C736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B0" w:rsidRDefault="00446BB0" w:rsidP="004A38BE">
    <w:pPr>
      <w:pStyle w:val="Header"/>
      <w:jc w:val="right"/>
    </w:pPr>
  </w:p>
  <w:p w:rsidR="004A38BE" w:rsidRDefault="004A38BE" w:rsidP="004A38BE">
    <w:pPr>
      <w:pStyle w:val="Header"/>
      <w:jc w:val="right"/>
    </w:pPr>
    <w:r>
      <w:t>LI/DC/9</w:t>
    </w:r>
  </w:p>
  <w:p w:rsidR="004A38BE" w:rsidRDefault="005573EB" w:rsidP="004A38BE">
    <w:pPr>
      <w:pStyle w:val="Header"/>
      <w:jc w:val="right"/>
    </w:pPr>
    <w:r>
      <w:rPr>
        <w:lang w:val="ru-RU"/>
      </w:rPr>
      <w:t>стр.</w:t>
    </w:r>
    <w:r w:rsidR="004A38BE">
      <w:t xml:space="preserve"> </w:t>
    </w:r>
    <w:sdt>
      <w:sdtPr>
        <w:id w:val="-670352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A38BE">
          <w:fldChar w:fldCharType="begin"/>
        </w:r>
        <w:r w:rsidR="004A38BE">
          <w:instrText xml:space="preserve"> PAGE   \* MERGEFORMAT </w:instrText>
        </w:r>
        <w:r w:rsidR="004A38BE">
          <w:fldChar w:fldCharType="separate"/>
        </w:r>
        <w:r w:rsidR="007B5A2D">
          <w:rPr>
            <w:noProof/>
          </w:rPr>
          <w:t>2</w:t>
        </w:r>
        <w:r w:rsidR="004A38BE">
          <w:rPr>
            <w:noProof/>
          </w:rPr>
          <w:fldChar w:fldCharType="end"/>
        </w:r>
      </w:sdtContent>
    </w:sdt>
  </w:p>
  <w:p w:rsidR="0029475F" w:rsidRPr="0099121B" w:rsidRDefault="0029475F" w:rsidP="009912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53A" w:rsidRPr="005573EB" w:rsidRDefault="005B553A" w:rsidP="005B553A">
    <w:pPr>
      <w:pStyle w:val="Header"/>
      <w:jc w:val="right"/>
      <w:rPr>
        <w:lang w:val="ru-RU"/>
      </w:rPr>
    </w:pPr>
    <w:r>
      <w:t>LI</w:t>
    </w:r>
    <w:r w:rsidRPr="005573EB">
      <w:rPr>
        <w:lang w:val="ru-RU"/>
      </w:rPr>
      <w:t>/</w:t>
    </w:r>
    <w:r>
      <w:t>DC</w:t>
    </w:r>
    <w:r w:rsidRPr="005573EB">
      <w:rPr>
        <w:lang w:val="ru-RU"/>
      </w:rPr>
      <w:t>/9</w:t>
    </w:r>
  </w:p>
  <w:p w:rsidR="004A38BE" w:rsidRPr="005573EB" w:rsidRDefault="005573EB" w:rsidP="004A38BE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4A38BE" w:rsidRPr="005573EB">
      <w:rPr>
        <w:lang w:val="ru-RU"/>
      </w:rPr>
      <w:t xml:space="preserve">, </w:t>
    </w:r>
    <w:r>
      <w:rPr>
        <w:lang w:val="ru-RU"/>
      </w:rPr>
      <w:t>стр.</w:t>
    </w:r>
    <w:r w:rsidR="004A38BE" w:rsidRPr="005573EB">
      <w:rPr>
        <w:lang w:val="ru-RU"/>
      </w:rPr>
      <w:t xml:space="preserve"> </w:t>
    </w:r>
    <w:sdt>
      <w:sdtPr>
        <w:id w:val="-8775497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A38BE">
          <w:fldChar w:fldCharType="begin"/>
        </w:r>
        <w:r w:rsidR="004A38BE" w:rsidRPr="005573EB">
          <w:rPr>
            <w:lang w:val="ru-RU"/>
          </w:rPr>
          <w:instrText xml:space="preserve"> </w:instrText>
        </w:r>
        <w:r w:rsidR="004A38BE">
          <w:instrText>PAGE</w:instrText>
        </w:r>
        <w:r w:rsidR="004A38BE" w:rsidRPr="005573EB">
          <w:rPr>
            <w:lang w:val="ru-RU"/>
          </w:rPr>
          <w:instrText xml:space="preserve">   \* </w:instrText>
        </w:r>
        <w:r w:rsidR="004A38BE">
          <w:instrText>MERGEFORMAT</w:instrText>
        </w:r>
        <w:r w:rsidR="004A38BE" w:rsidRPr="005573EB">
          <w:rPr>
            <w:lang w:val="ru-RU"/>
          </w:rPr>
          <w:instrText xml:space="preserve"> </w:instrText>
        </w:r>
        <w:r w:rsidR="004A38BE">
          <w:fldChar w:fldCharType="separate"/>
        </w:r>
        <w:r w:rsidR="007B5A2D" w:rsidRPr="007B5A2D">
          <w:rPr>
            <w:noProof/>
            <w:lang w:val="ru-RU"/>
          </w:rPr>
          <w:t>3</w:t>
        </w:r>
        <w:r w:rsidR="004A38BE">
          <w:rPr>
            <w:noProof/>
          </w:rPr>
          <w:fldChar w:fldCharType="end"/>
        </w:r>
      </w:sdtContent>
    </w:sdt>
  </w:p>
  <w:p w:rsidR="004A38BE" w:rsidRPr="005573EB" w:rsidRDefault="004A38BE" w:rsidP="0099121B">
    <w:pPr>
      <w:pStyle w:val="Header"/>
      <w:rPr>
        <w:lang w:val="ru-RU"/>
      </w:rPr>
    </w:pPr>
  </w:p>
  <w:p w:rsidR="00446BB0" w:rsidRPr="005573EB" w:rsidRDefault="00446BB0" w:rsidP="0099121B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53A" w:rsidRDefault="005B553A" w:rsidP="005B553A">
    <w:pPr>
      <w:pStyle w:val="Header"/>
      <w:jc w:val="right"/>
    </w:pPr>
    <w:r>
      <w:t>LI/DC/9</w:t>
    </w:r>
  </w:p>
  <w:p w:rsidR="00D44EC8" w:rsidRDefault="00EF60FA">
    <w:pPr>
      <w:pStyle w:val="Header"/>
      <w:jc w:val="right"/>
    </w:pPr>
    <w:r>
      <w:rPr>
        <w:lang w:val="ru-RU"/>
      </w:rPr>
      <w:t>ПРИЛОЖЕНИЕ</w:t>
    </w:r>
  </w:p>
  <w:p w:rsidR="00D44EC8" w:rsidRDefault="00D44E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9D33BF"/>
    <w:multiLevelType w:val="hybridMultilevel"/>
    <w:tmpl w:val="CF720842"/>
    <w:lvl w:ilvl="0" w:tplc="0E4A8E4E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885D8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2763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254FA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8F8C4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CC1B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B01E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29006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66840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70B7CD0"/>
    <w:multiLevelType w:val="hybridMultilevel"/>
    <w:tmpl w:val="093450E0"/>
    <w:lvl w:ilvl="0" w:tplc="32124D34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C688">
      <w:start w:val="1"/>
      <w:numFmt w:val="lowerRoman"/>
      <w:lvlText w:val="(%2)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167AE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45842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A5CB8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899E2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C0298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352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4CAB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577029"/>
    <w:multiLevelType w:val="hybridMultilevel"/>
    <w:tmpl w:val="EC00665E"/>
    <w:lvl w:ilvl="0" w:tplc="23CC8BFC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B05186"/>
    <w:multiLevelType w:val="hybridMultilevel"/>
    <w:tmpl w:val="96AA68E2"/>
    <w:lvl w:ilvl="0" w:tplc="0EE84648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CE122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C6C5A">
      <w:start w:val="1"/>
      <w:numFmt w:val="lowerRoman"/>
      <w:lvlText w:val="%3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C9E48">
      <w:start w:val="1"/>
      <w:numFmt w:val="decimal"/>
      <w:lvlText w:val="%4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A5606">
      <w:start w:val="1"/>
      <w:numFmt w:val="lowerLetter"/>
      <w:lvlText w:val="%5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4F77E">
      <w:start w:val="1"/>
      <w:numFmt w:val="lowerRoman"/>
      <w:lvlText w:val="%6"/>
      <w:lvlJc w:val="left"/>
      <w:pPr>
        <w:ind w:left="3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20336">
      <w:start w:val="1"/>
      <w:numFmt w:val="decimal"/>
      <w:lvlText w:val="%7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8DD88">
      <w:start w:val="1"/>
      <w:numFmt w:val="lowerLetter"/>
      <w:lvlText w:val="%8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274FA">
      <w:start w:val="1"/>
      <w:numFmt w:val="lowerRoman"/>
      <w:lvlText w:val="%9"/>
      <w:lvlJc w:val="left"/>
      <w:pPr>
        <w:ind w:left="6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9F0BCF"/>
    <w:multiLevelType w:val="hybridMultilevel"/>
    <w:tmpl w:val="74F20D54"/>
    <w:lvl w:ilvl="0" w:tplc="A41A14DE">
      <w:start w:val="1"/>
      <w:numFmt w:val="decimal"/>
      <w:lvlText w:val="(%1)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3AA">
      <w:start w:val="1"/>
      <w:numFmt w:val="lowerRoman"/>
      <w:lvlText w:val="(%2)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03AD4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AAF72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032EC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C1730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E17E2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86506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64652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412C57"/>
    <w:multiLevelType w:val="hybridMultilevel"/>
    <w:tmpl w:val="74D23EA4"/>
    <w:lvl w:ilvl="0" w:tplc="84A88960">
      <w:start w:val="1"/>
      <w:numFmt w:val="lowerRoman"/>
      <w:lvlText w:val="(%1)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2FF78">
      <w:start w:val="1"/>
      <w:numFmt w:val="lowerLetter"/>
      <w:lvlText w:val="%2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46DF2">
      <w:start w:val="1"/>
      <w:numFmt w:val="lowerRoman"/>
      <w:lvlText w:val="%3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FF84">
      <w:start w:val="1"/>
      <w:numFmt w:val="decimal"/>
      <w:lvlText w:val="%4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A8FE4">
      <w:start w:val="1"/>
      <w:numFmt w:val="lowerLetter"/>
      <w:lvlText w:val="%5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4C830">
      <w:start w:val="1"/>
      <w:numFmt w:val="lowerRoman"/>
      <w:lvlText w:val="%6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A13FE">
      <w:start w:val="1"/>
      <w:numFmt w:val="decimal"/>
      <w:lvlText w:val="%7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ED504">
      <w:start w:val="1"/>
      <w:numFmt w:val="lowerLetter"/>
      <w:lvlText w:val="%8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AF7B0">
      <w:start w:val="1"/>
      <w:numFmt w:val="lowerRoman"/>
      <w:lvlText w:val="%9"/>
      <w:lvlJc w:val="left"/>
      <w:pPr>
        <w:ind w:left="7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5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9A"/>
    <w:rsid w:val="000017A5"/>
    <w:rsid w:val="00003E90"/>
    <w:rsid w:val="00014147"/>
    <w:rsid w:val="00023C95"/>
    <w:rsid w:val="000324EE"/>
    <w:rsid w:val="00043897"/>
    <w:rsid w:val="00043CAA"/>
    <w:rsid w:val="000548F7"/>
    <w:rsid w:val="0006513A"/>
    <w:rsid w:val="000748F8"/>
    <w:rsid w:val="00075432"/>
    <w:rsid w:val="00077C1C"/>
    <w:rsid w:val="0008417D"/>
    <w:rsid w:val="00090937"/>
    <w:rsid w:val="000968ED"/>
    <w:rsid w:val="000976ED"/>
    <w:rsid w:val="000B1203"/>
    <w:rsid w:val="000B23A0"/>
    <w:rsid w:val="000C3DB4"/>
    <w:rsid w:val="000C597F"/>
    <w:rsid w:val="000D0706"/>
    <w:rsid w:val="000D2934"/>
    <w:rsid w:val="000D4F4D"/>
    <w:rsid w:val="000D7940"/>
    <w:rsid w:val="000F5E56"/>
    <w:rsid w:val="000F7A63"/>
    <w:rsid w:val="00113C31"/>
    <w:rsid w:val="001362EE"/>
    <w:rsid w:val="00143109"/>
    <w:rsid w:val="00144D97"/>
    <w:rsid w:val="00151995"/>
    <w:rsid w:val="001712E3"/>
    <w:rsid w:val="001832A6"/>
    <w:rsid w:val="00184807"/>
    <w:rsid w:val="001A75CB"/>
    <w:rsid w:val="001E5A16"/>
    <w:rsid w:val="001E6960"/>
    <w:rsid w:val="001E710F"/>
    <w:rsid w:val="001F00C3"/>
    <w:rsid w:val="001F44EB"/>
    <w:rsid w:val="001F7C86"/>
    <w:rsid w:val="002165BB"/>
    <w:rsid w:val="00240871"/>
    <w:rsid w:val="00247566"/>
    <w:rsid w:val="002611E4"/>
    <w:rsid w:val="002634C4"/>
    <w:rsid w:val="00277720"/>
    <w:rsid w:val="00284EC5"/>
    <w:rsid w:val="002928D3"/>
    <w:rsid w:val="0029475F"/>
    <w:rsid w:val="002973EA"/>
    <w:rsid w:val="002C1D9B"/>
    <w:rsid w:val="002C5E46"/>
    <w:rsid w:val="002D22CE"/>
    <w:rsid w:val="002D3EA9"/>
    <w:rsid w:val="002F1FE6"/>
    <w:rsid w:val="002F4E68"/>
    <w:rsid w:val="003048CB"/>
    <w:rsid w:val="00310632"/>
    <w:rsid w:val="00312F7F"/>
    <w:rsid w:val="00334205"/>
    <w:rsid w:val="003353DD"/>
    <w:rsid w:val="00336355"/>
    <w:rsid w:val="0034288C"/>
    <w:rsid w:val="00342C2E"/>
    <w:rsid w:val="00356E8B"/>
    <w:rsid w:val="003673CF"/>
    <w:rsid w:val="003845C1"/>
    <w:rsid w:val="003858A1"/>
    <w:rsid w:val="003A6B32"/>
    <w:rsid w:val="003A6F89"/>
    <w:rsid w:val="003B38C1"/>
    <w:rsid w:val="003B7B06"/>
    <w:rsid w:val="003C4FF0"/>
    <w:rsid w:val="003D376A"/>
    <w:rsid w:val="003D463F"/>
    <w:rsid w:val="003E2AF4"/>
    <w:rsid w:val="003E3579"/>
    <w:rsid w:val="003E662E"/>
    <w:rsid w:val="003F14DE"/>
    <w:rsid w:val="003F3CEC"/>
    <w:rsid w:val="003F5CA5"/>
    <w:rsid w:val="004021FC"/>
    <w:rsid w:val="00412B91"/>
    <w:rsid w:val="00420B95"/>
    <w:rsid w:val="00423E3E"/>
    <w:rsid w:val="00427AF4"/>
    <w:rsid w:val="00436779"/>
    <w:rsid w:val="00442129"/>
    <w:rsid w:val="004433CC"/>
    <w:rsid w:val="00445382"/>
    <w:rsid w:val="00446BB0"/>
    <w:rsid w:val="00453136"/>
    <w:rsid w:val="00461C73"/>
    <w:rsid w:val="004647DA"/>
    <w:rsid w:val="00474062"/>
    <w:rsid w:val="004744E1"/>
    <w:rsid w:val="00477C50"/>
    <w:rsid w:val="00477D6B"/>
    <w:rsid w:val="004841EF"/>
    <w:rsid w:val="004A28D5"/>
    <w:rsid w:val="004A2CE0"/>
    <w:rsid w:val="004A38BE"/>
    <w:rsid w:val="004B0AE2"/>
    <w:rsid w:val="004C01A9"/>
    <w:rsid w:val="004C07DB"/>
    <w:rsid w:val="004C4E6B"/>
    <w:rsid w:val="004D255F"/>
    <w:rsid w:val="004E2371"/>
    <w:rsid w:val="004E2B0E"/>
    <w:rsid w:val="004F0D75"/>
    <w:rsid w:val="005019FF"/>
    <w:rsid w:val="00506B76"/>
    <w:rsid w:val="0051353B"/>
    <w:rsid w:val="00523362"/>
    <w:rsid w:val="0053057A"/>
    <w:rsid w:val="00537483"/>
    <w:rsid w:val="00545D4F"/>
    <w:rsid w:val="00547154"/>
    <w:rsid w:val="005573EB"/>
    <w:rsid w:val="00560A29"/>
    <w:rsid w:val="00560B0A"/>
    <w:rsid w:val="005813B7"/>
    <w:rsid w:val="00581F76"/>
    <w:rsid w:val="005B2D3C"/>
    <w:rsid w:val="005B2E76"/>
    <w:rsid w:val="005B553A"/>
    <w:rsid w:val="005C0B30"/>
    <w:rsid w:val="005D0A2C"/>
    <w:rsid w:val="005D739A"/>
    <w:rsid w:val="00605827"/>
    <w:rsid w:val="00617CC4"/>
    <w:rsid w:val="0062277E"/>
    <w:rsid w:val="00622C00"/>
    <w:rsid w:val="00627899"/>
    <w:rsid w:val="00635C6E"/>
    <w:rsid w:val="0063749C"/>
    <w:rsid w:val="00644389"/>
    <w:rsid w:val="00646050"/>
    <w:rsid w:val="00646B20"/>
    <w:rsid w:val="00653DE4"/>
    <w:rsid w:val="00662AD4"/>
    <w:rsid w:val="00663A83"/>
    <w:rsid w:val="006713CA"/>
    <w:rsid w:val="00672149"/>
    <w:rsid w:val="00676C5C"/>
    <w:rsid w:val="00690E85"/>
    <w:rsid w:val="006A1350"/>
    <w:rsid w:val="006A6243"/>
    <w:rsid w:val="006D35D7"/>
    <w:rsid w:val="006D39BD"/>
    <w:rsid w:val="006D6452"/>
    <w:rsid w:val="006F6906"/>
    <w:rsid w:val="00700560"/>
    <w:rsid w:val="00711722"/>
    <w:rsid w:val="00727164"/>
    <w:rsid w:val="007318F0"/>
    <w:rsid w:val="00735B95"/>
    <w:rsid w:val="007476AE"/>
    <w:rsid w:val="00747CE5"/>
    <w:rsid w:val="007527B4"/>
    <w:rsid w:val="00753C33"/>
    <w:rsid w:val="00757B01"/>
    <w:rsid w:val="007610C8"/>
    <w:rsid w:val="007620E6"/>
    <w:rsid w:val="0079049A"/>
    <w:rsid w:val="0079366B"/>
    <w:rsid w:val="00797682"/>
    <w:rsid w:val="007A5C08"/>
    <w:rsid w:val="007B5A2D"/>
    <w:rsid w:val="007B683B"/>
    <w:rsid w:val="007B70F7"/>
    <w:rsid w:val="007D1613"/>
    <w:rsid w:val="007E4258"/>
    <w:rsid w:val="007E7FB5"/>
    <w:rsid w:val="007F0BA5"/>
    <w:rsid w:val="007F5920"/>
    <w:rsid w:val="00801F00"/>
    <w:rsid w:val="008054B3"/>
    <w:rsid w:val="008147D7"/>
    <w:rsid w:val="0082321A"/>
    <w:rsid w:val="00836218"/>
    <w:rsid w:val="00840D63"/>
    <w:rsid w:val="0085682B"/>
    <w:rsid w:val="008662FD"/>
    <w:rsid w:val="00871243"/>
    <w:rsid w:val="00877200"/>
    <w:rsid w:val="008A590E"/>
    <w:rsid w:val="008A59A0"/>
    <w:rsid w:val="008B2CC1"/>
    <w:rsid w:val="008B60B2"/>
    <w:rsid w:val="008B6CC0"/>
    <w:rsid w:val="008C6EC5"/>
    <w:rsid w:val="008E370E"/>
    <w:rsid w:val="008F0372"/>
    <w:rsid w:val="008F4B96"/>
    <w:rsid w:val="009072C8"/>
    <w:rsid w:val="0090731E"/>
    <w:rsid w:val="00916EE2"/>
    <w:rsid w:val="00921B27"/>
    <w:rsid w:val="00924E66"/>
    <w:rsid w:val="0094268B"/>
    <w:rsid w:val="00946092"/>
    <w:rsid w:val="009606C8"/>
    <w:rsid w:val="00966A22"/>
    <w:rsid w:val="0096722F"/>
    <w:rsid w:val="0097274C"/>
    <w:rsid w:val="00975A1A"/>
    <w:rsid w:val="00980843"/>
    <w:rsid w:val="00981EAD"/>
    <w:rsid w:val="009845F5"/>
    <w:rsid w:val="00984A10"/>
    <w:rsid w:val="0099121B"/>
    <w:rsid w:val="00994037"/>
    <w:rsid w:val="009956B8"/>
    <w:rsid w:val="009A469A"/>
    <w:rsid w:val="009A7AD5"/>
    <w:rsid w:val="009C3AE9"/>
    <w:rsid w:val="009D7209"/>
    <w:rsid w:val="009E1364"/>
    <w:rsid w:val="009E2791"/>
    <w:rsid w:val="009E3F6F"/>
    <w:rsid w:val="009E7DAD"/>
    <w:rsid w:val="009F499F"/>
    <w:rsid w:val="00A116BB"/>
    <w:rsid w:val="00A27F3E"/>
    <w:rsid w:val="00A42DAF"/>
    <w:rsid w:val="00A459F8"/>
    <w:rsid w:val="00A45BD8"/>
    <w:rsid w:val="00A46C76"/>
    <w:rsid w:val="00A50BF2"/>
    <w:rsid w:val="00A55ABF"/>
    <w:rsid w:val="00A869B7"/>
    <w:rsid w:val="00A90D9E"/>
    <w:rsid w:val="00A933E9"/>
    <w:rsid w:val="00A963A0"/>
    <w:rsid w:val="00A967E2"/>
    <w:rsid w:val="00AA2B17"/>
    <w:rsid w:val="00AA4AD3"/>
    <w:rsid w:val="00AB7D1C"/>
    <w:rsid w:val="00AC205C"/>
    <w:rsid w:val="00AC2FFE"/>
    <w:rsid w:val="00AC5721"/>
    <w:rsid w:val="00AD0327"/>
    <w:rsid w:val="00AD6619"/>
    <w:rsid w:val="00AF0A6B"/>
    <w:rsid w:val="00B04399"/>
    <w:rsid w:val="00B05A69"/>
    <w:rsid w:val="00B0710D"/>
    <w:rsid w:val="00B071DB"/>
    <w:rsid w:val="00B433AF"/>
    <w:rsid w:val="00B4584A"/>
    <w:rsid w:val="00B6304F"/>
    <w:rsid w:val="00B653A0"/>
    <w:rsid w:val="00B70ED6"/>
    <w:rsid w:val="00B7780D"/>
    <w:rsid w:val="00B843DE"/>
    <w:rsid w:val="00B87520"/>
    <w:rsid w:val="00B91491"/>
    <w:rsid w:val="00B95676"/>
    <w:rsid w:val="00B9734B"/>
    <w:rsid w:val="00BA71FC"/>
    <w:rsid w:val="00BB092A"/>
    <w:rsid w:val="00BB49DC"/>
    <w:rsid w:val="00BD5036"/>
    <w:rsid w:val="00BE4590"/>
    <w:rsid w:val="00BE7362"/>
    <w:rsid w:val="00BF605C"/>
    <w:rsid w:val="00C00436"/>
    <w:rsid w:val="00C11BFE"/>
    <w:rsid w:val="00C17BB4"/>
    <w:rsid w:val="00C2282A"/>
    <w:rsid w:val="00C30042"/>
    <w:rsid w:val="00C33DAD"/>
    <w:rsid w:val="00C53C39"/>
    <w:rsid w:val="00C56EE0"/>
    <w:rsid w:val="00C63976"/>
    <w:rsid w:val="00C65A0C"/>
    <w:rsid w:val="00C73692"/>
    <w:rsid w:val="00C74D39"/>
    <w:rsid w:val="00CC114E"/>
    <w:rsid w:val="00CC3AD5"/>
    <w:rsid w:val="00CD4F30"/>
    <w:rsid w:val="00CE517B"/>
    <w:rsid w:val="00CE5377"/>
    <w:rsid w:val="00CE5BA0"/>
    <w:rsid w:val="00CF0E6C"/>
    <w:rsid w:val="00CF1AC0"/>
    <w:rsid w:val="00D068E9"/>
    <w:rsid w:val="00D168E7"/>
    <w:rsid w:val="00D225C2"/>
    <w:rsid w:val="00D31559"/>
    <w:rsid w:val="00D4172C"/>
    <w:rsid w:val="00D44EC8"/>
    <w:rsid w:val="00D45252"/>
    <w:rsid w:val="00D45FB8"/>
    <w:rsid w:val="00D5531C"/>
    <w:rsid w:val="00D64509"/>
    <w:rsid w:val="00D64A53"/>
    <w:rsid w:val="00D71B4D"/>
    <w:rsid w:val="00D7457B"/>
    <w:rsid w:val="00D805C0"/>
    <w:rsid w:val="00D82C66"/>
    <w:rsid w:val="00D90C72"/>
    <w:rsid w:val="00D93D55"/>
    <w:rsid w:val="00D956A3"/>
    <w:rsid w:val="00D97EA2"/>
    <w:rsid w:val="00DC4F6C"/>
    <w:rsid w:val="00DC711F"/>
    <w:rsid w:val="00E07A10"/>
    <w:rsid w:val="00E151DB"/>
    <w:rsid w:val="00E267FD"/>
    <w:rsid w:val="00E26819"/>
    <w:rsid w:val="00E335FE"/>
    <w:rsid w:val="00E376B3"/>
    <w:rsid w:val="00E41F62"/>
    <w:rsid w:val="00E479B5"/>
    <w:rsid w:val="00E6227E"/>
    <w:rsid w:val="00E65991"/>
    <w:rsid w:val="00E65F9E"/>
    <w:rsid w:val="00E72392"/>
    <w:rsid w:val="00E74F6D"/>
    <w:rsid w:val="00E774D9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EF60FA"/>
    <w:rsid w:val="00F076A8"/>
    <w:rsid w:val="00F1007F"/>
    <w:rsid w:val="00F213FD"/>
    <w:rsid w:val="00F26550"/>
    <w:rsid w:val="00F26569"/>
    <w:rsid w:val="00F2742D"/>
    <w:rsid w:val="00F34E85"/>
    <w:rsid w:val="00F53001"/>
    <w:rsid w:val="00F535E3"/>
    <w:rsid w:val="00F55A8B"/>
    <w:rsid w:val="00F6149A"/>
    <w:rsid w:val="00F627D9"/>
    <w:rsid w:val="00F66152"/>
    <w:rsid w:val="00F66A0E"/>
    <w:rsid w:val="00F777A3"/>
    <w:rsid w:val="00F973F0"/>
    <w:rsid w:val="00FA2793"/>
    <w:rsid w:val="00FA5737"/>
    <w:rsid w:val="00FB26CE"/>
    <w:rsid w:val="00FC4FBC"/>
    <w:rsid w:val="00FE197C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1E9F-9F63-43BD-A9DE-F2CAD0A7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1011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NECHIPORENKO Anna</cp:lastModifiedBy>
  <cp:revision>18</cp:revision>
  <cp:lastPrinted>2015-05-12T12:50:00Z</cp:lastPrinted>
  <dcterms:created xsi:type="dcterms:W3CDTF">2015-05-10T07:43:00Z</dcterms:created>
  <dcterms:modified xsi:type="dcterms:W3CDTF">2015-05-12T12:52:00Z</dcterms:modified>
</cp:coreProperties>
</file>