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 w:rsidTr="00916EE2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A24123" w:rsidRDefault="00A24123" w:rsidP="00916EE2">
            <w:r w:rsidRPr="009E5558">
              <w:rPr>
                <w:noProof/>
                <w:lang w:eastAsia="en-US"/>
              </w:rPr>
              <w:drawing>
                <wp:inline distT="0" distB="0" distL="0" distR="0" wp14:anchorId="64477BE5" wp14:editId="2568E5B9">
                  <wp:extent cx="1854835" cy="1319530"/>
                  <wp:effectExtent l="0" t="0" r="0" b="0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E0BE6" w:rsidP="00916EE2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D6452" w:rsidP="001E696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620E6">
              <w:rPr>
                <w:rFonts w:ascii="Arial Black" w:hAnsi="Arial Black"/>
                <w:caps/>
                <w:sz w:val="15"/>
              </w:rPr>
              <w:t>LI/DC/</w:t>
            </w:r>
            <w:r w:rsidR="001E6960">
              <w:rPr>
                <w:rFonts w:ascii="Arial Black" w:hAnsi="Arial Black"/>
                <w:caps/>
                <w:sz w:val="15"/>
              </w:rPr>
              <w:t>9</w:t>
            </w:r>
            <w:bookmarkStart w:id="1" w:name="Code"/>
            <w:bookmarkEnd w:id="1"/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2412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A24123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 w:rsidR="009A469A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A24123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2412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A24123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 w:rsidR="00A24123">
              <w:rPr>
                <w:rFonts w:ascii="Arial Black" w:hAnsi="Arial Black"/>
                <w:caps/>
                <w:sz w:val="15"/>
              </w:rPr>
              <w:t xml:space="preserve"> 11 </w:t>
            </w:r>
            <w:r w:rsidR="001E6960">
              <w:rPr>
                <w:rFonts w:ascii="Arial Black" w:hAnsi="Arial Black"/>
                <w:caps/>
                <w:sz w:val="15"/>
              </w:rPr>
              <w:t>MA</w:t>
            </w:r>
            <w:r w:rsidR="00A24123">
              <w:rPr>
                <w:rFonts w:ascii="Arial Black" w:hAnsi="Arial Black"/>
                <w:caps/>
                <w:sz w:val="15"/>
              </w:rPr>
              <w:t>i</w:t>
            </w:r>
            <w:r w:rsidR="001E6960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1E6960">
              <w:rPr>
                <w:rFonts w:ascii="Arial Black" w:hAnsi="Arial Black"/>
                <w:caps/>
                <w:sz w:val="15"/>
              </w:rPr>
              <w:t>2015</w:t>
            </w:r>
          </w:p>
        </w:tc>
      </w:tr>
    </w:tbl>
    <w:p w:rsidR="002F5D64" w:rsidRDefault="002F5D64" w:rsidP="008B2CC1"/>
    <w:p w:rsidR="002F5D64" w:rsidRDefault="002F5D64" w:rsidP="008B2CC1"/>
    <w:p w:rsidR="002F5D64" w:rsidRDefault="002F5D64" w:rsidP="008B2CC1"/>
    <w:p w:rsidR="002F5D64" w:rsidRDefault="002F5D64" w:rsidP="008B2CC1"/>
    <w:p w:rsidR="002F5D64" w:rsidRDefault="002F5D64" w:rsidP="008B2CC1"/>
    <w:p w:rsidR="00A24123" w:rsidRPr="009E5558" w:rsidRDefault="00A24123" w:rsidP="00A24123">
      <w:pPr>
        <w:rPr>
          <w:b/>
          <w:bCs/>
          <w:sz w:val="28"/>
          <w:szCs w:val="28"/>
          <w:lang w:val="fr-FR"/>
        </w:rPr>
      </w:pPr>
      <w:r w:rsidRPr="009E5558">
        <w:rPr>
          <w:b/>
          <w:sz w:val="28"/>
          <w:szCs w:val="28"/>
          <w:lang w:val="fr-FR"/>
        </w:rPr>
        <w:t>Conférence diplomatique pour l</w:t>
      </w:r>
      <w:r w:rsidR="0034197B">
        <w:rPr>
          <w:b/>
          <w:sz w:val="28"/>
          <w:szCs w:val="28"/>
          <w:lang w:val="fr-FR"/>
        </w:rPr>
        <w:t>’</w:t>
      </w:r>
      <w:r w:rsidRPr="009E5558">
        <w:rPr>
          <w:b/>
          <w:sz w:val="28"/>
          <w:szCs w:val="28"/>
          <w:lang w:val="fr-FR"/>
        </w:rPr>
        <w:t>adoption d</w:t>
      </w:r>
      <w:r w:rsidR="0034197B">
        <w:rPr>
          <w:b/>
          <w:sz w:val="28"/>
          <w:szCs w:val="28"/>
          <w:lang w:val="fr-FR"/>
        </w:rPr>
        <w:t>’</w:t>
      </w:r>
      <w:r w:rsidRPr="009E5558">
        <w:rPr>
          <w:b/>
          <w:sz w:val="28"/>
          <w:szCs w:val="28"/>
          <w:lang w:val="fr-FR"/>
        </w:rPr>
        <w:t xml:space="preserve">un nouvel Acte </w:t>
      </w:r>
      <w:r w:rsidRPr="009E5558">
        <w:rPr>
          <w:b/>
          <w:sz w:val="28"/>
          <w:szCs w:val="28"/>
          <w:lang w:val="fr-FR"/>
        </w:rPr>
        <w:br/>
        <w:t>de l</w:t>
      </w:r>
      <w:r w:rsidR="0034197B">
        <w:rPr>
          <w:b/>
          <w:sz w:val="28"/>
          <w:szCs w:val="28"/>
          <w:lang w:val="fr-FR"/>
        </w:rPr>
        <w:t>’</w:t>
      </w:r>
      <w:r w:rsidRPr="009E5558">
        <w:rPr>
          <w:b/>
          <w:sz w:val="28"/>
          <w:szCs w:val="28"/>
          <w:lang w:val="fr-FR"/>
        </w:rPr>
        <w:t xml:space="preserve">Arrangement de Lisbonne concernant la protection </w:t>
      </w:r>
      <w:r w:rsidRPr="009E5558">
        <w:rPr>
          <w:b/>
          <w:sz w:val="28"/>
          <w:szCs w:val="28"/>
          <w:lang w:val="fr-FR"/>
        </w:rPr>
        <w:br/>
        <w:t>des appellations d</w:t>
      </w:r>
      <w:r w:rsidR="0034197B">
        <w:rPr>
          <w:b/>
          <w:sz w:val="28"/>
          <w:szCs w:val="28"/>
          <w:lang w:val="fr-FR"/>
        </w:rPr>
        <w:t>’</w:t>
      </w:r>
      <w:r w:rsidRPr="009E5558">
        <w:rPr>
          <w:b/>
          <w:sz w:val="28"/>
          <w:szCs w:val="28"/>
          <w:lang w:val="fr-FR"/>
        </w:rPr>
        <w:t>origine et leur enregistrement international</w:t>
      </w:r>
    </w:p>
    <w:p w:rsidR="00A24123" w:rsidRPr="009E5558" w:rsidRDefault="00A24123" w:rsidP="00A24123">
      <w:pPr>
        <w:rPr>
          <w:bCs/>
          <w:lang w:val="fr-FR"/>
        </w:rPr>
      </w:pPr>
    </w:p>
    <w:p w:rsidR="00A24123" w:rsidRPr="009E5558" w:rsidRDefault="00A24123" w:rsidP="00A24123">
      <w:pPr>
        <w:rPr>
          <w:bCs/>
          <w:lang w:val="fr-FR"/>
        </w:rPr>
      </w:pPr>
    </w:p>
    <w:p w:rsidR="00A24123" w:rsidRPr="009E5558" w:rsidRDefault="00A24123" w:rsidP="00A24123">
      <w:pPr>
        <w:rPr>
          <w:b/>
          <w:bCs/>
          <w:sz w:val="24"/>
          <w:szCs w:val="24"/>
          <w:lang w:val="fr-FR"/>
        </w:rPr>
      </w:pPr>
      <w:r w:rsidRPr="009E5558">
        <w:rPr>
          <w:b/>
          <w:bCs/>
          <w:sz w:val="24"/>
          <w:szCs w:val="24"/>
          <w:lang w:val="fr-FR"/>
        </w:rPr>
        <w:t>Genève, 11 – 21 mai 2015</w:t>
      </w:r>
    </w:p>
    <w:p w:rsidR="002F5D64" w:rsidRDefault="002F5D64" w:rsidP="008B2CC1"/>
    <w:p w:rsidR="002F5D64" w:rsidRDefault="002F5D64" w:rsidP="008B2CC1"/>
    <w:p w:rsidR="002F5D64" w:rsidRDefault="002F5D64" w:rsidP="008B2CC1"/>
    <w:p w:rsidR="002F5D64" w:rsidRPr="00A81216" w:rsidRDefault="00A24123" w:rsidP="002F5D64">
      <w:pPr>
        <w:spacing w:line="250" w:lineRule="auto"/>
        <w:rPr>
          <w:sz w:val="24"/>
          <w:lang w:val="fr-FR"/>
        </w:rPr>
      </w:pPr>
      <w:bookmarkStart w:id="4" w:name="TitleOfDoc"/>
      <w:bookmarkEnd w:id="4"/>
      <w:r w:rsidRPr="00A81216">
        <w:rPr>
          <w:sz w:val="24"/>
          <w:lang w:val="fr-FR"/>
        </w:rPr>
        <w:t>PROPOSITION PRÉSENTÉE PAR LES DÉLÉGATIONS DE L</w:t>
      </w:r>
      <w:r w:rsidR="0034197B" w:rsidRPr="00A81216">
        <w:rPr>
          <w:sz w:val="24"/>
          <w:lang w:val="fr-FR"/>
        </w:rPr>
        <w:t>’</w:t>
      </w:r>
      <w:r w:rsidRPr="00A81216">
        <w:rPr>
          <w:sz w:val="24"/>
          <w:lang w:val="fr-FR"/>
        </w:rPr>
        <w:t xml:space="preserve">ARABIE SAOUDITE, </w:t>
      </w:r>
      <w:r w:rsidRPr="00A81216">
        <w:rPr>
          <w:sz w:val="24"/>
          <w:lang w:val="fr-FR"/>
        </w:rPr>
        <w:br/>
        <w:t>DE L</w:t>
      </w:r>
      <w:r w:rsidR="0034197B" w:rsidRPr="00A81216">
        <w:rPr>
          <w:sz w:val="24"/>
          <w:lang w:val="fr-FR"/>
        </w:rPr>
        <w:t>’</w:t>
      </w:r>
      <w:r w:rsidRPr="00A81216">
        <w:rPr>
          <w:sz w:val="24"/>
          <w:lang w:val="fr-FR"/>
        </w:rPr>
        <w:t>ARGENTINE, DE L</w:t>
      </w:r>
      <w:r w:rsidR="0034197B" w:rsidRPr="00A81216">
        <w:rPr>
          <w:sz w:val="24"/>
          <w:lang w:val="fr-FR"/>
        </w:rPr>
        <w:t>’</w:t>
      </w:r>
      <w:r w:rsidRPr="00A81216">
        <w:rPr>
          <w:sz w:val="24"/>
          <w:lang w:val="fr-FR"/>
        </w:rPr>
        <w:t>AUSTRALIE, DU CANADA, DU CHILI, DES ÉTATS-UNIS D</w:t>
      </w:r>
      <w:r w:rsidR="0034197B" w:rsidRPr="00A81216">
        <w:rPr>
          <w:sz w:val="24"/>
          <w:lang w:val="fr-FR"/>
        </w:rPr>
        <w:t>’</w:t>
      </w:r>
      <w:r w:rsidRPr="00A81216">
        <w:rPr>
          <w:sz w:val="24"/>
          <w:lang w:val="fr-FR"/>
        </w:rPr>
        <w:t>AMÉRIQUE, DU JAPON, DE LA NOUVELLE-ZÉLANDE, DU PANAMA, DE LA RÉPUBLIQUE DE CORÉE, DE SINGAPOUR ET DE L</w:t>
      </w:r>
      <w:r w:rsidR="0034197B" w:rsidRPr="00A81216">
        <w:rPr>
          <w:sz w:val="24"/>
          <w:lang w:val="fr-FR"/>
        </w:rPr>
        <w:t>’</w:t>
      </w:r>
      <w:r w:rsidRPr="00A81216">
        <w:rPr>
          <w:sz w:val="24"/>
          <w:lang w:val="fr-FR"/>
        </w:rPr>
        <w:t xml:space="preserve">URUGUAY </w:t>
      </w:r>
    </w:p>
    <w:p w:rsidR="002F5D64" w:rsidRPr="00A81216" w:rsidRDefault="002F5D64">
      <w:pPr>
        <w:rPr>
          <w:lang w:val="fr-FR"/>
        </w:rPr>
      </w:pPr>
      <w:bookmarkStart w:id="5" w:name="Prepared"/>
      <w:bookmarkEnd w:id="5"/>
    </w:p>
    <w:p w:rsidR="002F5D64" w:rsidRPr="00A81216" w:rsidRDefault="002F5D64">
      <w:pPr>
        <w:rPr>
          <w:lang w:val="fr-FR"/>
        </w:rPr>
      </w:pPr>
    </w:p>
    <w:p w:rsidR="002F5D64" w:rsidRPr="00A81216" w:rsidRDefault="002F5D64">
      <w:pPr>
        <w:rPr>
          <w:lang w:val="fr-FR"/>
        </w:rPr>
      </w:pPr>
    </w:p>
    <w:p w:rsidR="002F5D64" w:rsidRPr="00A81216" w:rsidRDefault="002F5D64">
      <w:pPr>
        <w:rPr>
          <w:lang w:val="fr-FR"/>
        </w:rPr>
      </w:pPr>
    </w:p>
    <w:p w:rsidR="002F5D64" w:rsidRPr="00A81216" w:rsidRDefault="002F5D64">
      <w:pPr>
        <w:rPr>
          <w:lang w:val="fr-FR"/>
        </w:rPr>
      </w:pPr>
    </w:p>
    <w:p w:rsidR="002F5D64" w:rsidRPr="00A81216" w:rsidRDefault="00B04399" w:rsidP="002F5D64">
      <w:pPr>
        <w:rPr>
          <w:lang w:val="fr-FR"/>
        </w:rPr>
      </w:pPr>
      <w:r w:rsidRPr="00A81216">
        <w:rPr>
          <w:lang w:val="fr-FR"/>
        </w:rPr>
        <w:fldChar w:fldCharType="begin"/>
      </w:r>
      <w:r w:rsidRPr="00A81216">
        <w:rPr>
          <w:lang w:val="fr-FR"/>
        </w:rPr>
        <w:instrText xml:space="preserve"> AUTONUM  </w:instrText>
      </w:r>
      <w:r w:rsidRPr="00A81216">
        <w:rPr>
          <w:lang w:val="fr-FR"/>
        </w:rPr>
        <w:fldChar w:fldCharType="end"/>
      </w:r>
      <w:r w:rsidRPr="00A81216">
        <w:rPr>
          <w:lang w:val="fr-FR"/>
        </w:rPr>
        <w:tab/>
      </w:r>
      <w:r w:rsidR="002F5D64" w:rsidRPr="00A81216">
        <w:rPr>
          <w:lang w:val="fr-FR"/>
        </w:rPr>
        <w:t>Dans une communication datée du 8 mai 2015, les délégations de l</w:t>
      </w:r>
      <w:r w:rsidR="0034197B" w:rsidRPr="00A81216">
        <w:rPr>
          <w:lang w:val="fr-FR"/>
        </w:rPr>
        <w:t>’</w:t>
      </w:r>
      <w:r w:rsidR="002F5D64" w:rsidRPr="00A81216">
        <w:rPr>
          <w:lang w:val="fr-FR"/>
        </w:rPr>
        <w:t>Arabie saoudite, de l</w:t>
      </w:r>
      <w:r w:rsidR="0034197B" w:rsidRPr="00A81216">
        <w:rPr>
          <w:lang w:val="fr-FR"/>
        </w:rPr>
        <w:t>’</w:t>
      </w:r>
      <w:r w:rsidR="002F5D64" w:rsidRPr="00A81216">
        <w:rPr>
          <w:lang w:val="fr-FR"/>
        </w:rPr>
        <w:t>Argentine, de l</w:t>
      </w:r>
      <w:r w:rsidR="0034197B" w:rsidRPr="00A81216">
        <w:rPr>
          <w:lang w:val="fr-FR"/>
        </w:rPr>
        <w:t>’</w:t>
      </w:r>
      <w:r w:rsidR="002F5D64" w:rsidRPr="00A81216">
        <w:rPr>
          <w:lang w:val="fr-FR"/>
        </w:rPr>
        <w:t>Australie, du Canada, du Chili, des États-Unis d</w:t>
      </w:r>
      <w:r w:rsidR="0034197B" w:rsidRPr="00A81216">
        <w:rPr>
          <w:lang w:val="fr-FR"/>
        </w:rPr>
        <w:t>’</w:t>
      </w:r>
      <w:r w:rsidR="002F5D64" w:rsidRPr="00A81216">
        <w:rPr>
          <w:lang w:val="fr-FR"/>
        </w:rPr>
        <w:t>Amérique, du Japon, de la Nouvelle-Zélande, du Panama, de la République de Corée, de Singapour et de l</w:t>
      </w:r>
      <w:r w:rsidR="0034197B" w:rsidRPr="00A81216">
        <w:rPr>
          <w:lang w:val="fr-FR"/>
        </w:rPr>
        <w:t>’</w:t>
      </w:r>
      <w:r w:rsidR="002F5D64" w:rsidRPr="00A81216">
        <w:rPr>
          <w:lang w:val="fr-FR"/>
        </w:rPr>
        <w:t>Uruguay ont transmis au Bureau international de l</w:t>
      </w:r>
      <w:r w:rsidR="0034197B" w:rsidRPr="00A81216">
        <w:rPr>
          <w:lang w:val="fr-FR"/>
        </w:rPr>
        <w:t>’</w:t>
      </w:r>
      <w:r w:rsidR="002F5D64" w:rsidRPr="00A81216">
        <w:rPr>
          <w:lang w:val="fr-FR"/>
        </w:rPr>
        <w:t>Organisation Mondiale de la Propriété Intellectuelle (OMPI) la proposition figurant dans le présent document.</w:t>
      </w:r>
      <w:r w:rsidR="00E479B5" w:rsidRPr="00A81216">
        <w:rPr>
          <w:lang w:val="fr-FR"/>
        </w:rPr>
        <w:t xml:space="preserve">  </w:t>
      </w:r>
    </w:p>
    <w:p w:rsidR="002F5D64" w:rsidRPr="00A81216" w:rsidRDefault="002F5D64" w:rsidP="0034197B">
      <w:pPr>
        <w:spacing w:line="247" w:lineRule="auto"/>
        <w:ind w:right="6475"/>
        <w:rPr>
          <w:lang w:val="fr-FR"/>
        </w:rPr>
      </w:pPr>
    </w:p>
    <w:p w:rsidR="002F5D64" w:rsidRPr="00A81216" w:rsidRDefault="002F5D64" w:rsidP="001E6960">
      <w:pPr>
        <w:ind w:right="46"/>
        <w:rPr>
          <w:lang w:val="fr-FR"/>
        </w:rPr>
      </w:pPr>
    </w:p>
    <w:p w:rsidR="002F5D64" w:rsidRPr="00A81216" w:rsidRDefault="00D714D3" w:rsidP="002F5D64">
      <w:pPr>
        <w:ind w:right="46"/>
        <w:rPr>
          <w:lang w:val="fr-FR"/>
        </w:rPr>
      </w:pPr>
      <w:r w:rsidRPr="00A81216">
        <w:rPr>
          <w:lang w:val="fr-FR"/>
        </w:rPr>
        <w:t xml:space="preserve">PROPOSITION D’AMÉLIORATION DU PROJET DE RÈGLEMENT INTÉRIEUR </w:t>
      </w:r>
      <w:r w:rsidRPr="00A81216">
        <w:rPr>
          <w:lang w:val="fr-FR"/>
        </w:rPr>
        <w:br/>
        <w:t xml:space="preserve">DE LA CONFÉRENCE DIPLOMATIQUE  </w:t>
      </w:r>
    </w:p>
    <w:p w:rsidR="002F5D64" w:rsidRPr="00A81216" w:rsidRDefault="002F5D64" w:rsidP="001E6960">
      <w:pPr>
        <w:ind w:left="5"/>
        <w:rPr>
          <w:lang w:val="fr-FR"/>
        </w:rPr>
      </w:pPr>
    </w:p>
    <w:p w:rsidR="002F5D64" w:rsidRPr="00A81216" w:rsidRDefault="00B04399" w:rsidP="004B7FA6">
      <w:pPr>
        <w:ind w:right="46"/>
        <w:rPr>
          <w:lang w:val="fr-FR"/>
        </w:rPr>
      </w:pPr>
      <w:r w:rsidRPr="00A81216">
        <w:rPr>
          <w:lang w:val="fr-FR"/>
        </w:rPr>
        <w:fldChar w:fldCharType="begin"/>
      </w:r>
      <w:r w:rsidRPr="00A81216">
        <w:rPr>
          <w:lang w:val="fr-FR"/>
        </w:rPr>
        <w:instrText xml:space="preserve"> AUTONUM  </w:instrText>
      </w:r>
      <w:r w:rsidRPr="00A81216">
        <w:rPr>
          <w:lang w:val="fr-FR"/>
        </w:rPr>
        <w:fldChar w:fldCharType="end"/>
      </w:r>
      <w:r w:rsidRPr="00A81216">
        <w:rPr>
          <w:lang w:val="fr-FR"/>
        </w:rPr>
        <w:tab/>
      </w:r>
      <w:r w:rsidR="002F5D64" w:rsidRPr="00A81216">
        <w:rPr>
          <w:lang w:val="fr-FR"/>
        </w:rPr>
        <w:t xml:space="preserve">Il est pris note du </w:t>
      </w:r>
      <w:r w:rsidR="0034197B" w:rsidRPr="00A81216">
        <w:rPr>
          <w:lang w:val="fr-FR"/>
        </w:rPr>
        <w:t>“</w:t>
      </w:r>
      <w:r w:rsidR="002F5D64" w:rsidRPr="00A81216">
        <w:rPr>
          <w:lang w:val="fr-FR"/>
        </w:rPr>
        <w:t>Projet de règlement intérieur de la conférence diplomatique</w:t>
      </w:r>
      <w:r w:rsidR="0034197B" w:rsidRPr="00A81216">
        <w:rPr>
          <w:lang w:val="fr-FR"/>
        </w:rPr>
        <w:t>”</w:t>
      </w:r>
      <w:r w:rsidR="002F5D64" w:rsidRPr="00A81216">
        <w:rPr>
          <w:lang w:val="fr-FR"/>
        </w:rPr>
        <w:t xml:space="preserve"> (document LI/DC/2 Prov.) pour la Conférence diplomatique pour l</w:t>
      </w:r>
      <w:r w:rsidR="0034197B" w:rsidRPr="00A81216">
        <w:rPr>
          <w:lang w:val="fr-FR"/>
        </w:rPr>
        <w:t>’</w:t>
      </w:r>
      <w:r w:rsidR="002F5D64" w:rsidRPr="00A81216">
        <w:rPr>
          <w:lang w:val="fr-FR"/>
        </w:rPr>
        <w:t>adoption d</w:t>
      </w:r>
      <w:r w:rsidR="0034197B" w:rsidRPr="00A81216">
        <w:rPr>
          <w:lang w:val="fr-FR"/>
        </w:rPr>
        <w:t>’</w:t>
      </w:r>
      <w:r w:rsidR="002F5D64" w:rsidRPr="00A81216">
        <w:rPr>
          <w:lang w:val="fr-FR"/>
        </w:rPr>
        <w:t>un Arrangement de Lisbonne révisé sur les appellations d</w:t>
      </w:r>
      <w:r w:rsidR="0034197B" w:rsidRPr="00A81216">
        <w:rPr>
          <w:lang w:val="fr-FR"/>
        </w:rPr>
        <w:t>’</w:t>
      </w:r>
      <w:r w:rsidR="002F5D64" w:rsidRPr="00A81216">
        <w:rPr>
          <w:lang w:val="fr-FR"/>
        </w:rPr>
        <w:t>origine et les indications géographique</w:t>
      </w:r>
      <w:r w:rsidR="007378B5" w:rsidRPr="00A81216">
        <w:rPr>
          <w:lang w:val="fr-FR"/>
        </w:rPr>
        <w:t>s</w:t>
      </w:r>
      <w:r w:rsidR="002F5D64" w:rsidRPr="00A81216">
        <w:rPr>
          <w:lang w:val="fr-FR"/>
        </w:rPr>
        <w:t>.</w:t>
      </w:r>
      <w:r w:rsidR="001E6960" w:rsidRPr="00A81216">
        <w:rPr>
          <w:lang w:val="fr-FR"/>
        </w:rPr>
        <w:t xml:space="preserve">   </w:t>
      </w:r>
      <w:r w:rsidR="009E08BA" w:rsidRPr="00A81216">
        <w:rPr>
          <w:lang w:val="fr-FR"/>
        </w:rPr>
        <w:t>Ce projet de règlement intérieur prévoit, en son article 1.2), que la conférence réunie en séance plénière est compétente pour adopter le règlement intérieur et, le cas échéant, le modifier.</w:t>
      </w:r>
      <w:r w:rsidR="001E6960" w:rsidRPr="00A81216">
        <w:rPr>
          <w:lang w:val="fr-FR"/>
        </w:rPr>
        <w:t xml:space="preserve">  </w:t>
      </w:r>
      <w:r w:rsidR="009E08BA" w:rsidRPr="00A81216">
        <w:rPr>
          <w:lang w:val="fr-FR"/>
        </w:rPr>
        <w:t>En outre, le projet de règlement intérieur (article 2) définit la conférence comme étant composée des membres de l</w:t>
      </w:r>
      <w:r w:rsidR="0034197B" w:rsidRPr="00A81216">
        <w:rPr>
          <w:lang w:val="fr-FR"/>
        </w:rPr>
        <w:t>’</w:t>
      </w:r>
      <w:r w:rsidR="009E08BA" w:rsidRPr="00A81216">
        <w:rPr>
          <w:lang w:val="fr-FR"/>
        </w:rPr>
        <w:t>Union de Lisbonne, de l</w:t>
      </w:r>
      <w:r w:rsidR="0034197B" w:rsidRPr="00A81216">
        <w:rPr>
          <w:lang w:val="fr-FR"/>
        </w:rPr>
        <w:t>’</w:t>
      </w:r>
      <w:r w:rsidR="009E08BA" w:rsidRPr="00A81216">
        <w:rPr>
          <w:lang w:val="fr-FR"/>
        </w:rPr>
        <w:t>Organisation africaine de la propriété intellectuelle, de l</w:t>
      </w:r>
      <w:r w:rsidR="0034197B" w:rsidRPr="00A81216">
        <w:rPr>
          <w:lang w:val="fr-FR"/>
        </w:rPr>
        <w:t>’</w:t>
      </w:r>
      <w:r w:rsidR="009E08BA" w:rsidRPr="00A81216">
        <w:rPr>
          <w:lang w:val="fr-FR"/>
        </w:rPr>
        <w:t>Union européenne, des membres de l</w:t>
      </w:r>
      <w:r w:rsidR="0034197B" w:rsidRPr="00A81216">
        <w:rPr>
          <w:lang w:val="fr-FR"/>
        </w:rPr>
        <w:t>’</w:t>
      </w:r>
      <w:r w:rsidR="009E08BA" w:rsidRPr="00A81216">
        <w:rPr>
          <w:lang w:val="fr-FR"/>
        </w:rPr>
        <w:t>OMPI, des membres de l</w:t>
      </w:r>
      <w:r w:rsidR="0034197B" w:rsidRPr="00A81216">
        <w:rPr>
          <w:lang w:val="fr-FR"/>
        </w:rPr>
        <w:t>’</w:t>
      </w:r>
      <w:r w:rsidR="009E08BA" w:rsidRPr="00A81216">
        <w:rPr>
          <w:lang w:val="fr-FR"/>
        </w:rPr>
        <w:t>Organisation des Nations</w:t>
      </w:r>
      <w:r w:rsidR="00D63690">
        <w:rPr>
          <w:lang w:val="fr-FR"/>
        </w:rPr>
        <w:t> </w:t>
      </w:r>
      <w:r w:rsidR="009E08BA" w:rsidRPr="00A81216">
        <w:rPr>
          <w:lang w:val="fr-FR"/>
        </w:rPr>
        <w:t>Unies qui ne sont pas membres de l</w:t>
      </w:r>
      <w:r w:rsidR="0034197B" w:rsidRPr="00A81216">
        <w:rPr>
          <w:lang w:val="fr-FR"/>
        </w:rPr>
        <w:t>’</w:t>
      </w:r>
      <w:r w:rsidR="009E08BA" w:rsidRPr="00A81216">
        <w:rPr>
          <w:lang w:val="fr-FR"/>
        </w:rPr>
        <w:t>OMPI et d</w:t>
      </w:r>
      <w:r w:rsidR="0034197B" w:rsidRPr="00A81216">
        <w:rPr>
          <w:lang w:val="fr-FR"/>
        </w:rPr>
        <w:t>’</w:t>
      </w:r>
      <w:r w:rsidR="009E08BA" w:rsidRPr="00A81216">
        <w:rPr>
          <w:lang w:val="fr-FR"/>
        </w:rPr>
        <w:t xml:space="preserve">autres </w:t>
      </w:r>
      <w:r w:rsidR="006E15A0">
        <w:rPr>
          <w:lang w:val="fr-FR"/>
        </w:rPr>
        <w:t xml:space="preserve">participants </w:t>
      </w:r>
      <w:r w:rsidR="009E08BA" w:rsidRPr="00A81216">
        <w:rPr>
          <w:lang w:val="fr-FR"/>
        </w:rPr>
        <w:t>invités en qualité d</w:t>
      </w:r>
      <w:r w:rsidR="0034197B" w:rsidRPr="00A81216">
        <w:rPr>
          <w:lang w:val="fr-FR"/>
        </w:rPr>
        <w:t>’</w:t>
      </w:r>
      <w:r w:rsidR="006E15A0">
        <w:rPr>
          <w:lang w:val="fr-FR"/>
        </w:rPr>
        <w:t>observateurs</w:t>
      </w:r>
      <w:r w:rsidR="009E08BA" w:rsidRPr="00A81216">
        <w:rPr>
          <w:lang w:val="fr-FR"/>
        </w:rPr>
        <w:t>.</w:t>
      </w:r>
      <w:r w:rsidR="001E6960" w:rsidRPr="00A81216">
        <w:rPr>
          <w:lang w:val="fr-FR"/>
        </w:rPr>
        <w:t xml:space="preserve">  </w:t>
      </w:r>
      <w:r w:rsidR="009E08BA" w:rsidRPr="00A81216">
        <w:rPr>
          <w:lang w:val="fr-FR"/>
        </w:rPr>
        <w:t>L</w:t>
      </w:r>
      <w:r w:rsidR="0034197B" w:rsidRPr="00A81216">
        <w:rPr>
          <w:lang w:val="fr-FR"/>
        </w:rPr>
        <w:t>’</w:t>
      </w:r>
      <w:r w:rsidR="009E08BA" w:rsidRPr="00A81216">
        <w:rPr>
          <w:lang w:val="fr-FR"/>
        </w:rPr>
        <w:t>article 29 prévoit que les délégations membres peuvent présenter des propositions d</w:t>
      </w:r>
      <w:r w:rsidR="0034197B" w:rsidRPr="00A81216">
        <w:rPr>
          <w:lang w:val="fr-FR"/>
        </w:rPr>
        <w:t>’</w:t>
      </w:r>
      <w:r w:rsidR="009E08BA" w:rsidRPr="00A81216">
        <w:rPr>
          <w:lang w:val="fr-FR"/>
        </w:rPr>
        <w:t xml:space="preserve">amendement de la proposition de base, mais le projet de règlement intérieur ne contient </w:t>
      </w:r>
      <w:r w:rsidR="00A8292F">
        <w:rPr>
          <w:lang w:val="fr-FR"/>
        </w:rPr>
        <w:t>aucune</w:t>
      </w:r>
      <w:r w:rsidR="009E08BA" w:rsidRPr="00A81216">
        <w:rPr>
          <w:lang w:val="fr-FR"/>
        </w:rPr>
        <w:t xml:space="preserve"> indication quant à la qualité requise pour présenter des propositions de </w:t>
      </w:r>
      <w:r w:rsidR="009E08BA" w:rsidRPr="00A81216">
        <w:rPr>
          <w:lang w:val="fr-FR"/>
        </w:rPr>
        <w:lastRenderedPageBreak/>
        <w:t>modification du règlement intérieur.</w:t>
      </w:r>
      <w:r w:rsidR="001E6960" w:rsidRPr="00A81216">
        <w:rPr>
          <w:lang w:val="fr-FR"/>
        </w:rPr>
        <w:t xml:space="preserve">  </w:t>
      </w:r>
      <w:r w:rsidR="009E08BA" w:rsidRPr="00A81216">
        <w:rPr>
          <w:lang w:val="fr-FR"/>
        </w:rPr>
        <w:t>Il s</w:t>
      </w:r>
      <w:r w:rsidR="0034197B" w:rsidRPr="00A81216">
        <w:rPr>
          <w:lang w:val="fr-FR"/>
        </w:rPr>
        <w:t>’</w:t>
      </w:r>
      <w:r w:rsidR="009E08BA" w:rsidRPr="00A81216">
        <w:rPr>
          <w:lang w:val="fr-FR"/>
        </w:rPr>
        <w:t>ensuit donc que tous les participants peuvent présenter des propositions de modification du projet de règlement intérieur.</w:t>
      </w:r>
      <w:r w:rsidR="001E6960" w:rsidRPr="00A81216">
        <w:rPr>
          <w:lang w:val="fr-FR"/>
        </w:rPr>
        <w:t xml:space="preserve">  </w:t>
      </w:r>
      <w:r w:rsidR="009E08BA" w:rsidRPr="00A81216">
        <w:rPr>
          <w:lang w:val="fr-FR"/>
        </w:rPr>
        <w:t>L</w:t>
      </w:r>
      <w:r w:rsidR="0034197B" w:rsidRPr="00A81216">
        <w:rPr>
          <w:lang w:val="fr-FR"/>
        </w:rPr>
        <w:t>’</w:t>
      </w:r>
      <w:r w:rsidR="009E08BA" w:rsidRPr="00A81216">
        <w:rPr>
          <w:lang w:val="fr-FR"/>
        </w:rPr>
        <w:t>article 46 confirme que les délégations observatrices et les observateurs peuvent assister aux séances plénières de la conférence.</w:t>
      </w:r>
      <w:r w:rsidR="001E6960" w:rsidRPr="00A81216">
        <w:rPr>
          <w:lang w:val="fr-FR"/>
        </w:rPr>
        <w:t xml:space="preserve">  </w:t>
      </w:r>
      <w:r w:rsidR="004B7FA6" w:rsidRPr="00A81216">
        <w:rPr>
          <w:lang w:val="fr-FR"/>
        </w:rPr>
        <w:t>Enfin, l</w:t>
      </w:r>
      <w:r w:rsidR="0034197B" w:rsidRPr="00A81216">
        <w:rPr>
          <w:lang w:val="fr-FR"/>
        </w:rPr>
        <w:t>’</w:t>
      </w:r>
      <w:r w:rsidR="004B7FA6" w:rsidRPr="00A81216">
        <w:rPr>
          <w:lang w:val="fr-FR"/>
        </w:rPr>
        <w:t>article 34.1) prévoit que, dans la mesure du possible, toutes les décisions de tous les organes sont prises par consensus.</w:t>
      </w:r>
      <w:r w:rsidR="001E6960" w:rsidRPr="00A81216">
        <w:rPr>
          <w:lang w:val="fr-FR"/>
        </w:rPr>
        <w:t xml:space="preserve">  </w:t>
      </w:r>
      <w:r w:rsidR="004B7FA6" w:rsidRPr="00A81216">
        <w:rPr>
          <w:lang w:val="fr-FR"/>
        </w:rPr>
        <w:t>Nous sommes convaincus que la présente proposition de modification du projet de règlement intérieur devrait être approuvée par consensus par la conférence.</w:t>
      </w:r>
    </w:p>
    <w:p w:rsidR="002F5D64" w:rsidRPr="00A81216" w:rsidRDefault="001E6960" w:rsidP="001E6960">
      <w:pPr>
        <w:ind w:left="5"/>
        <w:rPr>
          <w:lang w:val="fr-FR"/>
        </w:rPr>
      </w:pPr>
      <w:r w:rsidRPr="00A81216">
        <w:rPr>
          <w:lang w:val="fr-FR"/>
        </w:rPr>
        <w:t xml:space="preserve"> </w:t>
      </w:r>
    </w:p>
    <w:p w:rsidR="002F5D64" w:rsidRPr="00A81216" w:rsidRDefault="00B04399" w:rsidP="004B7FA6">
      <w:pPr>
        <w:ind w:right="46"/>
        <w:rPr>
          <w:lang w:val="fr-FR"/>
        </w:rPr>
      </w:pPr>
      <w:r w:rsidRPr="00A81216">
        <w:rPr>
          <w:lang w:val="fr-FR"/>
        </w:rPr>
        <w:fldChar w:fldCharType="begin"/>
      </w:r>
      <w:r w:rsidRPr="00A81216">
        <w:rPr>
          <w:lang w:val="fr-FR"/>
        </w:rPr>
        <w:instrText xml:space="preserve"> AUTONUM  </w:instrText>
      </w:r>
      <w:r w:rsidRPr="00A81216">
        <w:rPr>
          <w:lang w:val="fr-FR"/>
        </w:rPr>
        <w:fldChar w:fldCharType="end"/>
      </w:r>
      <w:r w:rsidRPr="00A81216">
        <w:rPr>
          <w:lang w:val="fr-FR"/>
        </w:rPr>
        <w:tab/>
      </w:r>
      <w:r w:rsidR="004B7FA6" w:rsidRPr="00A81216">
        <w:rPr>
          <w:lang w:val="fr-FR"/>
        </w:rPr>
        <w:t>Ainsi qu</w:t>
      </w:r>
      <w:r w:rsidR="0034197B" w:rsidRPr="00A81216">
        <w:rPr>
          <w:lang w:val="fr-FR"/>
        </w:rPr>
        <w:t>’</w:t>
      </w:r>
      <w:r w:rsidR="004B7FA6" w:rsidRPr="00A81216">
        <w:rPr>
          <w:lang w:val="fr-FR"/>
        </w:rPr>
        <w:t>il est expliqué dans le document LI/R/PM/5/Rev.3 et qu</w:t>
      </w:r>
      <w:r w:rsidR="0034197B" w:rsidRPr="00A81216">
        <w:rPr>
          <w:lang w:val="fr-FR"/>
        </w:rPr>
        <w:t>’</w:t>
      </w:r>
      <w:r w:rsidR="004B7FA6" w:rsidRPr="00A81216">
        <w:rPr>
          <w:lang w:val="fr-FR"/>
        </w:rPr>
        <w:t>il a été indiqué au sein du comité préparatoire, les conférences diplomatiques de l</w:t>
      </w:r>
      <w:r w:rsidR="0034197B" w:rsidRPr="00A81216">
        <w:rPr>
          <w:lang w:val="fr-FR"/>
        </w:rPr>
        <w:t>’</w:t>
      </w:r>
      <w:r w:rsidR="004B7FA6" w:rsidRPr="00A81216">
        <w:rPr>
          <w:lang w:val="fr-FR"/>
        </w:rPr>
        <w:t xml:space="preserve">OMPI sont généralement ouvertes à la </w:t>
      </w:r>
      <w:r w:rsidR="00855F64">
        <w:rPr>
          <w:lang w:val="fr-FR"/>
        </w:rPr>
        <w:t xml:space="preserve">pleine </w:t>
      </w:r>
      <w:r w:rsidR="004B7FA6" w:rsidRPr="00A81216">
        <w:rPr>
          <w:lang w:val="fr-FR"/>
        </w:rPr>
        <w:t>participation et au vote de tous les membres de l</w:t>
      </w:r>
      <w:r w:rsidR="0034197B" w:rsidRPr="00A81216">
        <w:rPr>
          <w:lang w:val="fr-FR"/>
        </w:rPr>
        <w:t>’</w:t>
      </w:r>
      <w:r w:rsidR="004B7FA6" w:rsidRPr="00A81216">
        <w:rPr>
          <w:lang w:val="fr-FR"/>
        </w:rPr>
        <w:t>OMPI.</w:t>
      </w:r>
      <w:r w:rsidR="001E6960" w:rsidRPr="00A81216">
        <w:rPr>
          <w:lang w:val="fr-FR"/>
        </w:rPr>
        <w:t xml:space="preserve">  </w:t>
      </w:r>
      <w:r w:rsidR="004B7FA6" w:rsidRPr="00A81216">
        <w:rPr>
          <w:lang w:val="fr-FR"/>
        </w:rPr>
        <w:t>Or la version actuelle du document LI/DC/2 Prov. limite la pleine participation et le droit de vote aux seuls membres actuels de l</w:t>
      </w:r>
      <w:r w:rsidR="0034197B" w:rsidRPr="00A81216">
        <w:rPr>
          <w:lang w:val="fr-FR"/>
        </w:rPr>
        <w:t>’</w:t>
      </w:r>
      <w:r w:rsidR="004B7FA6" w:rsidRPr="00A81216">
        <w:rPr>
          <w:lang w:val="fr-FR"/>
        </w:rPr>
        <w:t>Union de Lisbonne, tout en en conférant à deux non-membres de l</w:t>
      </w:r>
      <w:r w:rsidR="0034197B" w:rsidRPr="00A81216">
        <w:rPr>
          <w:lang w:val="fr-FR"/>
        </w:rPr>
        <w:t>’</w:t>
      </w:r>
      <w:r w:rsidR="004B7FA6" w:rsidRPr="00A81216">
        <w:rPr>
          <w:lang w:val="fr-FR"/>
        </w:rPr>
        <w:t>OMPI davantage de droits de négociation qu</w:t>
      </w:r>
      <w:r w:rsidR="0034197B" w:rsidRPr="00A81216">
        <w:rPr>
          <w:lang w:val="fr-FR"/>
        </w:rPr>
        <w:t>’</w:t>
      </w:r>
      <w:r w:rsidR="004B7FA6" w:rsidRPr="00A81216">
        <w:rPr>
          <w:lang w:val="fr-FR"/>
        </w:rPr>
        <w:t>aux membres de l</w:t>
      </w:r>
      <w:r w:rsidR="0034197B" w:rsidRPr="00A81216">
        <w:rPr>
          <w:lang w:val="fr-FR"/>
        </w:rPr>
        <w:t>’</w:t>
      </w:r>
      <w:r w:rsidR="004B7FA6" w:rsidRPr="00A81216">
        <w:rPr>
          <w:lang w:val="fr-FR"/>
        </w:rPr>
        <w:t xml:space="preserve">OMPI qui ne sont pas </w:t>
      </w:r>
      <w:r w:rsidR="00A81216" w:rsidRPr="00A81216">
        <w:rPr>
          <w:lang w:val="fr-FR"/>
        </w:rPr>
        <w:t>membres</w:t>
      </w:r>
      <w:r w:rsidR="004B7FA6" w:rsidRPr="00A81216">
        <w:rPr>
          <w:lang w:val="fr-FR"/>
        </w:rPr>
        <w:t xml:space="preserve"> de l</w:t>
      </w:r>
      <w:r w:rsidR="0034197B" w:rsidRPr="00A81216">
        <w:rPr>
          <w:lang w:val="fr-FR"/>
        </w:rPr>
        <w:t>’</w:t>
      </w:r>
      <w:r w:rsidR="004B7FA6" w:rsidRPr="00A81216">
        <w:rPr>
          <w:lang w:val="fr-FR"/>
        </w:rPr>
        <w:t>Union de Lisbonne.</w:t>
      </w:r>
      <w:r w:rsidR="001E6960" w:rsidRPr="00A81216">
        <w:rPr>
          <w:lang w:val="fr-FR"/>
        </w:rPr>
        <w:t xml:space="preserve">  </w:t>
      </w:r>
      <w:r w:rsidR="004B7FA6" w:rsidRPr="00A81216">
        <w:rPr>
          <w:lang w:val="fr-FR"/>
        </w:rPr>
        <w:t>Au cours des 20 dernières années, les conférences diplomatiques de l</w:t>
      </w:r>
      <w:r w:rsidR="0034197B" w:rsidRPr="00A81216">
        <w:rPr>
          <w:lang w:val="fr-FR"/>
        </w:rPr>
        <w:t>’</w:t>
      </w:r>
      <w:r w:rsidR="004B7FA6" w:rsidRPr="00A81216">
        <w:rPr>
          <w:lang w:val="fr-FR"/>
        </w:rPr>
        <w:t xml:space="preserve">OMPI, dont une </w:t>
      </w:r>
      <w:r w:rsidR="00075EF2">
        <w:rPr>
          <w:lang w:val="fr-FR"/>
        </w:rPr>
        <w:t>pour</w:t>
      </w:r>
      <w:r w:rsidR="004B7FA6" w:rsidRPr="00A81216">
        <w:rPr>
          <w:lang w:val="fr-FR"/>
        </w:rPr>
        <w:t xml:space="preserve"> l</w:t>
      </w:r>
      <w:r w:rsidR="0034197B" w:rsidRPr="00A81216">
        <w:rPr>
          <w:lang w:val="fr-FR"/>
        </w:rPr>
        <w:t>’</w:t>
      </w:r>
      <w:r w:rsidR="004B7FA6" w:rsidRPr="00A81216">
        <w:rPr>
          <w:lang w:val="fr-FR"/>
        </w:rPr>
        <w:t>adoption d</w:t>
      </w:r>
      <w:r w:rsidR="0034197B" w:rsidRPr="00A81216">
        <w:rPr>
          <w:lang w:val="fr-FR"/>
        </w:rPr>
        <w:t>’</w:t>
      </w:r>
      <w:r w:rsidR="004B7FA6" w:rsidRPr="00A81216">
        <w:rPr>
          <w:lang w:val="fr-FR"/>
        </w:rPr>
        <w:t>un nouvel Acte d</w:t>
      </w:r>
      <w:r w:rsidR="0034197B" w:rsidRPr="00A81216">
        <w:rPr>
          <w:lang w:val="fr-FR"/>
        </w:rPr>
        <w:t>’</w:t>
      </w:r>
      <w:r w:rsidR="004B7FA6" w:rsidRPr="00A81216">
        <w:rPr>
          <w:lang w:val="fr-FR"/>
        </w:rPr>
        <w:t>un traité existant (l</w:t>
      </w:r>
      <w:r w:rsidR="0034197B" w:rsidRPr="00A81216">
        <w:rPr>
          <w:lang w:val="fr-FR"/>
        </w:rPr>
        <w:t>’</w:t>
      </w:r>
      <w:r w:rsidR="004B7FA6" w:rsidRPr="00A81216">
        <w:rPr>
          <w:lang w:val="fr-FR"/>
        </w:rPr>
        <w:t>Arrangement de La Haye), prévoyaient la participation sur un pied d</w:t>
      </w:r>
      <w:r w:rsidR="0034197B" w:rsidRPr="00A81216">
        <w:rPr>
          <w:lang w:val="fr-FR"/>
        </w:rPr>
        <w:t>’</w:t>
      </w:r>
      <w:r w:rsidR="004B7FA6" w:rsidRPr="00A81216">
        <w:rPr>
          <w:lang w:val="fr-FR"/>
        </w:rPr>
        <w:t>égalité de tous les membres de l</w:t>
      </w:r>
      <w:r w:rsidR="0034197B" w:rsidRPr="00A81216">
        <w:rPr>
          <w:lang w:val="fr-FR"/>
        </w:rPr>
        <w:t>’</w:t>
      </w:r>
      <w:r w:rsidR="004B7FA6" w:rsidRPr="00A81216">
        <w:rPr>
          <w:lang w:val="fr-FR"/>
        </w:rPr>
        <w:t>OMPI (voir l</w:t>
      </w:r>
      <w:r w:rsidR="0034197B" w:rsidRPr="00A81216">
        <w:rPr>
          <w:lang w:val="fr-FR"/>
        </w:rPr>
        <w:t>’</w:t>
      </w:r>
      <w:r w:rsidR="004B7FA6" w:rsidRPr="00A81216">
        <w:rPr>
          <w:lang w:val="fr-FR"/>
        </w:rPr>
        <w:t>annexe contenant des extraits des règlements intérieurs de quatre conférences diplomatiques récentes).</w:t>
      </w:r>
      <w:r w:rsidR="001E6960" w:rsidRPr="00A81216">
        <w:rPr>
          <w:lang w:val="fr-FR"/>
        </w:rPr>
        <w:t xml:space="preserve">   </w:t>
      </w:r>
    </w:p>
    <w:p w:rsidR="002F5D64" w:rsidRPr="00A81216" w:rsidRDefault="002F5D64" w:rsidP="001E6960">
      <w:pPr>
        <w:ind w:left="5"/>
        <w:rPr>
          <w:lang w:val="fr-FR"/>
        </w:rPr>
      </w:pPr>
    </w:p>
    <w:p w:rsidR="002F5D64" w:rsidRPr="00A81216" w:rsidRDefault="00B04399" w:rsidP="004B7FA6">
      <w:pPr>
        <w:ind w:right="291"/>
        <w:rPr>
          <w:lang w:val="fr-FR"/>
        </w:rPr>
      </w:pPr>
      <w:r w:rsidRPr="00A81216">
        <w:rPr>
          <w:lang w:val="fr-FR"/>
        </w:rPr>
        <w:fldChar w:fldCharType="begin"/>
      </w:r>
      <w:r w:rsidRPr="00A81216">
        <w:rPr>
          <w:lang w:val="fr-FR"/>
        </w:rPr>
        <w:instrText xml:space="preserve"> AUTONUM  </w:instrText>
      </w:r>
      <w:r w:rsidRPr="00A81216">
        <w:rPr>
          <w:lang w:val="fr-FR"/>
        </w:rPr>
        <w:fldChar w:fldCharType="end"/>
      </w:r>
      <w:r w:rsidRPr="00A81216">
        <w:rPr>
          <w:lang w:val="fr-FR"/>
        </w:rPr>
        <w:tab/>
      </w:r>
      <w:r w:rsidR="004B7FA6" w:rsidRPr="00A81216">
        <w:rPr>
          <w:lang w:val="fr-FR"/>
        </w:rPr>
        <w:t xml:space="preserve">Pour permettre </w:t>
      </w:r>
      <w:r w:rsidR="003C4D01">
        <w:rPr>
          <w:lang w:val="fr-FR"/>
        </w:rPr>
        <w:t>la</w:t>
      </w:r>
      <w:r w:rsidR="004B7FA6" w:rsidRPr="00A81216">
        <w:rPr>
          <w:lang w:val="fr-FR"/>
        </w:rPr>
        <w:t xml:space="preserve"> pleine participation sur un pied d</w:t>
      </w:r>
      <w:r w:rsidR="0034197B" w:rsidRPr="00A81216">
        <w:rPr>
          <w:lang w:val="fr-FR"/>
        </w:rPr>
        <w:t>’</w:t>
      </w:r>
      <w:r w:rsidR="004B7FA6" w:rsidRPr="00A81216">
        <w:rPr>
          <w:lang w:val="fr-FR"/>
        </w:rPr>
        <w:t>égalité de tous les membres de l</w:t>
      </w:r>
      <w:r w:rsidR="0034197B" w:rsidRPr="00A81216">
        <w:rPr>
          <w:lang w:val="fr-FR"/>
        </w:rPr>
        <w:t>’</w:t>
      </w:r>
      <w:r w:rsidR="004B7FA6" w:rsidRPr="00A81216">
        <w:rPr>
          <w:lang w:val="fr-FR"/>
        </w:rPr>
        <w:t>OMPI, nous continuons de proposer de réviser le document LI/DC/2</w:t>
      </w:r>
      <w:r w:rsidR="003C4D01">
        <w:rPr>
          <w:lang w:val="fr-FR"/>
        </w:rPr>
        <w:t> Prov.</w:t>
      </w:r>
      <w:r w:rsidR="004B7FA6" w:rsidRPr="00A81216">
        <w:rPr>
          <w:lang w:val="fr-FR"/>
        </w:rPr>
        <w:t xml:space="preserve"> comme suit.</w:t>
      </w:r>
      <w:r w:rsidR="001E6960" w:rsidRPr="00A81216">
        <w:rPr>
          <w:lang w:val="fr-FR"/>
        </w:rPr>
        <w:t xml:space="preserve">   </w:t>
      </w:r>
    </w:p>
    <w:p w:rsidR="002F5D64" w:rsidRPr="00A81216" w:rsidRDefault="002F5D64" w:rsidP="001E6960">
      <w:pPr>
        <w:ind w:left="5"/>
        <w:rPr>
          <w:lang w:val="fr-FR"/>
        </w:rPr>
      </w:pPr>
    </w:p>
    <w:p w:rsidR="002F5D64" w:rsidRPr="00A81216" w:rsidRDefault="002F5D64" w:rsidP="001E6960">
      <w:pPr>
        <w:ind w:left="5"/>
        <w:rPr>
          <w:lang w:val="fr-FR"/>
        </w:rPr>
      </w:pPr>
    </w:p>
    <w:p w:rsidR="00F646D8" w:rsidRPr="00A81216" w:rsidRDefault="004B7FA6" w:rsidP="004B7FA6">
      <w:pPr>
        <w:ind w:right="46"/>
        <w:rPr>
          <w:lang w:val="fr-FR"/>
        </w:rPr>
      </w:pPr>
      <w:r w:rsidRPr="00A81216">
        <w:rPr>
          <w:lang w:val="fr-FR"/>
        </w:rPr>
        <w:t>PROJET DE RÈGLEMENT INTÉRIEUR DE LA CONFÉRENCE DIPLOMATIQUE</w:t>
      </w:r>
    </w:p>
    <w:p w:rsidR="002F5D64" w:rsidRPr="00A81216" w:rsidRDefault="002F5D64" w:rsidP="004B7FA6">
      <w:pPr>
        <w:ind w:right="46"/>
        <w:rPr>
          <w:lang w:val="fr-FR"/>
        </w:rPr>
      </w:pPr>
    </w:p>
    <w:p w:rsidR="000F781F" w:rsidRPr="000F781F" w:rsidRDefault="000F781F" w:rsidP="000F781F">
      <w:pPr>
        <w:rPr>
          <w:szCs w:val="22"/>
          <w:u w:val="single"/>
          <w:lang w:val="fr-FR" w:eastAsia="en-US"/>
        </w:rPr>
      </w:pPr>
      <w:r w:rsidRPr="000F781F">
        <w:rPr>
          <w:szCs w:val="22"/>
          <w:u w:val="single"/>
          <w:lang w:val="fr-FR" w:eastAsia="en-US"/>
        </w:rPr>
        <w:t>Article 2</w:t>
      </w:r>
      <w:r w:rsidRPr="000F781F">
        <w:rPr>
          <w:szCs w:val="22"/>
          <w:lang w:val="fr-FR" w:eastAsia="en-US"/>
        </w:rPr>
        <w:t xml:space="preserve"> : </w:t>
      </w:r>
      <w:r w:rsidRPr="000F781F">
        <w:rPr>
          <w:szCs w:val="22"/>
          <w:lang w:val="fr-FR" w:eastAsia="en-US"/>
        </w:rPr>
        <w:tab/>
      </w:r>
      <w:r w:rsidRPr="000F781F">
        <w:rPr>
          <w:szCs w:val="22"/>
          <w:u w:val="single"/>
          <w:lang w:val="fr-FR" w:eastAsia="en-US"/>
        </w:rPr>
        <w:t>Composition de la conférence</w:t>
      </w:r>
    </w:p>
    <w:p w:rsidR="00F646D8" w:rsidRPr="00A81216" w:rsidRDefault="00F646D8" w:rsidP="00F646D8">
      <w:pPr>
        <w:rPr>
          <w:rStyle w:val="underline"/>
          <w:szCs w:val="22"/>
          <w:lang w:val="fr-FR"/>
        </w:rPr>
      </w:pPr>
    </w:p>
    <w:p w:rsidR="00F646D8" w:rsidRPr="00A81216" w:rsidRDefault="00F646D8" w:rsidP="00F646D8">
      <w:pPr>
        <w:pStyle w:val="ListParagraph"/>
        <w:numPr>
          <w:ilvl w:val="0"/>
          <w:numId w:val="17"/>
        </w:numPr>
        <w:tabs>
          <w:tab w:val="left" w:pos="567"/>
        </w:tabs>
        <w:ind w:left="567" w:hanging="567"/>
        <w:rPr>
          <w:szCs w:val="22"/>
          <w:lang w:val="fr-FR"/>
        </w:rPr>
      </w:pPr>
      <w:r w:rsidRPr="00A81216">
        <w:rPr>
          <w:szCs w:val="22"/>
          <w:lang w:val="fr-FR"/>
        </w:rPr>
        <w:t>La conférence se compose :</w:t>
      </w:r>
    </w:p>
    <w:p w:rsidR="00F646D8" w:rsidRPr="00A81216" w:rsidRDefault="00F646D8" w:rsidP="00F646D8">
      <w:pPr>
        <w:tabs>
          <w:tab w:val="left" w:pos="567"/>
        </w:tabs>
        <w:rPr>
          <w:szCs w:val="22"/>
          <w:lang w:val="fr-FR"/>
        </w:rPr>
      </w:pPr>
    </w:p>
    <w:p w:rsidR="00F646D8" w:rsidRPr="00A81216" w:rsidRDefault="00F646D8" w:rsidP="00F646D8">
      <w:pPr>
        <w:pStyle w:val="imarge"/>
        <w:numPr>
          <w:ilvl w:val="0"/>
          <w:numId w:val="18"/>
        </w:numPr>
        <w:tabs>
          <w:tab w:val="clear" w:pos="1021"/>
          <w:tab w:val="right" w:pos="567"/>
          <w:tab w:val="left" w:pos="1134"/>
        </w:tabs>
        <w:ind w:left="567" w:firstLine="0"/>
        <w:rPr>
          <w:rFonts w:ascii="Arial" w:hAnsi="Arial" w:cs="Arial"/>
          <w:sz w:val="22"/>
          <w:szCs w:val="22"/>
          <w:lang w:val="fr-FR"/>
        </w:rPr>
      </w:pPr>
      <w:r w:rsidRPr="00A81216">
        <w:rPr>
          <w:rFonts w:ascii="Arial" w:hAnsi="Arial" w:cs="Arial"/>
          <w:sz w:val="22"/>
          <w:szCs w:val="22"/>
          <w:lang w:val="fr-FR"/>
        </w:rPr>
        <w:t>des délégations des États membres de l</w:t>
      </w:r>
      <w:r w:rsidR="0034197B" w:rsidRPr="00A81216">
        <w:rPr>
          <w:rFonts w:ascii="Arial" w:hAnsi="Arial" w:cs="Arial"/>
          <w:sz w:val="22"/>
          <w:szCs w:val="22"/>
          <w:lang w:val="fr-FR"/>
        </w:rPr>
        <w:t>’</w:t>
      </w:r>
      <w:r w:rsidRPr="00A81216">
        <w:rPr>
          <w:rFonts w:ascii="Arial" w:hAnsi="Arial" w:cs="Arial"/>
          <w:sz w:val="22"/>
          <w:szCs w:val="22"/>
          <w:lang w:val="fr-FR"/>
        </w:rPr>
        <w:t>Organisation Mondiale de la Propriété Intellectuelle (ci</w:t>
      </w:r>
      <w:r w:rsidRPr="00A81216">
        <w:rPr>
          <w:rFonts w:ascii="Arial" w:hAnsi="Arial" w:cs="Arial"/>
          <w:sz w:val="22"/>
          <w:szCs w:val="22"/>
          <w:lang w:val="fr-FR"/>
        </w:rPr>
        <w:noBreakHyphen/>
        <w:t xml:space="preserve">après dénommées </w:t>
      </w:r>
      <w:r w:rsidR="0034197B" w:rsidRPr="00A81216">
        <w:rPr>
          <w:rFonts w:ascii="Arial" w:hAnsi="Arial" w:cs="Arial"/>
          <w:sz w:val="22"/>
          <w:szCs w:val="22"/>
          <w:lang w:val="fr-FR"/>
        </w:rPr>
        <w:t>“</w:t>
      </w:r>
      <w:r w:rsidRPr="00A81216">
        <w:rPr>
          <w:rFonts w:ascii="Arial" w:hAnsi="Arial" w:cs="Arial"/>
          <w:sz w:val="22"/>
          <w:szCs w:val="22"/>
          <w:lang w:val="fr-FR"/>
        </w:rPr>
        <w:t>délégations membres</w:t>
      </w:r>
      <w:r w:rsidR="0034197B" w:rsidRPr="00A81216">
        <w:rPr>
          <w:rFonts w:ascii="Arial" w:hAnsi="Arial" w:cs="Arial"/>
          <w:sz w:val="22"/>
          <w:szCs w:val="22"/>
          <w:lang w:val="fr-FR"/>
        </w:rPr>
        <w:t>”</w:t>
      </w:r>
      <w:r w:rsidRPr="00A81216">
        <w:rPr>
          <w:rFonts w:ascii="Arial" w:hAnsi="Arial" w:cs="Arial"/>
          <w:sz w:val="22"/>
          <w:szCs w:val="22"/>
          <w:lang w:val="fr-FR"/>
        </w:rPr>
        <w:t>);</w:t>
      </w:r>
    </w:p>
    <w:p w:rsidR="00F646D8" w:rsidRPr="00A81216" w:rsidRDefault="00F646D8" w:rsidP="00F646D8">
      <w:pPr>
        <w:pStyle w:val="imarge"/>
        <w:tabs>
          <w:tab w:val="clear" w:pos="1021"/>
          <w:tab w:val="right" w:pos="567"/>
          <w:tab w:val="left" w:pos="1134"/>
        </w:tabs>
        <w:ind w:left="567"/>
        <w:rPr>
          <w:rFonts w:ascii="Arial" w:hAnsi="Arial" w:cs="Arial"/>
          <w:sz w:val="22"/>
          <w:szCs w:val="22"/>
          <w:lang w:val="fr-FR"/>
        </w:rPr>
      </w:pPr>
    </w:p>
    <w:p w:rsidR="00F646D8" w:rsidRPr="00A81216" w:rsidRDefault="00F646D8" w:rsidP="00F646D8">
      <w:pPr>
        <w:pStyle w:val="imarge"/>
        <w:numPr>
          <w:ilvl w:val="0"/>
          <w:numId w:val="18"/>
        </w:numPr>
        <w:tabs>
          <w:tab w:val="clear" w:pos="1021"/>
          <w:tab w:val="clear" w:pos="1418"/>
          <w:tab w:val="left" w:pos="1134"/>
        </w:tabs>
        <w:ind w:left="567" w:firstLine="0"/>
        <w:rPr>
          <w:rFonts w:ascii="Arial" w:hAnsi="Arial" w:cs="Arial"/>
          <w:sz w:val="22"/>
          <w:szCs w:val="22"/>
          <w:lang w:val="fr-FR"/>
        </w:rPr>
      </w:pPr>
      <w:r w:rsidRPr="00A81216">
        <w:rPr>
          <w:rFonts w:ascii="Arial" w:hAnsi="Arial" w:cs="Arial"/>
          <w:sz w:val="22"/>
          <w:szCs w:val="22"/>
          <w:lang w:val="fr-FR"/>
        </w:rPr>
        <w:t>des délégations de l</w:t>
      </w:r>
      <w:r w:rsidR="0034197B" w:rsidRPr="00A81216">
        <w:rPr>
          <w:rFonts w:ascii="Arial" w:hAnsi="Arial" w:cs="Arial"/>
          <w:sz w:val="22"/>
          <w:szCs w:val="22"/>
          <w:lang w:val="fr-FR"/>
        </w:rPr>
        <w:t>’</w:t>
      </w:r>
      <w:r w:rsidRPr="00A81216">
        <w:rPr>
          <w:rFonts w:ascii="Arial" w:hAnsi="Arial" w:cs="Arial"/>
          <w:sz w:val="22"/>
          <w:szCs w:val="22"/>
          <w:lang w:val="fr-FR"/>
        </w:rPr>
        <w:t>Organisation africaine de la propriété intellectuelle et de l</w:t>
      </w:r>
      <w:r w:rsidR="0034197B" w:rsidRPr="00A81216">
        <w:rPr>
          <w:rFonts w:ascii="Arial" w:hAnsi="Arial" w:cs="Arial"/>
          <w:sz w:val="22"/>
          <w:szCs w:val="22"/>
          <w:lang w:val="fr-FR"/>
        </w:rPr>
        <w:t>’</w:t>
      </w:r>
      <w:r w:rsidRPr="00A81216">
        <w:rPr>
          <w:rFonts w:ascii="Arial" w:hAnsi="Arial" w:cs="Arial"/>
          <w:sz w:val="22"/>
          <w:szCs w:val="22"/>
          <w:lang w:val="fr-FR"/>
        </w:rPr>
        <w:t>Union européenne (ci</w:t>
      </w:r>
      <w:r w:rsidRPr="00A81216">
        <w:rPr>
          <w:rFonts w:ascii="Arial" w:hAnsi="Arial" w:cs="Arial"/>
          <w:sz w:val="22"/>
          <w:szCs w:val="22"/>
          <w:lang w:val="fr-FR"/>
        </w:rPr>
        <w:noBreakHyphen/>
        <w:t xml:space="preserve">après dénommées </w:t>
      </w:r>
      <w:r w:rsidR="0034197B" w:rsidRPr="00A81216">
        <w:rPr>
          <w:rFonts w:ascii="Arial" w:hAnsi="Arial" w:cs="Arial"/>
          <w:sz w:val="22"/>
          <w:szCs w:val="22"/>
          <w:lang w:val="fr-FR"/>
        </w:rPr>
        <w:t>“</w:t>
      </w:r>
      <w:r w:rsidRPr="00A81216">
        <w:rPr>
          <w:rFonts w:ascii="Arial" w:hAnsi="Arial" w:cs="Arial"/>
          <w:sz w:val="22"/>
          <w:szCs w:val="22"/>
          <w:lang w:val="fr-FR"/>
        </w:rPr>
        <w:t>délégations spéciales</w:t>
      </w:r>
      <w:r w:rsidR="0034197B" w:rsidRPr="00A81216">
        <w:rPr>
          <w:rFonts w:ascii="Arial" w:hAnsi="Arial" w:cs="Arial"/>
          <w:sz w:val="22"/>
          <w:szCs w:val="22"/>
          <w:lang w:val="fr-FR"/>
        </w:rPr>
        <w:t>”</w:t>
      </w:r>
      <w:r w:rsidRPr="00A81216">
        <w:rPr>
          <w:rFonts w:ascii="Arial" w:hAnsi="Arial" w:cs="Arial"/>
          <w:sz w:val="22"/>
          <w:szCs w:val="22"/>
          <w:lang w:val="fr-FR"/>
        </w:rPr>
        <w:t>);</w:t>
      </w:r>
    </w:p>
    <w:p w:rsidR="00F646D8" w:rsidRPr="00A81216" w:rsidRDefault="00F646D8" w:rsidP="00F646D8">
      <w:pPr>
        <w:pStyle w:val="imarge"/>
        <w:tabs>
          <w:tab w:val="clear" w:pos="1021"/>
          <w:tab w:val="clear" w:pos="1418"/>
          <w:tab w:val="left" w:pos="567"/>
        </w:tabs>
        <w:ind w:left="567" w:hanging="567"/>
        <w:rPr>
          <w:rFonts w:ascii="Arial" w:hAnsi="Arial" w:cs="Arial"/>
          <w:sz w:val="22"/>
          <w:szCs w:val="22"/>
          <w:lang w:val="fr-FR"/>
        </w:rPr>
      </w:pPr>
    </w:p>
    <w:p w:rsidR="00F646D8" w:rsidRPr="00A81216" w:rsidRDefault="00F646D8" w:rsidP="00F646D8">
      <w:pPr>
        <w:autoSpaceDE w:val="0"/>
        <w:autoSpaceDN w:val="0"/>
        <w:adjustRightInd w:val="0"/>
        <w:ind w:left="567"/>
        <w:rPr>
          <w:szCs w:val="22"/>
          <w:lang w:val="fr-FR"/>
        </w:rPr>
      </w:pPr>
      <w:r w:rsidRPr="00A81216">
        <w:rPr>
          <w:szCs w:val="22"/>
          <w:lang w:val="fr-FR"/>
        </w:rPr>
        <w:t>iii)</w:t>
      </w:r>
      <w:r w:rsidRPr="00A81216">
        <w:rPr>
          <w:szCs w:val="22"/>
          <w:lang w:val="fr-FR"/>
        </w:rPr>
        <w:tab/>
        <w:t>des délégations des États membres de l</w:t>
      </w:r>
      <w:r w:rsidR="0034197B" w:rsidRPr="00A81216">
        <w:rPr>
          <w:szCs w:val="22"/>
          <w:lang w:val="fr-FR"/>
        </w:rPr>
        <w:t>’</w:t>
      </w:r>
      <w:r w:rsidRPr="00A81216">
        <w:rPr>
          <w:szCs w:val="22"/>
          <w:lang w:val="fr-FR"/>
        </w:rPr>
        <w:t>Organisation des Nations Unies qui ne sont pas membres de l</w:t>
      </w:r>
      <w:r w:rsidR="0034197B" w:rsidRPr="00A81216">
        <w:rPr>
          <w:szCs w:val="22"/>
          <w:lang w:val="fr-FR"/>
        </w:rPr>
        <w:t>’</w:t>
      </w:r>
      <w:r w:rsidRPr="00A81216">
        <w:rPr>
          <w:szCs w:val="22"/>
          <w:lang w:val="fr-FR"/>
        </w:rPr>
        <w:t>Organisation Mondiale de la Propriété Intellectuelle (ci</w:t>
      </w:r>
      <w:r w:rsidRPr="00A81216">
        <w:rPr>
          <w:szCs w:val="22"/>
          <w:lang w:val="fr-FR"/>
        </w:rPr>
        <w:noBreakHyphen/>
        <w:t xml:space="preserve">après dénommées </w:t>
      </w:r>
      <w:r w:rsidR="0034197B" w:rsidRPr="00A81216">
        <w:rPr>
          <w:szCs w:val="22"/>
          <w:lang w:val="fr-FR"/>
        </w:rPr>
        <w:t>“</w:t>
      </w:r>
      <w:r w:rsidRPr="00A81216">
        <w:rPr>
          <w:szCs w:val="22"/>
          <w:lang w:val="fr-FR"/>
        </w:rPr>
        <w:t>délégations observatrices</w:t>
      </w:r>
      <w:r w:rsidR="0034197B" w:rsidRPr="00A81216">
        <w:rPr>
          <w:szCs w:val="22"/>
          <w:lang w:val="fr-FR"/>
        </w:rPr>
        <w:t>”</w:t>
      </w:r>
      <w:r w:rsidRPr="00A81216">
        <w:rPr>
          <w:szCs w:val="22"/>
          <w:lang w:val="fr-FR"/>
        </w:rPr>
        <w:t>);  et</w:t>
      </w:r>
    </w:p>
    <w:p w:rsidR="00F646D8" w:rsidRPr="00A81216" w:rsidRDefault="00F646D8" w:rsidP="00F646D8">
      <w:pPr>
        <w:pStyle w:val="imarge"/>
        <w:tabs>
          <w:tab w:val="clear" w:pos="1021"/>
          <w:tab w:val="right" w:pos="567"/>
          <w:tab w:val="left" w:pos="1134"/>
        </w:tabs>
        <w:ind w:left="567"/>
        <w:rPr>
          <w:rFonts w:ascii="Arial" w:hAnsi="Arial" w:cs="Arial"/>
          <w:sz w:val="22"/>
          <w:szCs w:val="22"/>
          <w:lang w:val="fr-FR"/>
        </w:rPr>
      </w:pPr>
    </w:p>
    <w:p w:rsidR="00F646D8" w:rsidRPr="00A81216" w:rsidRDefault="00F646D8" w:rsidP="00F646D8">
      <w:pPr>
        <w:pStyle w:val="imarge"/>
        <w:tabs>
          <w:tab w:val="clear" w:pos="1021"/>
          <w:tab w:val="clear" w:pos="1418"/>
          <w:tab w:val="left" w:pos="1134"/>
        </w:tabs>
        <w:ind w:left="567"/>
        <w:rPr>
          <w:rFonts w:ascii="Arial" w:hAnsi="Arial" w:cs="Arial"/>
          <w:sz w:val="22"/>
          <w:szCs w:val="22"/>
          <w:lang w:val="fr-FR"/>
        </w:rPr>
      </w:pPr>
      <w:r w:rsidRPr="00A81216">
        <w:rPr>
          <w:rFonts w:ascii="Arial" w:hAnsi="Arial" w:cs="Arial"/>
          <w:sz w:val="22"/>
          <w:szCs w:val="22"/>
          <w:lang w:val="fr-FR"/>
        </w:rPr>
        <w:t>iv)</w:t>
      </w:r>
      <w:r w:rsidRPr="00A81216">
        <w:rPr>
          <w:rFonts w:ascii="Arial" w:hAnsi="Arial" w:cs="Arial"/>
          <w:sz w:val="22"/>
          <w:szCs w:val="22"/>
          <w:lang w:val="fr-FR"/>
        </w:rPr>
        <w:tab/>
        <w:t>des représentants d</w:t>
      </w:r>
      <w:r w:rsidR="0034197B" w:rsidRPr="00A81216">
        <w:rPr>
          <w:rFonts w:ascii="Arial" w:hAnsi="Arial" w:cs="Arial"/>
          <w:sz w:val="22"/>
          <w:szCs w:val="22"/>
          <w:lang w:val="fr-FR"/>
        </w:rPr>
        <w:t>’</w:t>
      </w:r>
      <w:r w:rsidRPr="00A81216">
        <w:rPr>
          <w:rFonts w:ascii="Arial" w:hAnsi="Arial" w:cs="Arial"/>
          <w:sz w:val="22"/>
          <w:szCs w:val="22"/>
          <w:lang w:val="fr-FR"/>
        </w:rPr>
        <w:t>organisations intergouvernementales et non gouvernementales ou autres invitées à la conférence en qualité d</w:t>
      </w:r>
      <w:r w:rsidR="0034197B" w:rsidRPr="00A81216">
        <w:rPr>
          <w:rFonts w:ascii="Arial" w:hAnsi="Arial" w:cs="Arial"/>
          <w:sz w:val="22"/>
          <w:szCs w:val="22"/>
          <w:lang w:val="fr-FR"/>
        </w:rPr>
        <w:t>’</w:t>
      </w:r>
      <w:r w:rsidRPr="00A81216">
        <w:rPr>
          <w:rFonts w:ascii="Arial" w:hAnsi="Arial" w:cs="Arial"/>
          <w:sz w:val="22"/>
          <w:szCs w:val="22"/>
          <w:lang w:val="fr-FR"/>
        </w:rPr>
        <w:t>observatrices (ci</w:t>
      </w:r>
      <w:r w:rsidRPr="00A81216">
        <w:rPr>
          <w:rFonts w:ascii="Arial" w:hAnsi="Arial" w:cs="Arial"/>
          <w:sz w:val="22"/>
          <w:szCs w:val="22"/>
          <w:lang w:val="fr-FR"/>
        </w:rPr>
        <w:noBreakHyphen/>
        <w:t xml:space="preserve">après dénommés </w:t>
      </w:r>
      <w:r w:rsidR="0034197B" w:rsidRPr="00A81216">
        <w:rPr>
          <w:rFonts w:ascii="Arial" w:hAnsi="Arial" w:cs="Arial"/>
          <w:sz w:val="22"/>
          <w:szCs w:val="22"/>
          <w:lang w:val="fr-FR"/>
        </w:rPr>
        <w:t>“</w:t>
      </w:r>
      <w:r w:rsidRPr="00A81216">
        <w:rPr>
          <w:rFonts w:ascii="Arial" w:hAnsi="Arial" w:cs="Arial"/>
          <w:sz w:val="22"/>
          <w:szCs w:val="22"/>
          <w:lang w:val="fr-FR"/>
        </w:rPr>
        <w:t>observateurs</w:t>
      </w:r>
      <w:r w:rsidR="0034197B" w:rsidRPr="00A81216">
        <w:rPr>
          <w:rFonts w:ascii="Arial" w:hAnsi="Arial" w:cs="Arial"/>
          <w:sz w:val="22"/>
          <w:szCs w:val="22"/>
          <w:lang w:val="fr-FR"/>
        </w:rPr>
        <w:t>”</w:t>
      </w:r>
      <w:r w:rsidRPr="00A81216">
        <w:rPr>
          <w:rFonts w:ascii="Arial" w:hAnsi="Arial" w:cs="Arial"/>
          <w:sz w:val="22"/>
          <w:szCs w:val="22"/>
          <w:lang w:val="fr-FR"/>
        </w:rPr>
        <w:t>).</w:t>
      </w:r>
    </w:p>
    <w:p w:rsidR="00F646D8" w:rsidRPr="00A81216" w:rsidRDefault="00F646D8" w:rsidP="00F646D8">
      <w:pPr>
        <w:pStyle w:val="imarge"/>
        <w:tabs>
          <w:tab w:val="clear" w:pos="1021"/>
          <w:tab w:val="clear" w:pos="1418"/>
          <w:tab w:val="left" w:pos="567"/>
          <w:tab w:val="left" w:pos="1134"/>
        </w:tabs>
        <w:ind w:left="567" w:hanging="567"/>
        <w:rPr>
          <w:rFonts w:ascii="Arial" w:hAnsi="Arial" w:cs="Arial"/>
          <w:sz w:val="22"/>
          <w:szCs w:val="22"/>
          <w:lang w:val="fr-FR"/>
        </w:rPr>
      </w:pPr>
    </w:p>
    <w:p w:rsidR="00F646D8" w:rsidRPr="00A81216" w:rsidRDefault="00F646D8" w:rsidP="00F646D8">
      <w:pPr>
        <w:rPr>
          <w:szCs w:val="22"/>
          <w:lang w:val="fr-FR"/>
        </w:rPr>
      </w:pPr>
      <w:r w:rsidRPr="00A81216">
        <w:rPr>
          <w:szCs w:val="22"/>
          <w:lang w:val="fr-FR"/>
        </w:rPr>
        <w:t>2)</w:t>
      </w:r>
      <w:r w:rsidRPr="00A81216">
        <w:rPr>
          <w:szCs w:val="22"/>
          <w:lang w:val="fr-FR"/>
        </w:rPr>
        <w:tab/>
        <w:t xml:space="preserve">Sauf indication expresse contraire (voir les articles 11.2), 33 et 34), le terme </w:t>
      </w:r>
      <w:r w:rsidR="0034197B" w:rsidRPr="00A81216">
        <w:rPr>
          <w:szCs w:val="22"/>
          <w:lang w:val="fr-FR"/>
        </w:rPr>
        <w:t>“</w:t>
      </w:r>
      <w:r w:rsidRPr="00A81216">
        <w:rPr>
          <w:szCs w:val="22"/>
          <w:lang w:val="fr-FR"/>
        </w:rPr>
        <w:t>délégations membres</w:t>
      </w:r>
      <w:r w:rsidR="0034197B" w:rsidRPr="00A81216">
        <w:rPr>
          <w:szCs w:val="22"/>
          <w:lang w:val="fr-FR"/>
        </w:rPr>
        <w:t>”</w:t>
      </w:r>
      <w:r w:rsidRPr="00A81216">
        <w:rPr>
          <w:szCs w:val="22"/>
          <w:lang w:val="fr-FR"/>
        </w:rPr>
        <w:t xml:space="preserve"> désigne aussi les délégations spéciales.</w:t>
      </w:r>
    </w:p>
    <w:p w:rsidR="00F646D8" w:rsidRPr="00A81216" w:rsidRDefault="00F646D8" w:rsidP="00F646D8">
      <w:pPr>
        <w:rPr>
          <w:szCs w:val="22"/>
          <w:lang w:val="fr-FR"/>
        </w:rPr>
      </w:pPr>
    </w:p>
    <w:p w:rsidR="00F646D8" w:rsidRPr="00A81216" w:rsidRDefault="00F646D8" w:rsidP="00F646D8">
      <w:pPr>
        <w:rPr>
          <w:szCs w:val="22"/>
          <w:lang w:val="fr-FR"/>
        </w:rPr>
      </w:pPr>
      <w:r w:rsidRPr="00A81216">
        <w:rPr>
          <w:szCs w:val="22"/>
          <w:lang w:val="fr-FR"/>
        </w:rPr>
        <w:t>3)</w:t>
      </w:r>
      <w:r w:rsidRPr="00A81216">
        <w:rPr>
          <w:szCs w:val="22"/>
          <w:lang w:val="fr-FR"/>
        </w:rPr>
        <w:tab/>
        <w:t xml:space="preserve">Le terme </w:t>
      </w:r>
      <w:r w:rsidR="0034197B" w:rsidRPr="00A81216">
        <w:rPr>
          <w:szCs w:val="22"/>
          <w:lang w:val="fr-FR"/>
        </w:rPr>
        <w:t>“</w:t>
      </w:r>
      <w:r w:rsidRPr="00A81216">
        <w:rPr>
          <w:szCs w:val="22"/>
          <w:lang w:val="fr-FR"/>
        </w:rPr>
        <w:t>délégations</w:t>
      </w:r>
      <w:r w:rsidR="0034197B" w:rsidRPr="00A81216">
        <w:rPr>
          <w:szCs w:val="22"/>
          <w:lang w:val="fr-FR"/>
        </w:rPr>
        <w:t>”</w:t>
      </w:r>
      <w:r w:rsidRPr="00A81216">
        <w:rPr>
          <w:szCs w:val="22"/>
          <w:lang w:val="fr-FR"/>
        </w:rPr>
        <w:t xml:space="preserve"> désigne dans le présent règlement les trois types de délégations (délégations membres, délégations spéciales et délégations observatrices) mais n</w:t>
      </w:r>
      <w:r w:rsidR="0034197B" w:rsidRPr="00A81216">
        <w:rPr>
          <w:szCs w:val="22"/>
          <w:lang w:val="fr-FR"/>
        </w:rPr>
        <w:t>’</w:t>
      </w:r>
      <w:r w:rsidRPr="00A81216">
        <w:rPr>
          <w:szCs w:val="22"/>
          <w:lang w:val="fr-FR"/>
        </w:rPr>
        <w:t>inclut pas les observateurs.</w:t>
      </w:r>
    </w:p>
    <w:p w:rsidR="0034197B" w:rsidRPr="00A81216" w:rsidRDefault="0034197B" w:rsidP="0034197B">
      <w:pPr>
        <w:ind w:left="5533"/>
        <w:rPr>
          <w:lang w:val="fr-FR"/>
        </w:rPr>
      </w:pPr>
    </w:p>
    <w:p w:rsidR="00347E56" w:rsidRDefault="00F646D8" w:rsidP="0034197B">
      <w:pPr>
        <w:ind w:left="5533"/>
        <w:rPr>
          <w:lang w:val="fr-FR"/>
        </w:rPr>
        <w:sectPr w:rsidR="00347E56" w:rsidSect="00D44EC8">
          <w:headerReference w:type="default" r:id="rId10"/>
          <w:footnotePr>
            <w:numFmt w:val="chicago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2"/>
          <w:cols w:space="720"/>
          <w:titlePg/>
          <w:docGrid w:linePitch="299"/>
        </w:sectPr>
      </w:pPr>
      <w:r w:rsidRPr="00A81216">
        <w:rPr>
          <w:lang w:val="fr-FR"/>
        </w:rPr>
        <w:t>[L</w:t>
      </w:r>
      <w:r w:rsidR="0034197B" w:rsidRPr="00A81216">
        <w:rPr>
          <w:lang w:val="fr-FR"/>
        </w:rPr>
        <w:t>’</w:t>
      </w:r>
      <w:r w:rsidRPr="00A81216">
        <w:rPr>
          <w:lang w:val="fr-FR"/>
        </w:rPr>
        <w:t>annexe suit]</w:t>
      </w:r>
      <w:r w:rsidR="001E6960" w:rsidRPr="00A81216">
        <w:rPr>
          <w:lang w:val="fr-FR"/>
        </w:rPr>
        <w:t xml:space="preserve"> </w:t>
      </w:r>
    </w:p>
    <w:p w:rsidR="0034197B" w:rsidRPr="00A81216" w:rsidRDefault="0034197B" w:rsidP="0034197B">
      <w:pPr>
        <w:ind w:left="5533"/>
        <w:rPr>
          <w:szCs w:val="22"/>
          <w:u w:val="single"/>
          <w:lang w:val="fr-FR"/>
        </w:rPr>
      </w:pPr>
    </w:p>
    <w:p w:rsidR="00F56DCA" w:rsidRPr="000E0169" w:rsidRDefault="000E0169" w:rsidP="00F56DCA">
      <w:pPr>
        <w:rPr>
          <w:szCs w:val="22"/>
          <w:lang w:val="fr-FR"/>
        </w:rPr>
      </w:pPr>
      <w:r w:rsidRPr="000E0169">
        <w:rPr>
          <w:szCs w:val="22"/>
          <w:lang w:val="fr-FR"/>
        </w:rPr>
        <w:t xml:space="preserve">EXEMPLES DE RÈGLEMENTS INTÉRIEURS DE PRÉCÉDENTES CONFÉRENCES DIPLOMATIQUES DE L’OMPI – EXTRAITS CONCERNANT LA COMPOSITION </w:t>
      </w:r>
      <w:r>
        <w:rPr>
          <w:szCs w:val="22"/>
          <w:lang w:val="fr-FR"/>
        </w:rPr>
        <w:br/>
      </w:r>
      <w:r w:rsidRPr="000E0169">
        <w:rPr>
          <w:szCs w:val="22"/>
          <w:lang w:val="fr-FR"/>
        </w:rPr>
        <w:t>DE LA CONFÉRENCE</w:t>
      </w:r>
    </w:p>
    <w:p w:rsidR="00F56DCA" w:rsidRPr="00A81216" w:rsidRDefault="00F56DCA" w:rsidP="00F56DCA">
      <w:pPr>
        <w:pStyle w:val="TitleofDoc"/>
        <w:tabs>
          <w:tab w:val="left" w:pos="1276"/>
        </w:tabs>
        <w:spacing w:before="0"/>
        <w:jc w:val="left"/>
        <w:rPr>
          <w:rFonts w:ascii="Arial" w:hAnsi="Arial" w:cs="Arial"/>
          <w:b/>
          <w:caps w:val="0"/>
          <w:sz w:val="22"/>
          <w:szCs w:val="22"/>
          <w:lang w:val="fr-FR"/>
        </w:rPr>
      </w:pPr>
    </w:p>
    <w:p w:rsidR="00F56DCA" w:rsidRPr="00A81216" w:rsidRDefault="00F56DCA" w:rsidP="00F56DCA">
      <w:pPr>
        <w:pStyle w:val="TitleofDoc"/>
        <w:tabs>
          <w:tab w:val="left" w:pos="1276"/>
        </w:tabs>
        <w:spacing w:before="0"/>
        <w:jc w:val="left"/>
        <w:rPr>
          <w:rFonts w:ascii="Arial" w:hAnsi="Arial" w:cs="Arial"/>
          <w:b/>
          <w:caps w:val="0"/>
          <w:sz w:val="22"/>
          <w:szCs w:val="22"/>
          <w:lang w:val="fr-FR"/>
        </w:rPr>
      </w:pPr>
    </w:p>
    <w:p w:rsidR="00F56DCA" w:rsidRPr="00A81216" w:rsidRDefault="00F56DCA" w:rsidP="00F56DCA">
      <w:pPr>
        <w:pStyle w:val="TitleofDoc"/>
        <w:tabs>
          <w:tab w:val="left" w:pos="1276"/>
        </w:tabs>
        <w:spacing w:before="0"/>
        <w:jc w:val="left"/>
        <w:rPr>
          <w:rFonts w:ascii="Arial" w:hAnsi="Arial" w:cs="Arial"/>
          <w:b/>
          <w:caps w:val="0"/>
          <w:sz w:val="22"/>
          <w:szCs w:val="22"/>
          <w:lang w:val="fr-FR"/>
        </w:rPr>
      </w:pPr>
      <w:r w:rsidRPr="00A81216">
        <w:rPr>
          <w:rFonts w:ascii="Arial" w:hAnsi="Arial" w:cs="Arial"/>
          <w:b/>
          <w:caps w:val="0"/>
          <w:sz w:val="22"/>
          <w:szCs w:val="22"/>
          <w:lang w:val="fr-FR"/>
        </w:rPr>
        <w:t>Article 2 du règlement intérieur de la Conférence diplomatique pour l</w:t>
      </w:r>
      <w:r w:rsidR="0034197B" w:rsidRPr="00A81216">
        <w:rPr>
          <w:rFonts w:ascii="Arial" w:hAnsi="Arial" w:cs="Arial"/>
          <w:b/>
          <w:caps w:val="0"/>
          <w:sz w:val="22"/>
          <w:szCs w:val="22"/>
          <w:lang w:val="fr-FR"/>
        </w:rPr>
        <w:t>’</w:t>
      </w:r>
      <w:r w:rsidRPr="00A81216">
        <w:rPr>
          <w:rFonts w:ascii="Arial" w:hAnsi="Arial" w:cs="Arial"/>
          <w:b/>
          <w:caps w:val="0"/>
          <w:sz w:val="22"/>
          <w:szCs w:val="22"/>
          <w:lang w:val="fr-FR"/>
        </w:rPr>
        <w:t>adoption d</w:t>
      </w:r>
      <w:r w:rsidR="0034197B" w:rsidRPr="00A81216">
        <w:rPr>
          <w:rFonts w:ascii="Arial" w:hAnsi="Arial" w:cs="Arial"/>
          <w:b/>
          <w:caps w:val="0"/>
          <w:sz w:val="22"/>
          <w:szCs w:val="22"/>
          <w:lang w:val="fr-FR"/>
        </w:rPr>
        <w:t>’</w:t>
      </w:r>
      <w:r w:rsidRPr="00A81216">
        <w:rPr>
          <w:rFonts w:ascii="Arial" w:hAnsi="Arial" w:cs="Arial"/>
          <w:b/>
          <w:caps w:val="0"/>
          <w:sz w:val="22"/>
          <w:szCs w:val="22"/>
          <w:lang w:val="fr-FR"/>
        </w:rPr>
        <w:t>un nouvel Acte de l</w:t>
      </w:r>
      <w:r w:rsidR="0034197B" w:rsidRPr="00A81216">
        <w:rPr>
          <w:rFonts w:ascii="Arial" w:hAnsi="Arial" w:cs="Arial"/>
          <w:b/>
          <w:caps w:val="0"/>
          <w:sz w:val="22"/>
          <w:szCs w:val="22"/>
          <w:lang w:val="fr-FR"/>
        </w:rPr>
        <w:t>’</w:t>
      </w:r>
      <w:r w:rsidRPr="00A81216">
        <w:rPr>
          <w:rFonts w:ascii="Arial" w:hAnsi="Arial" w:cs="Arial"/>
          <w:b/>
          <w:caps w:val="0"/>
          <w:sz w:val="22"/>
          <w:szCs w:val="22"/>
          <w:lang w:val="fr-FR"/>
        </w:rPr>
        <w:t>Arrangement de La Haye concernant le dépôt international des dessins et modèles industriels (Genève, 1999) – document H/DC/12</w:t>
      </w:r>
    </w:p>
    <w:p w:rsidR="00F56DCA" w:rsidRPr="00A81216" w:rsidRDefault="00F56DCA" w:rsidP="00F56DCA">
      <w:pPr>
        <w:rPr>
          <w:szCs w:val="22"/>
          <w:lang w:val="fr-FR"/>
        </w:rPr>
      </w:pPr>
    </w:p>
    <w:p w:rsidR="00F56DCA" w:rsidRPr="00A81216" w:rsidRDefault="00F56DCA" w:rsidP="00F56DCA">
      <w:pPr>
        <w:tabs>
          <w:tab w:val="left" w:pos="1418"/>
        </w:tabs>
        <w:rPr>
          <w:szCs w:val="22"/>
          <w:lang w:val="fr-FR"/>
        </w:rPr>
      </w:pPr>
      <w:r w:rsidRPr="00A81216">
        <w:rPr>
          <w:szCs w:val="22"/>
          <w:u w:val="single"/>
          <w:lang w:val="fr-FR"/>
        </w:rPr>
        <w:t>Article 2</w:t>
      </w:r>
      <w:r w:rsidRPr="00A81216">
        <w:rPr>
          <w:szCs w:val="22"/>
          <w:lang w:val="fr-FR"/>
        </w:rPr>
        <w:t xml:space="preserve"> : </w:t>
      </w:r>
      <w:r w:rsidRPr="00A81216">
        <w:rPr>
          <w:szCs w:val="22"/>
          <w:lang w:val="fr-FR"/>
        </w:rPr>
        <w:tab/>
      </w:r>
      <w:r w:rsidRPr="00A81216">
        <w:rPr>
          <w:szCs w:val="22"/>
          <w:u w:val="single"/>
          <w:lang w:val="fr-FR"/>
        </w:rPr>
        <w:t>Composition de la conférence</w:t>
      </w:r>
    </w:p>
    <w:p w:rsidR="00F56DCA" w:rsidRPr="00A81216" w:rsidRDefault="00F56DCA" w:rsidP="00F56DCA">
      <w:pPr>
        <w:rPr>
          <w:szCs w:val="22"/>
          <w:lang w:val="fr-FR"/>
        </w:rPr>
      </w:pPr>
    </w:p>
    <w:p w:rsidR="00F56DCA" w:rsidRPr="00A81216" w:rsidRDefault="00F56DCA" w:rsidP="00F56DCA">
      <w:pPr>
        <w:rPr>
          <w:szCs w:val="22"/>
          <w:lang w:val="fr-FR"/>
        </w:rPr>
      </w:pPr>
      <w:r w:rsidRPr="00A81216">
        <w:rPr>
          <w:szCs w:val="22"/>
          <w:lang w:val="fr-FR"/>
        </w:rPr>
        <w:t>1)</w:t>
      </w:r>
      <w:r w:rsidRPr="00A81216">
        <w:rPr>
          <w:szCs w:val="22"/>
          <w:lang w:val="fr-FR"/>
        </w:rPr>
        <w:tab/>
        <w:t>La conférence se compose</w:t>
      </w:r>
    </w:p>
    <w:p w:rsidR="00F56DCA" w:rsidRPr="00A81216" w:rsidRDefault="00F56DCA" w:rsidP="00F56DCA">
      <w:pPr>
        <w:ind w:left="567"/>
        <w:rPr>
          <w:szCs w:val="22"/>
          <w:lang w:val="fr-FR"/>
        </w:rPr>
      </w:pPr>
    </w:p>
    <w:p w:rsidR="00F56DCA" w:rsidRPr="00A81216" w:rsidRDefault="00F56DCA" w:rsidP="00F56DCA">
      <w:pPr>
        <w:ind w:left="567"/>
        <w:rPr>
          <w:szCs w:val="22"/>
          <w:lang w:val="fr-FR"/>
        </w:rPr>
      </w:pPr>
      <w:r w:rsidRPr="00A81216">
        <w:rPr>
          <w:szCs w:val="22"/>
          <w:lang w:val="fr-FR"/>
        </w:rPr>
        <w:t>i)</w:t>
      </w:r>
      <w:r w:rsidRPr="00A81216">
        <w:rPr>
          <w:szCs w:val="22"/>
          <w:lang w:val="fr-FR"/>
        </w:rPr>
        <w:tab/>
        <w:t>des délégations des États membres de l</w:t>
      </w:r>
      <w:r w:rsidR="0034197B" w:rsidRPr="00A81216">
        <w:rPr>
          <w:szCs w:val="22"/>
          <w:lang w:val="fr-FR"/>
        </w:rPr>
        <w:t>’</w:t>
      </w:r>
      <w:r w:rsidRPr="00A81216">
        <w:rPr>
          <w:szCs w:val="22"/>
          <w:lang w:val="fr-FR"/>
        </w:rPr>
        <w:t>Organisation Mondiale de la Propriété Intellectuelle (ci</w:t>
      </w:r>
      <w:r w:rsidRPr="00A81216">
        <w:rPr>
          <w:szCs w:val="22"/>
          <w:lang w:val="fr-FR"/>
        </w:rPr>
        <w:noBreakHyphen/>
        <w:t xml:space="preserve">après dénommées </w:t>
      </w:r>
      <w:r w:rsidR="0034197B" w:rsidRPr="00A81216">
        <w:rPr>
          <w:szCs w:val="22"/>
          <w:lang w:val="fr-FR"/>
        </w:rPr>
        <w:t>“</w:t>
      </w:r>
      <w:r w:rsidRPr="00A81216">
        <w:rPr>
          <w:szCs w:val="22"/>
          <w:lang w:val="fr-FR"/>
        </w:rPr>
        <w:t>délégations membres ordinaires</w:t>
      </w:r>
      <w:r w:rsidR="0034197B" w:rsidRPr="00A81216">
        <w:rPr>
          <w:szCs w:val="22"/>
          <w:lang w:val="fr-FR"/>
        </w:rPr>
        <w:t>”</w:t>
      </w:r>
      <w:r w:rsidRPr="00A81216">
        <w:rPr>
          <w:szCs w:val="22"/>
          <w:lang w:val="fr-FR"/>
        </w:rPr>
        <w:t>),</w:t>
      </w:r>
    </w:p>
    <w:p w:rsidR="00F56DCA" w:rsidRPr="00A81216" w:rsidRDefault="00F56DCA" w:rsidP="00F56DCA">
      <w:pPr>
        <w:ind w:left="567"/>
        <w:rPr>
          <w:szCs w:val="22"/>
          <w:lang w:val="fr-FR"/>
        </w:rPr>
      </w:pPr>
    </w:p>
    <w:p w:rsidR="00F56DCA" w:rsidRPr="00A81216" w:rsidRDefault="00F56DCA" w:rsidP="00F56DCA">
      <w:pPr>
        <w:ind w:left="567"/>
        <w:rPr>
          <w:szCs w:val="22"/>
          <w:lang w:val="fr-FR"/>
        </w:rPr>
      </w:pPr>
      <w:r w:rsidRPr="00A81216">
        <w:rPr>
          <w:szCs w:val="22"/>
          <w:lang w:val="fr-FR"/>
        </w:rPr>
        <w:t>ii)</w:t>
      </w:r>
      <w:r w:rsidRPr="00A81216">
        <w:rPr>
          <w:szCs w:val="22"/>
          <w:lang w:val="fr-FR"/>
        </w:rPr>
        <w:tab/>
        <w:t>des délégations de l</w:t>
      </w:r>
      <w:r w:rsidR="0034197B" w:rsidRPr="00A81216">
        <w:rPr>
          <w:szCs w:val="22"/>
          <w:lang w:val="fr-FR"/>
        </w:rPr>
        <w:t>’</w:t>
      </w:r>
      <w:r w:rsidRPr="00A81216">
        <w:rPr>
          <w:szCs w:val="22"/>
          <w:lang w:val="fr-FR"/>
        </w:rPr>
        <w:t>Organisation africaine de la propriété intellectuelle, de l</w:t>
      </w:r>
      <w:r w:rsidR="0034197B" w:rsidRPr="00A81216">
        <w:rPr>
          <w:szCs w:val="22"/>
          <w:lang w:val="fr-FR"/>
        </w:rPr>
        <w:t>’</w:t>
      </w:r>
      <w:r w:rsidRPr="00A81216">
        <w:rPr>
          <w:szCs w:val="22"/>
          <w:lang w:val="fr-FR"/>
        </w:rPr>
        <w:t>Organisation régionale africaine de la propriété industrielle et de la Communauté européenne (ci</w:t>
      </w:r>
      <w:r w:rsidRPr="00A81216">
        <w:rPr>
          <w:szCs w:val="22"/>
          <w:lang w:val="fr-FR"/>
        </w:rPr>
        <w:noBreakHyphen/>
        <w:t xml:space="preserve">après dénommées </w:t>
      </w:r>
      <w:r w:rsidR="0034197B" w:rsidRPr="00A81216">
        <w:rPr>
          <w:szCs w:val="22"/>
          <w:lang w:val="fr-FR"/>
        </w:rPr>
        <w:t>“</w:t>
      </w:r>
      <w:r w:rsidRPr="00A81216">
        <w:rPr>
          <w:szCs w:val="22"/>
          <w:lang w:val="fr-FR"/>
        </w:rPr>
        <w:t>délégations membres spéciales</w:t>
      </w:r>
      <w:r w:rsidR="0034197B" w:rsidRPr="00A81216">
        <w:rPr>
          <w:szCs w:val="22"/>
          <w:lang w:val="fr-FR"/>
        </w:rPr>
        <w:t>”</w:t>
      </w:r>
      <w:r w:rsidRPr="00A81216">
        <w:rPr>
          <w:szCs w:val="22"/>
          <w:lang w:val="fr-FR"/>
        </w:rPr>
        <w:t>),</w:t>
      </w:r>
    </w:p>
    <w:p w:rsidR="00F56DCA" w:rsidRPr="00A81216" w:rsidRDefault="00F56DCA" w:rsidP="00F56DCA">
      <w:pPr>
        <w:ind w:left="567"/>
        <w:rPr>
          <w:szCs w:val="22"/>
          <w:lang w:val="fr-FR"/>
        </w:rPr>
      </w:pPr>
    </w:p>
    <w:p w:rsidR="00F56DCA" w:rsidRPr="00A81216" w:rsidRDefault="00F56DCA" w:rsidP="00F56DCA">
      <w:pPr>
        <w:ind w:left="567"/>
        <w:rPr>
          <w:szCs w:val="22"/>
          <w:lang w:val="fr-FR"/>
        </w:rPr>
      </w:pPr>
      <w:r w:rsidRPr="00A81216">
        <w:rPr>
          <w:szCs w:val="22"/>
          <w:lang w:val="fr-FR"/>
        </w:rPr>
        <w:t>iii)</w:t>
      </w:r>
      <w:r w:rsidRPr="00A81216">
        <w:rPr>
          <w:szCs w:val="22"/>
          <w:lang w:val="fr-FR"/>
        </w:rPr>
        <w:tab/>
        <w:t>des délégations des États membres de l</w:t>
      </w:r>
      <w:r w:rsidR="0034197B" w:rsidRPr="00A81216">
        <w:rPr>
          <w:szCs w:val="22"/>
          <w:lang w:val="fr-FR"/>
        </w:rPr>
        <w:t>’</w:t>
      </w:r>
      <w:r w:rsidRPr="00A81216">
        <w:rPr>
          <w:szCs w:val="22"/>
          <w:lang w:val="fr-FR"/>
        </w:rPr>
        <w:t>Organisation des Nations Unies qui ne sont pas membres de l</w:t>
      </w:r>
      <w:r w:rsidR="0034197B" w:rsidRPr="00A81216">
        <w:rPr>
          <w:szCs w:val="22"/>
          <w:lang w:val="fr-FR"/>
        </w:rPr>
        <w:t>’</w:t>
      </w:r>
      <w:r w:rsidRPr="00A81216">
        <w:rPr>
          <w:szCs w:val="22"/>
          <w:lang w:val="fr-FR"/>
        </w:rPr>
        <w:t>Organisation Mondiale de la Propriété Intellectuelle et qui sont invités à la conférence en qualité d</w:t>
      </w:r>
      <w:r w:rsidR="0034197B" w:rsidRPr="00A81216">
        <w:rPr>
          <w:szCs w:val="22"/>
          <w:lang w:val="fr-FR"/>
        </w:rPr>
        <w:t>’</w:t>
      </w:r>
      <w:r w:rsidRPr="00A81216">
        <w:rPr>
          <w:szCs w:val="22"/>
          <w:lang w:val="fr-FR"/>
        </w:rPr>
        <w:t>observateurs (ci</w:t>
      </w:r>
      <w:r w:rsidRPr="00A81216">
        <w:rPr>
          <w:szCs w:val="22"/>
          <w:lang w:val="fr-FR"/>
        </w:rPr>
        <w:noBreakHyphen/>
        <w:t xml:space="preserve">après dénommées </w:t>
      </w:r>
      <w:r w:rsidR="0034197B" w:rsidRPr="00A81216">
        <w:rPr>
          <w:szCs w:val="22"/>
          <w:lang w:val="fr-FR"/>
        </w:rPr>
        <w:t>“</w:t>
      </w:r>
      <w:r w:rsidRPr="00A81216">
        <w:rPr>
          <w:szCs w:val="22"/>
          <w:lang w:val="fr-FR"/>
        </w:rPr>
        <w:t>délégations observatrices</w:t>
      </w:r>
      <w:r w:rsidR="0034197B" w:rsidRPr="00A81216">
        <w:rPr>
          <w:szCs w:val="22"/>
          <w:lang w:val="fr-FR"/>
        </w:rPr>
        <w:t>”</w:t>
      </w:r>
      <w:r w:rsidRPr="00A81216">
        <w:rPr>
          <w:szCs w:val="22"/>
          <w:lang w:val="fr-FR"/>
        </w:rPr>
        <w:t>),</w:t>
      </w:r>
    </w:p>
    <w:p w:rsidR="00F56DCA" w:rsidRPr="00A81216" w:rsidRDefault="00F56DCA" w:rsidP="00F56DCA">
      <w:pPr>
        <w:ind w:left="567"/>
        <w:rPr>
          <w:szCs w:val="22"/>
          <w:lang w:val="fr-FR"/>
        </w:rPr>
      </w:pPr>
    </w:p>
    <w:p w:rsidR="00F56DCA" w:rsidRPr="00A81216" w:rsidRDefault="00F56DCA" w:rsidP="00F56DCA">
      <w:pPr>
        <w:ind w:left="567"/>
        <w:rPr>
          <w:szCs w:val="22"/>
          <w:lang w:val="fr-FR"/>
        </w:rPr>
      </w:pPr>
      <w:r w:rsidRPr="00A81216">
        <w:rPr>
          <w:szCs w:val="22"/>
          <w:lang w:val="fr-FR"/>
        </w:rPr>
        <w:t>iv)</w:t>
      </w:r>
      <w:r w:rsidRPr="00A81216">
        <w:rPr>
          <w:szCs w:val="22"/>
          <w:lang w:val="fr-FR"/>
        </w:rPr>
        <w:tab/>
        <w:t>des représentants d</w:t>
      </w:r>
      <w:r w:rsidR="0034197B" w:rsidRPr="00A81216">
        <w:rPr>
          <w:szCs w:val="22"/>
          <w:lang w:val="fr-FR"/>
        </w:rPr>
        <w:t>’</w:t>
      </w:r>
      <w:r w:rsidRPr="00A81216">
        <w:rPr>
          <w:szCs w:val="22"/>
          <w:lang w:val="fr-FR"/>
        </w:rPr>
        <w:t>organisations intergouvernementales et non gouvernementales invitées à la conférence en qualité d</w:t>
      </w:r>
      <w:r w:rsidR="0034197B" w:rsidRPr="00A81216">
        <w:rPr>
          <w:szCs w:val="22"/>
          <w:lang w:val="fr-FR"/>
        </w:rPr>
        <w:t>’</w:t>
      </w:r>
      <w:r w:rsidRPr="00A81216">
        <w:rPr>
          <w:szCs w:val="22"/>
          <w:lang w:val="fr-FR"/>
        </w:rPr>
        <w:t>observateurs (ci</w:t>
      </w:r>
      <w:r w:rsidRPr="00A81216">
        <w:rPr>
          <w:szCs w:val="22"/>
          <w:lang w:val="fr-FR"/>
        </w:rPr>
        <w:noBreakHyphen/>
        <w:t xml:space="preserve">après dénommées </w:t>
      </w:r>
      <w:r w:rsidR="0034197B" w:rsidRPr="00A81216">
        <w:rPr>
          <w:szCs w:val="22"/>
          <w:lang w:val="fr-FR"/>
        </w:rPr>
        <w:t>“</w:t>
      </w:r>
      <w:r w:rsidRPr="00A81216">
        <w:rPr>
          <w:szCs w:val="22"/>
          <w:lang w:val="fr-FR"/>
        </w:rPr>
        <w:t>organisations observatrices</w:t>
      </w:r>
      <w:r w:rsidR="0034197B" w:rsidRPr="00A81216">
        <w:rPr>
          <w:szCs w:val="22"/>
          <w:lang w:val="fr-FR"/>
        </w:rPr>
        <w:t>”</w:t>
      </w:r>
      <w:r w:rsidRPr="00A81216">
        <w:rPr>
          <w:szCs w:val="22"/>
          <w:lang w:val="fr-FR"/>
        </w:rPr>
        <w:t>).</w:t>
      </w:r>
    </w:p>
    <w:p w:rsidR="00F56DCA" w:rsidRPr="00A81216" w:rsidRDefault="00F56DCA" w:rsidP="00F56DCA">
      <w:pPr>
        <w:rPr>
          <w:szCs w:val="22"/>
          <w:lang w:val="fr-FR"/>
        </w:rPr>
      </w:pPr>
    </w:p>
    <w:p w:rsidR="00F56DCA" w:rsidRPr="00A81216" w:rsidRDefault="00F56DCA" w:rsidP="00F56DCA">
      <w:pPr>
        <w:rPr>
          <w:szCs w:val="22"/>
          <w:lang w:val="fr-FR"/>
        </w:rPr>
      </w:pPr>
      <w:r w:rsidRPr="00A81216">
        <w:rPr>
          <w:szCs w:val="22"/>
          <w:lang w:val="fr-FR"/>
        </w:rPr>
        <w:t>2)</w:t>
      </w:r>
      <w:r w:rsidRPr="00A81216">
        <w:rPr>
          <w:szCs w:val="22"/>
          <w:lang w:val="fr-FR"/>
        </w:rPr>
        <w:tab/>
        <w:t xml:space="preserve">Les termes </w:t>
      </w:r>
      <w:r w:rsidR="0034197B" w:rsidRPr="00A81216">
        <w:rPr>
          <w:szCs w:val="22"/>
          <w:lang w:val="fr-FR"/>
        </w:rPr>
        <w:t>“</w:t>
      </w:r>
      <w:r w:rsidRPr="00A81216">
        <w:rPr>
          <w:szCs w:val="22"/>
          <w:lang w:val="fr-FR"/>
        </w:rPr>
        <w:t>délégations membres</w:t>
      </w:r>
      <w:r w:rsidR="0034197B" w:rsidRPr="00A81216">
        <w:rPr>
          <w:szCs w:val="22"/>
          <w:lang w:val="fr-FR"/>
        </w:rPr>
        <w:t>”</w:t>
      </w:r>
      <w:r w:rsidRPr="00A81216">
        <w:rPr>
          <w:szCs w:val="22"/>
          <w:lang w:val="fr-FR"/>
        </w:rPr>
        <w:t xml:space="preserve"> désignent dans le présent règlement les délégations membres ordinaires et les délégations membres spéciales.</w:t>
      </w:r>
    </w:p>
    <w:p w:rsidR="00F56DCA" w:rsidRPr="00A81216" w:rsidRDefault="00F56DCA" w:rsidP="00F56DCA">
      <w:pPr>
        <w:rPr>
          <w:szCs w:val="22"/>
          <w:lang w:val="fr-FR"/>
        </w:rPr>
      </w:pPr>
    </w:p>
    <w:p w:rsidR="00F56DCA" w:rsidRPr="00A81216" w:rsidRDefault="00F56DCA" w:rsidP="00F56DCA">
      <w:pPr>
        <w:rPr>
          <w:szCs w:val="22"/>
          <w:lang w:val="fr-FR"/>
        </w:rPr>
      </w:pPr>
    </w:p>
    <w:p w:rsidR="00F56DCA" w:rsidRPr="00A81216" w:rsidRDefault="00F56DCA" w:rsidP="00F56DCA">
      <w:pPr>
        <w:pStyle w:val="TitleofDoc"/>
        <w:tabs>
          <w:tab w:val="left" w:pos="1276"/>
        </w:tabs>
        <w:spacing w:before="0"/>
        <w:jc w:val="left"/>
        <w:rPr>
          <w:rFonts w:ascii="Arial" w:hAnsi="Arial" w:cs="Arial"/>
          <w:b/>
          <w:caps w:val="0"/>
          <w:sz w:val="22"/>
          <w:szCs w:val="22"/>
          <w:lang w:val="fr-FR"/>
        </w:rPr>
      </w:pPr>
      <w:r w:rsidRPr="00A81216">
        <w:rPr>
          <w:rFonts w:ascii="Arial" w:hAnsi="Arial" w:cs="Arial"/>
          <w:b/>
          <w:caps w:val="0"/>
          <w:sz w:val="22"/>
          <w:szCs w:val="22"/>
          <w:lang w:val="fr-FR"/>
        </w:rPr>
        <w:t>Article 2 du règlement intérieur de la Conférence diplomatique pour l</w:t>
      </w:r>
      <w:r w:rsidR="0034197B" w:rsidRPr="00A81216">
        <w:rPr>
          <w:rFonts w:ascii="Arial" w:hAnsi="Arial" w:cs="Arial"/>
          <w:b/>
          <w:caps w:val="0"/>
          <w:sz w:val="22"/>
          <w:szCs w:val="22"/>
          <w:lang w:val="fr-FR"/>
        </w:rPr>
        <w:t>’</w:t>
      </w:r>
      <w:r w:rsidRPr="00A81216">
        <w:rPr>
          <w:rFonts w:ascii="Arial" w:hAnsi="Arial" w:cs="Arial"/>
          <w:b/>
          <w:caps w:val="0"/>
          <w:sz w:val="22"/>
          <w:szCs w:val="22"/>
          <w:lang w:val="fr-FR"/>
        </w:rPr>
        <w:t>adoption d</w:t>
      </w:r>
      <w:r w:rsidR="0034197B" w:rsidRPr="00A81216">
        <w:rPr>
          <w:rFonts w:ascii="Arial" w:hAnsi="Arial" w:cs="Arial"/>
          <w:b/>
          <w:caps w:val="0"/>
          <w:sz w:val="22"/>
          <w:szCs w:val="22"/>
          <w:lang w:val="fr-FR"/>
        </w:rPr>
        <w:t>’</w:t>
      </w:r>
      <w:r w:rsidRPr="00A81216">
        <w:rPr>
          <w:rFonts w:ascii="Arial" w:hAnsi="Arial" w:cs="Arial"/>
          <w:b/>
          <w:caps w:val="0"/>
          <w:sz w:val="22"/>
          <w:szCs w:val="22"/>
          <w:lang w:val="fr-FR"/>
        </w:rPr>
        <w:t>un Traité révisé sur le droit des marques (Singapour, 2006) – document TLT/R/DC/2</w:t>
      </w:r>
    </w:p>
    <w:p w:rsidR="00F56DCA" w:rsidRPr="00A81216" w:rsidRDefault="00F56DCA" w:rsidP="00F56DCA">
      <w:pPr>
        <w:tabs>
          <w:tab w:val="left" w:pos="7020"/>
        </w:tabs>
        <w:rPr>
          <w:szCs w:val="22"/>
          <w:lang w:val="fr-FR"/>
        </w:rPr>
      </w:pPr>
    </w:p>
    <w:p w:rsidR="00F56DCA" w:rsidRPr="00A81216" w:rsidRDefault="00F56DCA" w:rsidP="00F56DCA">
      <w:pPr>
        <w:tabs>
          <w:tab w:val="left" w:pos="1418"/>
        </w:tabs>
        <w:rPr>
          <w:szCs w:val="22"/>
          <w:lang w:val="fr-FR"/>
        </w:rPr>
      </w:pPr>
      <w:r w:rsidRPr="00A81216">
        <w:rPr>
          <w:szCs w:val="22"/>
          <w:u w:val="single"/>
          <w:lang w:val="fr-FR"/>
        </w:rPr>
        <w:t>Article 2</w:t>
      </w:r>
      <w:r w:rsidRPr="00A81216">
        <w:rPr>
          <w:szCs w:val="22"/>
          <w:lang w:val="fr-FR"/>
        </w:rPr>
        <w:t xml:space="preserve"> : </w:t>
      </w:r>
      <w:r w:rsidRPr="00A81216">
        <w:rPr>
          <w:szCs w:val="22"/>
          <w:lang w:val="fr-FR"/>
        </w:rPr>
        <w:tab/>
      </w:r>
      <w:r w:rsidRPr="00A81216">
        <w:rPr>
          <w:szCs w:val="22"/>
          <w:u w:val="single"/>
          <w:lang w:val="fr-FR"/>
        </w:rPr>
        <w:t>Composition de la conférence</w:t>
      </w:r>
    </w:p>
    <w:p w:rsidR="00F56DCA" w:rsidRPr="00A81216" w:rsidRDefault="00F56DCA" w:rsidP="00F56DCA">
      <w:pPr>
        <w:rPr>
          <w:szCs w:val="22"/>
          <w:lang w:val="fr-FR"/>
        </w:rPr>
      </w:pPr>
    </w:p>
    <w:p w:rsidR="00F56DCA" w:rsidRPr="00A81216" w:rsidRDefault="00F56DCA" w:rsidP="00F56DCA">
      <w:pPr>
        <w:rPr>
          <w:szCs w:val="22"/>
          <w:lang w:val="fr-FR"/>
        </w:rPr>
      </w:pPr>
      <w:r w:rsidRPr="00A81216">
        <w:rPr>
          <w:szCs w:val="22"/>
          <w:lang w:val="fr-FR"/>
        </w:rPr>
        <w:t>1)</w:t>
      </w:r>
      <w:r w:rsidRPr="00A81216">
        <w:rPr>
          <w:szCs w:val="22"/>
          <w:lang w:val="fr-FR"/>
        </w:rPr>
        <w:tab/>
        <w:t>La conférence se compose</w:t>
      </w:r>
    </w:p>
    <w:p w:rsidR="00F56DCA" w:rsidRPr="00A81216" w:rsidRDefault="00F56DCA" w:rsidP="00F56DCA">
      <w:pPr>
        <w:ind w:left="567"/>
        <w:rPr>
          <w:szCs w:val="22"/>
          <w:lang w:val="fr-FR"/>
        </w:rPr>
      </w:pPr>
    </w:p>
    <w:p w:rsidR="00F56DCA" w:rsidRPr="00A81216" w:rsidRDefault="00F56DCA" w:rsidP="00F56DCA">
      <w:pPr>
        <w:ind w:left="567"/>
        <w:rPr>
          <w:szCs w:val="22"/>
          <w:lang w:val="fr-FR"/>
        </w:rPr>
      </w:pPr>
      <w:r w:rsidRPr="00A81216">
        <w:rPr>
          <w:szCs w:val="22"/>
          <w:lang w:val="fr-FR"/>
        </w:rPr>
        <w:t>i)</w:t>
      </w:r>
      <w:r w:rsidRPr="00A81216">
        <w:rPr>
          <w:szCs w:val="22"/>
          <w:lang w:val="fr-FR"/>
        </w:rPr>
        <w:tab/>
        <w:t>des délégations des États membres de l</w:t>
      </w:r>
      <w:r w:rsidR="0034197B" w:rsidRPr="00A81216">
        <w:rPr>
          <w:szCs w:val="22"/>
          <w:lang w:val="fr-FR"/>
        </w:rPr>
        <w:t>’</w:t>
      </w:r>
      <w:r w:rsidRPr="00A81216">
        <w:rPr>
          <w:szCs w:val="22"/>
          <w:lang w:val="fr-FR"/>
        </w:rPr>
        <w:t>Organisation Mondiale de la Propriété Intellectuelle (ci</w:t>
      </w:r>
      <w:r w:rsidRPr="00A81216">
        <w:rPr>
          <w:szCs w:val="22"/>
          <w:lang w:val="fr-FR"/>
        </w:rPr>
        <w:noBreakHyphen/>
        <w:t xml:space="preserve">après dénommées </w:t>
      </w:r>
      <w:r w:rsidR="0034197B" w:rsidRPr="00A81216">
        <w:rPr>
          <w:szCs w:val="22"/>
          <w:lang w:val="fr-FR"/>
        </w:rPr>
        <w:t>“</w:t>
      </w:r>
      <w:r w:rsidRPr="00A81216">
        <w:rPr>
          <w:szCs w:val="22"/>
          <w:lang w:val="fr-FR"/>
        </w:rPr>
        <w:t>délégations membres ordinaires</w:t>
      </w:r>
      <w:r w:rsidR="0034197B" w:rsidRPr="00A81216">
        <w:rPr>
          <w:szCs w:val="22"/>
          <w:lang w:val="fr-FR"/>
        </w:rPr>
        <w:t>”</w:t>
      </w:r>
      <w:r w:rsidRPr="00A81216">
        <w:rPr>
          <w:szCs w:val="22"/>
          <w:lang w:val="fr-FR"/>
        </w:rPr>
        <w:t>);</w:t>
      </w:r>
    </w:p>
    <w:p w:rsidR="00F56DCA" w:rsidRPr="00A81216" w:rsidRDefault="00F56DCA" w:rsidP="00F56DCA">
      <w:pPr>
        <w:ind w:left="567"/>
        <w:rPr>
          <w:szCs w:val="22"/>
          <w:lang w:val="fr-FR"/>
        </w:rPr>
      </w:pPr>
    </w:p>
    <w:p w:rsidR="00F56DCA" w:rsidRPr="00A81216" w:rsidRDefault="00F56DCA" w:rsidP="00F56DCA">
      <w:pPr>
        <w:ind w:left="567"/>
        <w:rPr>
          <w:szCs w:val="22"/>
          <w:lang w:val="fr-FR"/>
        </w:rPr>
      </w:pPr>
      <w:r w:rsidRPr="00A81216">
        <w:rPr>
          <w:szCs w:val="22"/>
          <w:lang w:val="fr-FR"/>
        </w:rPr>
        <w:t>ii)</w:t>
      </w:r>
      <w:r w:rsidRPr="00A81216">
        <w:rPr>
          <w:szCs w:val="22"/>
          <w:lang w:val="fr-FR"/>
        </w:rPr>
        <w:tab/>
        <w:t>des délégations de l</w:t>
      </w:r>
      <w:r w:rsidR="0034197B" w:rsidRPr="00A81216">
        <w:rPr>
          <w:szCs w:val="22"/>
          <w:lang w:val="fr-FR"/>
        </w:rPr>
        <w:t>’</w:t>
      </w:r>
      <w:r w:rsidRPr="00A81216">
        <w:rPr>
          <w:szCs w:val="22"/>
          <w:lang w:val="fr-FR"/>
        </w:rPr>
        <w:t>Organisation africaine de la propriété intellectuelle, de l</w:t>
      </w:r>
      <w:r w:rsidR="0034197B" w:rsidRPr="00A81216">
        <w:rPr>
          <w:szCs w:val="22"/>
          <w:lang w:val="fr-FR"/>
        </w:rPr>
        <w:t>’</w:t>
      </w:r>
      <w:r w:rsidRPr="00A81216">
        <w:rPr>
          <w:szCs w:val="22"/>
          <w:lang w:val="fr-FR"/>
        </w:rPr>
        <w:t>Organisation régionale africaine de la propriété intellectuelle et de la Communauté européenne (ci</w:t>
      </w:r>
      <w:r w:rsidRPr="00A81216">
        <w:rPr>
          <w:szCs w:val="22"/>
          <w:lang w:val="fr-FR"/>
        </w:rPr>
        <w:noBreakHyphen/>
        <w:t xml:space="preserve">après dénommées </w:t>
      </w:r>
      <w:r w:rsidR="0034197B" w:rsidRPr="00A81216">
        <w:rPr>
          <w:szCs w:val="22"/>
          <w:lang w:val="fr-FR"/>
        </w:rPr>
        <w:t>“</w:t>
      </w:r>
      <w:r w:rsidRPr="00A81216">
        <w:rPr>
          <w:szCs w:val="22"/>
          <w:lang w:val="fr-FR"/>
        </w:rPr>
        <w:t>délégations membres spéciales</w:t>
      </w:r>
      <w:r w:rsidR="0034197B" w:rsidRPr="00A81216">
        <w:rPr>
          <w:szCs w:val="22"/>
          <w:lang w:val="fr-FR"/>
        </w:rPr>
        <w:t>”</w:t>
      </w:r>
      <w:r w:rsidRPr="00A81216">
        <w:rPr>
          <w:szCs w:val="22"/>
          <w:lang w:val="fr-FR"/>
        </w:rPr>
        <w:t>);</w:t>
      </w:r>
    </w:p>
    <w:p w:rsidR="00F56DCA" w:rsidRPr="00A81216" w:rsidRDefault="00F56DCA" w:rsidP="00F56DCA">
      <w:pPr>
        <w:ind w:left="567"/>
        <w:rPr>
          <w:szCs w:val="22"/>
          <w:lang w:val="fr-FR"/>
        </w:rPr>
      </w:pPr>
    </w:p>
    <w:p w:rsidR="00F56DCA" w:rsidRPr="00A81216" w:rsidRDefault="00F56DCA" w:rsidP="00F56DCA">
      <w:pPr>
        <w:ind w:left="567"/>
        <w:rPr>
          <w:szCs w:val="22"/>
          <w:lang w:val="fr-FR"/>
        </w:rPr>
      </w:pPr>
      <w:r w:rsidRPr="00A81216">
        <w:rPr>
          <w:szCs w:val="22"/>
          <w:lang w:val="fr-FR"/>
        </w:rPr>
        <w:t>iii)</w:t>
      </w:r>
      <w:r w:rsidRPr="00A81216">
        <w:rPr>
          <w:szCs w:val="22"/>
          <w:lang w:val="fr-FR"/>
        </w:rPr>
        <w:tab/>
        <w:t>des délégations des États membres de l</w:t>
      </w:r>
      <w:r w:rsidR="0034197B" w:rsidRPr="00A81216">
        <w:rPr>
          <w:szCs w:val="22"/>
          <w:lang w:val="fr-FR"/>
        </w:rPr>
        <w:t>’</w:t>
      </w:r>
      <w:r w:rsidRPr="00A81216">
        <w:rPr>
          <w:szCs w:val="22"/>
          <w:lang w:val="fr-FR"/>
        </w:rPr>
        <w:t>Organisation des Nations Unies qui ne sont pas membres de l</w:t>
      </w:r>
      <w:r w:rsidR="0034197B" w:rsidRPr="00A81216">
        <w:rPr>
          <w:szCs w:val="22"/>
          <w:lang w:val="fr-FR"/>
        </w:rPr>
        <w:t>’</w:t>
      </w:r>
      <w:r w:rsidRPr="00A81216">
        <w:rPr>
          <w:szCs w:val="22"/>
          <w:lang w:val="fr-FR"/>
        </w:rPr>
        <w:t>Organisation Mondiale de la Propriété Intellectuelle et qui sont invités à la conférence en qualité d</w:t>
      </w:r>
      <w:r w:rsidR="0034197B" w:rsidRPr="00A81216">
        <w:rPr>
          <w:szCs w:val="22"/>
          <w:lang w:val="fr-FR"/>
        </w:rPr>
        <w:t>’</w:t>
      </w:r>
      <w:r w:rsidRPr="00A81216">
        <w:rPr>
          <w:szCs w:val="22"/>
          <w:lang w:val="fr-FR"/>
        </w:rPr>
        <w:t>observateurs (ci</w:t>
      </w:r>
      <w:r w:rsidRPr="00A81216">
        <w:rPr>
          <w:szCs w:val="22"/>
          <w:lang w:val="fr-FR"/>
        </w:rPr>
        <w:noBreakHyphen/>
        <w:t xml:space="preserve">après dénommées </w:t>
      </w:r>
      <w:r w:rsidR="0034197B" w:rsidRPr="00A81216">
        <w:rPr>
          <w:szCs w:val="22"/>
          <w:lang w:val="fr-FR"/>
        </w:rPr>
        <w:t>“</w:t>
      </w:r>
      <w:r w:rsidRPr="00A81216">
        <w:rPr>
          <w:szCs w:val="22"/>
          <w:lang w:val="fr-FR"/>
        </w:rPr>
        <w:t>délégations observatrices</w:t>
      </w:r>
      <w:r w:rsidR="0034197B" w:rsidRPr="00A81216">
        <w:rPr>
          <w:szCs w:val="22"/>
          <w:lang w:val="fr-FR"/>
        </w:rPr>
        <w:t>”</w:t>
      </w:r>
      <w:r w:rsidRPr="00A81216">
        <w:rPr>
          <w:szCs w:val="22"/>
          <w:lang w:val="fr-FR"/>
        </w:rPr>
        <w:t>);</w:t>
      </w:r>
    </w:p>
    <w:p w:rsidR="00F56DCA" w:rsidRPr="00A81216" w:rsidRDefault="00F56DCA" w:rsidP="00F56DCA">
      <w:pPr>
        <w:ind w:left="567"/>
        <w:rPr>
          <w:szCs w:val="22"/>
          <w:lang w:val="fr-FR"/>
        </w:rPr>
      </w:pPr>
    </w:p>
    <w:p w:rsidR="00F56DCA" w:rsidRPr="00A81216" w:rsidRDefault="00F56DCA" w:rsidP="00F56DCA">
      <w:pPr>
        <w:ind w:left="567"/>
        <w:rPr>
          <w:szCs w:val="22"/>
          <w:lang w:val="fr-FR"/>
        </w:rPr>
      </w:pPr>
      <w:r w:rsidRPr="00A81216">
        <w:rPr>
          <w:szCs w:val="22"/>
          <w:lang w:val="fr-FR"/>
        </w:rPr>
        <w:t>iv)</w:t>
      </w:r>
      <w:r w:rsidRPr="00A81216">
        <w:rPr>
          <w:szCs w:val="22"/>
          <w:lang w:val="fr-FR"/>
        </w:rPr>
        <w:tab/>
        <w:t>des représentants d</w:t>
      </w:r>
      <w:r w:rsidR="0034197B" w:rsidRPr="00A81216">
        <w:rPr>
          <w:szCs w:val="22"/>
          <w:lang w:val="fr-FR"/>
        </w:rPr>
        <w:t>’</w:t>
      </w:r>
      <w:r w:rsidRPr="00A81216">
        <w:rPr>
          <w:szCs w:val="22"/>
          <w:lang w:val="fr-FR"/>
        </w:rPr>
        <w:t>organisations intergouvernementales et non gouvernementales invitées à la conférence en qualité d</w:t>
      </w:r>
      <w:r w:rsidR="0034197B" w:rsidRPr="00A81216">
        <w:rPr>
          <w:szCs w:val="22"/>
          <w:lang w:val="fr-FR"/>
        </w:rPr>
        <w:t>’</w:t>
      </w:r>
      <w:r w:rsidRPr="00A81216">
        <w:rPr>
          <w:szCs w:val="22"/>
          <w:lang w:val="fr-FR"/>
        </w:rPr>
        <w:t>observateurs (ci</w:t>
      </w:r>
      <w:r w:rsidRPr="00A81216">
        <w:rPr>
          <w:szCs w:val="22"/>
          <w:lang w:val="fr-FR"/>
        </w:rPr>
        <w:noBreakHyphen/>
        <w:t xml:space="preserve">après dénommées </w:t>
      </w:r>
      <w:r w:rsidR="0034197B" w:rsidRPr="00A81216">
        <w:rPr>
          <w:szCs w:val="22"/>
          <w:lang w:val="fr-FR"/>
        </w:rPr>
        <w:t>“</w:t>
      </w:r>
      <w:r w:rsidRPr="00A81216">
        <w:rPr>
          <w:szCs w:val="22"/>
          <w:lang w:val="fr-FR"/>
        </w:rPr>
        <w:t>organisations observatrices</w:t>
      </w:r>
      <w:r w:rsidR="0034197B" w:rsidRPr="00A81216">
        <w:rPr>
          <w:szCs w:val="22"/>
          <w:lang w:val="fr-FR"/>
        </w:rPr>
        <w:t>”</w:t>
      </w:r>
      <w:r w:rsidRPr="00A81216">
        <w:rPr>
          <w:szCs w:val="22"/>
          <w:lang w:val="fr-FR"/>
        </w:rPr>
        <w:t>).</w:t>
      </w:r>
    </w:p>
    <w:p w:rsidR="00F56DCA" w:rsidRPr="00A81216" w:rsidRDefault="00F56DCA" w:rsidP="00F56DCA">
      <w:pPr>
        <w:rPr>
          <w:szCs w:val="22"/>
          <w:lang w:val="fr-FR"/>
        </w:rPr>
      </w:pPr>
      <w:r w:rsidRPr="00A81216">
        <w:rPr>
          <w:szCs w:val="22"/>
          <w:lang w:val="fr-FR"/>
        </w:rPr>
        <w:t>2)</w:t>
      </w:r>
      <w:r w:rsidRPr="00A81216">
        <w:rPr>
          <w:szCs w:val="22"/>
          <w:lang w:val="fr-FR"/>
        </w:rPr>
        <w:tab/>
        <w:t xml:space="preserve">Les termes </w:t>
      </w:r>
      <w:r w:rsidR="0034197B" w:rsidRPr="00A81216">
        <w:rPr>
          <w:szCs w:val="22"/>
          <w:lang w:val="fr-FR"/>
        </w:rPr>
        <w:t>“</w:t>
      </w:r>
      <w:r w:rsidRPr="00A81216">
        <w:rPr>
          <w:szCs w:val="22"/>
          <w:lang w:val="fr-FR"/>
        </w:rPr>
        <w:t>délégations membres</w:t>
      </w:r>
      <w:r w:rsidR="0034197B" w:rsidRPr="00A81216">
        <w:rPr>
          <w:szCs w:val="22"/>
          <w:lang w:val="fr-FR"/>
        </w:rPr>
        <w:t>”</w:t>
      </w:r>
      <w:r w:rsidRPr="00A81216">
        <w:rPr>
          <w:szCs w:val="22"/>
          <w:lang w:val="fr-FR"/>
        </w:rPr>
        <w:t xml:space="preserve"> désignent dans le présent règlement les délégations membres ordinaires et les délégations membres spéciales.</w:t>
      </w:r>
    </w:p>
    <w:p w:rsidR="00F56DCA" w:rsidRPr="00A81216" w:rsidRDefault="00F56DCA" w:rsidP="00F56DCA">
      <w:pPr>
        <w:rPr>
          <w:szCs w:val="22"/>
          <w:lang w:val="fr-FR"/>
        </w:rPr>
      </w:pPr>
    </w:p>
    <w:p w:rsidR="00F56DCA" w:rsidRPr="00A81216" w:rsidRDefault="00F56DCA" w:rsidP="00F56DCA">
      <w:pPr>
        <w:rPr>
          <w:szCs w:val="22"/>
          <w:lang w:val="fr-FR"/>
        </w:rPr>
      </w:pPr>
      <w:r w:rsidRPr="00A81216">
        <w:rPr>
          <w:szCs w:val="22"/>
          <w:lang w:val="fr-FR"/>
        </w:rPr>
        <w:t>3)</w:t>
      </w:r>
      <w:r w:rsidRPr="00A81216">
        <w:rPr>
          <w:szCs w:val="22"/>
          <w:lang w:val="fr-FR"/>
        </w:rPr>
        <w:tab/>
        <w:t xml:space="preserve">Le terme </w:t>
      </w:r>
      <w:r w:rsidR="0034197B" w:rsidRPr="00A81216">
        <w:rPr>
          <w:szCs w:val="22"/>
          <w:lang w:val="fr-FR"/>
        </w:rPr>
        <w:t>“</w:t>
      </w:r>
      <w:r w:rsidRPr="00A81216">
        <w:rPr>
          <w:szCs w:val="22"/>
          <w:lang w:val="fr-FR"/>
        </w:rPr>
        <w:t>délégations</w:t>
      </w:r>
      <w:r w:rsidR="0034197B" w:rsidRPr="00A81216">
        <w:rPr>
          <w:szCs w:val="22"/>
          <w:lang w:val="fr-FR"/>
        </w:rPr>
        <w:t>”</w:t>
      </w:r>
      <w:r w:rsidRPr="00A81216">
        <w:rPr>
          <w:szCs w:val="22"/>
          <w:lang w:val="fr-FR"/>
        </w:rPr>
        <w:t xml:space="preserve"> désigne dans le présent règlement les trois types de délégations (délégations membres ordinaires, délégations membres spéciales et délégations observatrices) mais n</w:t>
      </w:r>
      <w:r w:rsidR="0034197B" w:rsidRPr="00A81216">
        <w:rPr>
          <w:szCs w:val="22"/>
          <w:lang w:val="fr-FR"/>
        </w:rPr>
        <w:t>’</w:t>
      </w:r>
      <w:r w:rsidRPr="00A81216">
        <w:rPr>
          <w:szCs w:val="22"/>
          <w:lang w:val="fr-FR"/>
        </w:rPr>
        <w:t>inclut pas les organisations observatrices.</w:t>
      </w:r>
    </w:p>
    <w:p w:rsidR="00F56DCA" w:rsidRPr="00A81216" w:rsidRDefault="00F56DCA" w:rsidP="00F56DCA">
      <w:pPr>
        <w:rPr>
          <w:szCs w:val="22"/>
          <w:lang w:val="fr-FR"/>
        </w:rPr>
      </w:pPr>
    </w:p>
    <w:p w:rsidR="00F56DCA" w:rsidRPr="00A81216" w:rsidRDefault="00F56DCA" w:rsidP="00F56DCA">
      <w:pPr>
        <w:pStyle w:val="TitleofDoc"/>
        <w:tabs>
          <w:tab w:val="left" w:pos="1276"/>
        </w:tabs>
        <w:spacing w:before="0"/>
        <w:jc w:val="left"/>
        <w:rPr>
          <w:rFonts w:ascii="Arial" w:hAnsi="Arial" w:cs="Arial"/>
          <w:caps w:val="0"/>
          <w:sz w:val="22"/>
          <w:szCs w:val="22"/>
          <w:lang w:val="fr-FR"/>
        </w:rPr>
      </w:pPr>
    </w:p>
    <w:p w:rsidR="00F56DCA" w:rsidRPr="00A81216" w:rsidRDefault="00F56DCA" w:rsidP="00F56DCA">
      <w:pPr>
        <w:pStyle w:val="TitleofDoc"/>
        <w:tabs>
          <w:tab w:val="left" w:pos="1276"/>
        </w:tabs>
        <w:spacing w:before="0"/>
        <w:jc w:val="left"/>
        <w:rPr>
          <w:rFonts w:ascii="Arial" w:hAnsi="Arial" w:cs="Arial"/>
          <w:b/>
          <w:caps w:val="0"/>
          <w:sz w:val="22"/>
          <w:szCs w:val="22"/>
          <w:lang w:val="fr-FR"/>
        </w:rPr>
      </w:pPr>
      <w:r w:rsidRPr="00A81216">
        <w:rPr>
          <w:rFonts w:ascii="Arial" w:hAnsi="Arial" w:cs="Arial"/>
          <w:b/>
          <w:caps w:val="0"/>
          <w:sz w:val="22"/>
          <w:szCs w:val="22"/>
          <w:lang w:val="fr-FR"/>
        </w:rPr>
        <w:t>Article 2 du projet de règlement intérieur de la Conférence diplomatique sur la protection des interprétations et exécutions audiovisuelles (Beijing, 2012) – document AVP/DC/2</w:t>
      </w:r>
    </w:p>
    <w:p w:rsidR="00F56DCA" w:rsidRPr="00A81216" w:rsidRDefault="00F56DCA" w:rsidP="00F56DCA">
      <w:pPr>
        <w:pStyle w:val="TitleofDoc"/>
        <w:tabs>
          <w:tab w:val="left" w:pos="1276"/>
        </w:tabs>
        <w:spacing w:before="0"/>
        <w:jc w:val="left"/>
        <w:rPr>
          <w:rFonts w:ascii="Arial" w:hAnsi="Arial" w:cs="Arial"/>
          <w:sz w:val="22"/>
          <w:szCs w:val="22"/>
          <w:lang w:val="fr-FR"/>
        </w:rPr>
      </w:pPr>
    </w:p>
    <w:p w:rsidR="00F56DCA" w:rsidRPr="00A81216" w:rsidRDefault="00F56DCA" w:rsidP="00F56DCA">
      <w:pPr>
        <w:tabs>
          <w:tab w:val="left" w:pos="1418"/>
        </w:tabs>
        <w:rPr>
          <w:szCs w:val="22"/>
          <w:lang w:val="fr-FR"/>
        </w:rPr>
      </w:pPr>
      <w:r w:rsidRPr="00A81216">
        <w:rPr>
          <w:szCs w:val="22"/>
          <w:u w:val="single"/>
          <w:lang w:val="fr-FR"/>
        </w:rPr>
        <w:t>Article 2</w:t>
      </w:r>
      <w:r w:rsidRPr="00A81216">
        <w:rPr>
          <w:szCs w:val="22"/>
          <w:lang w:val="fr-FR"/>
        </w:rPr>
        <w:t xml:space="preserve"> : </w:t>
      </w:r>
      <w:r w:rsidRPr="00A81216">
        <w:rPr>
          <w:szCs w:val="22"/>
          <w:lang w:val="fr-FR"/>
        </w:rPr>
        <w:tab/>
      </w:r>
      <w:r w:rsidRPr="00A81216">
        <w:rPr>
          <w:szCs w:val="22"/>
          <w:u w:val="single"/>
          <w:lang w:val="fr-FR"/>
        </w:rPr>
        <w:t>Composition de la conférence</w:t>
      </w:r>
    </w:p>
    <w:p w:rsidR="00F56DCA" w:rsidRPr="00A81216" w:rsidRDefault="00F56DCA" w:rsidP="00F56DCA">
      <w:pPr>
        <w:rPr>
          <w:szCs w:val="22"/>
          <w:lang w:val="fr-FR"/>
        </w:rPr>
      </w:pPr>
    </w:p>
    <w:p w:rsidR="00F56DCA" w:rsidRPr="00A81216" w:rsidRDefault="00F56DCA" w:rsidP="00F56DCA">
      <w:pPr>
        <w:rPr>
          <w:szCs w:val="22"/>
          <w:lang w:val="fr-FR"/>
        </w:rPr>
      </w:pPr>
      <w:r w:rsidRPr="00A81216">
        <w:rPr>
          <w:szCs w:val="22"/>
          <w:lang w:val="fr-FR"/>
        </w:rPr>
        <w:t>1)</w:t>
      </w:r>
      <w:r w:rsidRPr="00A81216">
        <w:rPr>
          <w:szCs w:val="22"/>
          <w:lang w:val="fr-FR"/>
        </w:rPr>
        <w:tab/>
        <w:t>La conférence se compose</w:t>
      </w:r>
    </w:p>
    <w:p w:rsidR="00F56DCA" w:rsidRPr="00A81216" w:rsidRDefault="00F56DCA" w:rsidP="00F56DCA">
      <w:pPr>
        <w:ind w:left="567"/>
        <w:rPr>
          <w:szCs w:val="22"/>
          <w:lang w:val="fr-FR"/>
        </w:rPr>
      </w:pPr>
    </w:p>
    <w:p w:rsidR="00F56DCA" w:rsidRPr="00A81216" w:rsidRDefault="00F56DCA" w:rsidP="00F56DCA">
      <w:pPr>
        <w:ind w:left="567"/>
        <w:rPr>
          <w:szCs w:val="22"/>
          <w:lang w:val="fr-FR"/>
        </w:rPr>
      </w:pPr>
      <w:r w:rsidRPr="00A81216">
        <w:rPr>
          <w:szCs w:val="22"/>
          <w:lang w:val="fr-FR"/>
        </w:rPr>
        <w:t>i)</w:t>
      </w:r>
      <w:r w:rsidRPr="00A81216">
        <w:rPr>
          <w:szCs w:val="22"/>
          <w:lang w:val="fr-FR"/>
        </w:rPr>
        <w:tab/>
        <w:t>des délégations des États membres de l</w:t>
      </w:r>
      <w:r w:rsidR="0034197B" w:rsidRPr="00A81216">
        <w:rPr>
          <w:szCs w:val="22"/>
          <w:lang w:val="fr-FR"/>
        </w:rPr>
        <w:t>’</w:t>
      </w:r>
      <w:r w:rsidRPr="00A81216">
        <w:rPr>
          <w:szCs w:val="22"/>
          <w:lang w:val="fr-FR"/>
        </w:rPr>
        <w:t>Organisation Mondiale de la Propriété Intellectuelle (ci</w:t>
      </w:r>
      <w:r w:rsidRPr="00A81216">
        <w:rPr>
          <w:szCs w:val="22"/>
          <w:lang w:val="fr-FR"/>
        </w:rPr>
        <w:noBreakHyphen/>
        <w:t xml:space="preserve">après dénommées </w:t>
      </w:r>
      <w:r w:rsidR="0034197B" w:rsidRPr="00A81216">
        <w:rPr>
          <w:szCs w:val="22"/>
          <w:lang w:val="fr-FR"/>
        </w:rPr>
        <w:t>“</w:t>
      </w:r>
      <w:r w:rsidRPr="00A81216">
        <w:rPr>
          <w:szCs w:val="22"/>
          <w:lang w:val="fr-FR"/>
        </w:rPr>
        <w:t>délégations membres</w:t>
      </w:r>
      <w:r w:rsidR="0034197B" w:rsidRPr="00A81216">
        <w:rPr>
          <w:szCs w:val="22"/>
          <w:lang w:val="fr-FR"/>
        </w:rPr>
        <w:t>”</w:t>
      </w:r>
      <w:r w:rsidRPr="00A81216">
        <w:rPr>
          <w:szCs w:val="22"/>
          <w:lang w:val="fr-FR"/>
        </w:rPr>
        <w:t>),</w:t>
      </w:r>
    </w:p>
    <w:p w:rsidR="00F56DCA" w:rsidRPr="00A81216" w:rsidRDefault="00F56DCA" w:rsidP="00F56DCA">
      <w:pPr>
        <w:ind w:left="567"/>
        <w:rPr>
          <w:szCs w:val="22"/>
          <w:lang w:val="fr-FR"/>
        </w:rPr>
      </w:pPr>
    </w:p>
    <w:p w:rsidR="00F56DCA" w:rsidRPr="00A81216" w:rsidRDefault="00F56DCA" w:rsidP="00F56DCA">
      <w:pPr>
        <w:ind w:left="567"/>
        <w:rPr>
          <w:szCs w:val="22"/>
          <w:lang w:val="fr-FR"/>
        </w:rPr>
      </w:pPr>
      <w:r w:rsidRPr="00A81216">
        <w:rPr>
          <w:szCs w:val="22"/>
          <w:lang w:val="fr-FR"/>
        </w:rPr>
        <w:t>ii)</w:t>
      </w:r>
      <w:r w:rsidRPr="00A81216">
        <w:rPr>
          <w:szCs w:val="22"/>
          <w:lang w:val="fr-FR"/>
        </w:rPr>
        <w:tab/>
        <w:t>de la délégation spéciale de l</w:t>
      </w:r>
      <w:r w:rsidR="0034197B" w:rsidRPr="00A81216">
        <w:rPr>
          <w:szCs w:val="22"/>
          <w:lang w:val="fr-FR"/>
        </w:rPr>
        <w:t>’</w:t>
      </w:r>
      <w:r w:rsidRPr="00A81216">
        <w:rPr>
          <w:szCs w:val="22"/>
          <w:lang w:val="fr-FR"/>
        </w:rPr>
        <w:t>Union européenne (ci</w:t>
      </w:r>
      <w:r w:rsidRPr="00A81216">
        <w:rPr>
          <w:szCs w:val="22"/>
          <w:lang w:val="fr-FR"/>
        </w:rPr>
        <w:noBreakHyphen/>
        <w:t xml:space="preserve">après dénommée </w:t>
      </w:r>
      <w:r w:rsidR="0034197B" w:rsidRPr="00A81216">
        <w:rPr>
          <w:szCs w:val="22"/>
          <w:lang w:val="fr-FR"/>
        </w:rPr>
        <w:t>“</w:t>
      </w:r>
      <w:r w:rsidRPr="00A81216">
        <w:rPr>
          <w:szCs w:val="22"/>
          <w:lang w:val="fr-FR"/>
        </w:rPr>
        <w:t>délégation spéciale</w:t>
      </w:r>
      <w:r w:rsidR="0034197B" w:rsidRPr="00A81216">
        <w:rPr>
          <w:szCs w:val="22"/>
          <w:lang w:val="fr-FR"/>
        </w:rPr>
        <w:t>”</w:t>
      </w:r>
      <w:r w:rsidRPr="00A81216">
        <w:rPr>
          <w:szCs w:val="22"/>
          <w:lang w:val="fr-FR"/>
        </w:rPr>
        <w:t>),</w:t>
      </w:r>
    </w:p>
    <w:p w:rsidR="00F56DCA" w:rsidRPr="00A81216" w:rsidRDefault="00F56DCA" w:rsidP="00F56DCA">
      <w:pPr>
        <w:ind w:left="567"/>
        <w:rPr>
          <w:szCs w:val="22"/>
          <w:lang w:val="fr-FR"/>
        </w:rPr>
      </w:pPr>
    </w:p>
    <w:p w:rsidR="00F56DCA" w:rsidRPr="00A81216" w:rsidRDefault="00F56DCA" w:rsidP="00F56DCA">
      <w:pPr>
        <w:ind w:left="567"/>
        <w:rPr>
          <w:szCs w:val="22"/>
          <w:lang w:val="fr-FR"/>
        </w:rPr>
      </w:pPr>
      <w:r w:rsidRPr="00A81216">
        <w:rPr>
          <w:szCs w:val="22"/>
          <w:lang w:val="fr-FR"/>
        </w:rPr>
        <w:t>iii)</w:t>
      </w:r>
      <w:r w:rsidRPr="00A81216">
        <w:rPr>
          <w:szCs w:val="22"/>
          <w:lang w:val="fr-FR"/>
        </w:rPr>
        <w:tab/>
        <w:t>des délégations des États membres de l</w:t>
      </w:r>
      <w:r w:rsidR="0034197B" w:rsidRPr="00A81216">
        <w:rPr>
          <w:szCs w:val="22"/>
          <w:lang w:val="fr-FR"/>
        </w:rPr>
        <w:t>’</w:t>
      </w:r>
      <w:r w:rsidRPr="00A81216">
        <w:rPr>
          <w:szCs w:val="22"/>
          <w:lang w:val="fr-FR"/>
        </w:rPr>
        <w:t>Organisation des Nations Unies qui ne sont pas membres de l</w:t>
      </w:r>
      <w:r w:rsidR="0034197B" w:rsidRPr="00A81216">
        <w:rPr>
          <w:szCs w:val="22"/>
          <w:lang w:val="fr-FR"/>
        </w:rPr>
        <w:t>’</w:t>
      </w:r>
      <w:r w:rsidRPr="00A81216">
        <w:rPr>
          <w:szCs w:val="22"/>
          <w:lang w:val="fr-FR"/>
        </w:rPr>
        <w:t>Organisation Mondiale de la Propriété Intellectuelle et qui sont invités à la conférence en qualité d</w:t>
      </w:r>
      <w:r w:rsidR="0034197B" w:rsidRPr="00A81216">
        <w:rPr>
          <w:szCs w:val="22"/>
          <w:lang w:val="fr-FR"/>
        </w:rPr>
        <w:t>’</w:t>
      </w:r>
      <w:r w:rsidRPr="00A81216">
        <w:rPr>
          <w:szCs w:val="22"/>
          <w:lang w:val="fr-FR"/>
        </w:rPr>
        <w:t>observateurs (ci</w:t>
      </w:r>
      <w:r w:rsidRPr="00A81216">
        <w:rPr>
          <w:szCs w:val="22"/>
          <w:lang w:val="fr-FR"/>
        </w:rPr>
        <w:noBreakHyphen/>
        <w:t xml:space="preserve">après dénommées </w:t>
      </w:r>
      <w:r w:rsidR="0034197B" w:rsidRPr="00A81216">
        <w:rPr>
          <w:szCs w:val="22"/>
          <w:lang w:val="fr-FR"/>
        </w:rPr>
        <w:t>“</w:t>
      </w:r>
      <w:r w:rsidRPr="00A81216">
        <w:rPr>
          <w:szCs w:val="22"/>
          <w:lang w:val="fr-FR"/>
        </w:rPr>
        <w:t>délégations observatrices</w:t>
      </w:r>
      <w:r w:rsidR="0034197B" w:rsidRPr="00A81216">
        <w:rPr>
          <w:szCs w:val="22"/>
          <w:lang w:val="fr-FR"/>
        </w:rPr>
        <w:t>”</w:t>
      </w:r>
      <w:r w:rsidRPr="00A81216">
        <w:rPr>
          <w:szCs w:val="22"/>
          <w:lang w:val="fr-FR"/>
        </w:rPr>
        <w:t>),</w:t>
      </w:r>
    </w:p>
    <w:p w:rsidR="00F56DCA" w:rsidRPr="00A81216" w:rsidRDefault="00F56DCA" w:rsidP="00F56DCA">
      <w:pPr>
        <w:autoSpaceDE w:val="0"/>
        <w:autoSpaceDN w:val="0"/>
        <w:adjustRightInd w:val="0"/>
        <w:ind w:left="567"/>
        <w:rPr>
          <w:szCs w:val="22"/>
          <w:lang w:val="fr-FR"/>
        </w:rPr>
      </w:pPr>
    </w:p>
    <w:p w:rsidR="00F56DCA" w:rsidRPr="00A81216" w:rsidRDefault="00F56DCA" w:rsidP="00F56DCA">
      <w:pPr>
        <w:autoSpaceDE w:val="0"/>
        <w:autoSpaceDN w:val="0"/>
        <w:adjustRightInd w:val="0"/>
        <w:ind w:left="567"/>
        <w:rPr>
          <w:szCs w:val="22"/>
          <w:lang w:val="fr-FR"/>
        </w:rPr>
      </w:pPr>
      <w:r w:rsidRPr="00A81216">
        <w:rPr>
          <w:szCs w:val="22"/>
          <w:lang w:val="fr-FR"/>
        </w:rPr>
        <w:t>iv)</w:t>
      </w:r>
      <w:r w:rsidRPr="00A81216">
        <w:rPr>
          <w:szCs w:val="22"/>
          <w:lang w:val="fr-FR"/>
        </w:rPr>
        <w:tab/>
      </w:r>
      <w:r w:rsidRPr="00A81216">
        <w:rPr>
          <w:rFonts w:eastAsiaTheme="minorHAnsi"/>
          <w:szCs w:val="22"/>
          <w:lang w:val="fr-FR" w:eastAsia="en-US"/>
        </w:rPr>
        <w:t>des représentants d</w:t>
      </w:r>
      <w:r w:rsidR="0034197B" w:rsidRPr="00A81216">
        <w:rPr>
          <w:rFonts w:eastAsiaTheme="minorHAnsi"/>
          <w:szCs w:val="22"/>
          <w:lang w:val="fr-FR" w:eastAsia="en-US"/>
        </w:rPr>
        <w:t>’</w:t>
      </w:r>
      <w:r w:rsidRPr="00A81216">
        <w:rPr>
          <w:rFonts w:eastAsiaTheme="minorHAnsi"/>
          <w:szCs w:val="22"/>
          <w:lang w:val="fr-FR" w:eastAsia="en-US"/>
        </w:rPr>
        <w:t>organisations intergouvernementales et non gouvernementales ou autres invitées à la conférence en qualité d</w:t>
      </w:r>
      <w:r w:rsidR="0034197B" w:rsidRPr="00A81216">
        <w:rPr>
          <w:rFonts w:eastAsiaTheme="minorHAnsi"/>
          <w:szCs w:val="22"/>
          <w:lang w:val="fr-FR" w:eastAsia="en-US"/>
        </w:rPr>
        <w:t>’</w:t>
      </w:r>
      <w:r w:rsidRPr="00A81216">
        <w:rPr>
          <w:rFonts w:eastAsiaTheme="minorHAnsi"/>
          <w:szCs w:val="22"/>
          <w:lang w:val="fr-FR" w:eastAsia="en-US"/>
        </w:rPr>
        <w:t>observatrices (ci</w:t>
      </w:r>
      <w:r w:rsidRPr="00A81216">
        <w:rPr>
          <w:rFonts w:eastAsiaTheme="minorHAnsi"/>
          <w:szCs w:val="22"/>
          <w:lang w:val="fr-FR" w:eastAsia="en-US"/>
        </w:rPr>
        <w:noBreakHyphen/>
        <w:t xml:space="preserve">après dénommés </w:t>
      </w:r>
      <w:r w:rsidR="0034197B" w:rsidRPr="00A81216">
        <w:rPr>
          <w:rFonts w:eastAsiaTheme="minorHAnsi"/>
          <w:szCs w:val="22"/>
          <w:lang w:val="fr-FR" w:eastAsia="en-US"/>
        </w:rPr>
        <w:t>“</w:t>
      </w:r>
      <w:r w:rsidRPr="00A81216">
        <w:rPr>
          <w:rFonts w:eastAsiaTheme="minorHAnsi"/>
          <w:szCs w:val="22"/>
          <w:lang w:val="fr-FR" w:eastAsia="en-US"/>
        </w:rPr>
        <w:t>observateurs</w:t>
      </w:r>
      <w:r w:rsidR="0034197B" w:rsidRPr="00A81216">
        <w:rPr>
          <w:rFonts w:eastAsiaTheme="minorHAnsi"/>
          <w:szCs w:val="22"/>
          <w:lang w:val="fr-FR" w:eastAsia="en-US"/>
        </w:rPr>
        <w:t>”</w:t>
      </w:r>
      <w:r w:rsidRPr="00A81216">
        <w:rPr>
          <w:rFonts w:eastAsiaTheme="minorHAnsi"/>
          <w:szCs w:val="22"/>
          <w:lang w:val="fr-FR" w:eastAsia="en-US"/>
        </w:rPr>
        <w:t>)</w:t>
      </w:r>
      <w:r w:rsidRPr="00A81216">
        <w:rPr>
          <w:szCs w:val="22"/>
          <w:lang w:val="fr-FR"/>
        </w:rPr>
        <w:t>.</w:t>
      </w:r>
    </w:p>
    <w:p w:rsidR="00F56DCA" w:rsidRPr="00A81216" w:rsidRDefault="00F56DCA" w:rsidP="00F56DCA">
      <w:pPr>
        <w:ind w:left="567"/>
        <w:rPr>
          <w:szCs w:val="22"/>
          <w:lang w:val="fr-FR"/>
        </w:rPr>
      </w:pPr>
    </w:p>
    <w:p w:rsidR="00F56DCA" w:rsidRPr="00A81216" w:rsidRDefault="00F56DCA" w:rsidP="00F56DCA">
      <w:pPr>
        <w:rPr>
          <w:szCs w:val="22"/>
          <w:lang w:val="fr-FR"/>
        </w:rPr>
      </w:pPr>
      <w:r w:rsidRPr="00A81216">
        <w:rPr>
          <w:szCs w:val="22"/>
          <w:lang w:val="fr-FR"/>
        </w:rPr>
        <w:t>2)</w:t>
      </w:r>
      <w:r w:rsidRPr="00A81216">
        <w:rPr>
          <w:szCs w:val="22"/>
          <w:lang w:val="fr-FR"/>
        </w:rPr>
        <w:tab/>
        <w:t xml:space="preserve">Sauf indication expresse contraire (voir les articles 11.2), 33 et 34), le terme </w:t>
      </w:r>
      <w:r w:rsidR="0034197B" w:rsidRPr="00A81216">
        <w:rPr>
          <w:szCs w:val="22"/>
          <w:lang w:val="fr-FR"/>
        </w:rPr>
        <w:t>“</w:t>
      </w:r>
      <w:r w:rsidRPr="00A81216">
        <w:rPr>
          <w:szCs w:val="22"/>
          <w:lang w:val="fr-FR"/>
        </w:rPr>
        <w:t>délégations membres</w:t>
      </w:r>
      <w:r w:rsidR="0034197B" w:rsidRPr="00A81216">
        <w:rPr>
          <w:szCs w:val="22"/>
          <w:lang w:val="fr-FR"/>
        </w:rPr>
        <w:t>”</w:t>
      </w:r>
      <w:r w:rsidRPr="00A81216">
        <w:rPr>
          <w:szCs w:val="22"/>
          <w:lang w:val="fr-FR"/>
        </w:rPr>
        <w:t xml:space="preserve"> désigne aussi la délégation spéciale.</w:t>
      </w:r>
    </w:p>
    <w:p w:rsidR="00F56DCA" w:rsidRPr="00A81216" w:rsidRDefault="00F56DCA" w:rsidP="00F56DCA">
      <w:pPr>
        <w:rPr>
          <w:szCs w:val="22"/>
          <w:lang w:val="fr-FR"/>
        </w:rPr>
      </w:pPr>
    </w:p>
    <w:p w:rsidR="00F56DCA" w:rsidRPr="00A81216" w:rsidRDefault="00F56DCA" w:rsidP="00F56DCA">
      <w:pPr>
        <w:rPr>
          <w:szCs w:val="22"/>
          <w:lang w:val="fr-FR"/>
        </w:rPr>
      </w:pPr>
      <w:r w:rsidRPr="00A81216">
        <w:rPr>
          <w:szCs w:val="22"/>
          <w:lang w:val="fr-FR"/>
        </w:rPr>
        <w:t>3)</w:t>
      </w:r>
      <w:r w:rsidRPr="00A81216">
        <w:rPr>
          <w:szCs w:val="22"/>
          <w:lang w:val="fr-FR"/>
        </w:rPr>
        <w:tab/>
        <w:t xml:space="preserve">Le terme </w:t>
      </w:r>
      <w:r w:rsidR="0034197B" w:rsidRPr="00A81216">
        <w:rPr>
          <w:szCs w:val="22"/>
          <w:lang w:val="fr-FR"/>
        </w:rPr>
        <w:t>“</w:t>
      </w:r>
      <w:r w:rsidRPr="00A81216">
        <w:rPr>
          <w:szCs w:val="22"/>
          <w:lang w:val="fr-FR"/>
        </w:rPr>
        <w:t>délégations</w:t>
      </w:r>
      <w:r w:rsidR="0034197B" w:rsidRPr="00A81216">
        <w:rPr>
          <w:szCs w:val="22"/>
          <w:lang w:val="fr-FR"/>
        </w:rPr>
        <w:t>”</w:t>
      </w:r>
      <w:r w:rsidRPr="00A81216">
        <w:rPr>
          <w:szCs w:val="22"/>
          <w:lang w:val="fr-FR"/>
        </w:rPr>
        <w:t xml:space="preserve"> désigne dans le présent règlement les trois types de délégations (délégations membres, délégation spéciale et délégations observatrices) mais n</w:t>
      </w:r>
      <w:r w:rsidR="0034197B" w:rsidRPr="00A81216">
        <w:rPr>
          <w:szCs w:val="22"/>
          <w:lang w:val="fr-FR"/>
        </w:rPr>
        <w:t>’</w:t>
      </w:r>
      <w:r w:rsidRPr="00A81216">
        <w:rPr>
          <w:szCs w:val="22"/>
          <w:lang w:val="fr-FR"/>
        </w:rPr>
        <w:t>inclut pas les observateurs.</w:t>
      </w:r>
    </w:p>
    <w:p w:rsidR="00F56DCA" w:rsidRPr="00A81216" w:rsidRDefault="00F56DCA" w:rsidP="00F56DCA">
      <w:pPr>
        <w:rPr>
          <w:szCs w:val="22"/>
          <w:lang w:val="fr-FR"/>
        </w:rPr>
      </w:pPr>
    </w:p>
    <w:p w:rsidR="00F56DCA" w:rsidRPr="00A81216" w:rsidRDefault="00F56DCA" w:rsidP="00F56DCA">
      <w:pPr>
        <w:rPr>
          <w:szCs w:val="22"/>
          <w:lang w:val="fr-FR"/>
        </w:rPr>
      </w:pPr>
    </w:p>
    <w:p w:rsidR="00F56DCA" w:rsidRPr="00A81216" w:rsidRDefault="00F56DCA" w:rsidP="00F56DCA">
      <w:pPr>
        <w:pStyle w:val="TitleofDoc"/>
        <w:tabs>
          <w:tab w:val="left" w:pos="1276"/>
        </w:tabs>
        <w:spacing w:before="0"/>
        <w:jc w:val="left"/>
        <w:rPr>
          <w:rFonts w:ascii="Arial" w:hAnsi="Arial" w:cs="Arial"/>
          <w:b/>
          <w:caps w:val="0"/>
          <w:sz w:val="22"/>
          <w:szCs w:val="22"/>
          <w:lang w:val="fr-FR"/>
        </w:rPr>
      </w:pPr>
      <w:r w:rsidRPr="00A81216">
        <w:rPr>
          <w:rFonts w:ascii="Arial" w:hAnsi="Arial" w:cs="Arial"/>
          <w:b/>
          <w:caps w:val="0"/>
          <w:sz w:val="22"/>
          <w:szCs w:val="22"/>
          <w:lang w:val="fr-FR"/>
        </w:rPr>
        <w:t xml:space="preserve">Article 2 du règlement intérieur de la Conférence diplomatique pour la conclusion </w:t>
      </w:r>
      <w:r w:rsidRPr="00A81216">
        <w:rPr>
          <w:rFonts w:ascii="Arial" w:hAnsi="Arial" w:cs="Arial"/>
          <w:b/>
          <w:caps w:val="0"/>
          <w:sz w:val="22"/>
          <w:szCs w:val="22"/>
          <w:lang w:val="fr-FR"/>
        </w:rPr>
        <w:br/>
        <w:t>d</w:t>
      </w:r>
      <w:r w:rsidR="0034197B" w:rsidRPr="00A81216">
        <w:rPr>
          <w:rFonts w:ascii="Arial" w:hAnsi="Arial" w:cs="Arial"/>
          <w:b/>
          <w:caps w:val="0"/>
          <w:sz w:val="22"/>
          <w:szCs w:val="22"/>
          <w:lang w:val="fr-FR"/>
        </w:rPr>
        <w:t>’</w:t>
      </w:r>
      <w:r w:rsidRPr="00A81216">
        <w:rPr>
          <w:rFonts w:ascii="Arial" w:hAnsi="Arial" w:cs="Arial"/>
          <w:b/>
          <w:caps w:val="0"/>
          <w:sz w:val="22"/>
          <w:szCs w:val="22"/>
          <w:lang w:val="fr-FR"/>
        </w:rPr>
        <w:t>un traité visant à faciliter l</w:t>
      </w:r>
      <w:r w:rsidR="0034197B" w:rsidRPr="00A81216">
        <w:rPr>
          <w:rFonts w:ascii="Arial" w:hAnsi="Arial" w:cs="Arial"/>
          <w:b/>
          <w:caps w:val="0"/>
          <w:sz w:val="22"/>
          <w:szCs w:val="22"/>
          <w:lang w:val="fr-FR"/>
        </w:rPr>
        <w:t>’</w:t>
      </w:r>
      <w:r w:rsidRPr="00A81216">
        <w:rPr>
          <w:rFonts w:ascii="Arial" w:hAnsi="Arial" w:cs="Arial"/>
          <w:b/>
          <w:caps w:val="0"/>
          <w:sz w:val="22"/>
          <w:szCs w:val="22"/>
          <w:lang w:val="fr-FR"/>
        </w:rPr>
        <w:t xml:space="preserve">accès des déficients visuels et des personnes </w:t>
      </w:r>
      <w:r w:rsidRPr="00A81216">
        <w:rPr>
          <w:rFonts w:ascii="Arial" w:hAnsi="Arial" w:cs="Arial"/>
          <w:b/>
          <w:caps w:val="0"/>
          <w:sz w:val="22"/>
          <w:szCs w:val="22"/>
          <w:lang w:val="fr-FR"/>
        </w:rPr>
        <w:br/>
        <w:t>ayant des difficultés de lecture des textes imprimés aux œuvres publiées (Marrakech, 2013) – document VIP/DC/2</w:t>
      </w:r>
    </w:p>
    <w:p w:rsidR="00F56DCA" w:rsidRPr="00A81216" w:rsidRDefault="00F56DCA" w:rsidP="00F56DCA">
      <w:pPr>
        <w:rPr>
          <w:szCs w:val="22"/>
          <w:lang w:val="fr-FR"/>
        </w:rPr>
      </w:pPr>
    </w:p>
    <w:p w:rsidR="00F56DCA" w:rsidRPr="00A81216" w:rsidRDefault="00F56DCA" w:rsidP="00F56DCA">
      <w:pPr>
        <w:tabs>
          <w:tab w:val="left" w:pos="1418"/>
        </w:tabs>
        <w:rPr>
          <w:szCs w:val="22"/>
          <w:lang w:val="fr-FR"/>
        </w:rPr>
      </w:pPr>
      <w:r w:rsidRPr="00A81216">
        <w:rPr>
          <w:szCs w:val="22"/>
          <w:u w:val="single"/>
          <w:lang w:val="fr-FR"/>
        </w:rPr>
        <w:t>Article 2</w:t>
      </w:r>
      <w:r w:rsidRPr="00A81216">
        <w:rPr>
          <w:szCs w:val="22"/>
          <w:lang w:val="fr-FR"/>
        </w:rPr>
        <w:t xml:space="preserve"> : </w:t>
      </w:r>
      <w:r w:rsidRPr="00A81216">
        <w:rPr>
          <w:szCs w:val="22"/>
          <w:lang w:val="fr-FR"/>
        </w:rPr>
        <w:tab/>
      </w:r>
      <w:r w:rsidRPr="00A81216">
        <w:rPr>
          <w:szCs w:val="22"/>
          <w:u w:val="single"/>
          <w:lang w:val="fr-FR"/>
        </w:rPr>
        <w:t>Composition de la conférence</w:t>
      </w:r>
    </w:p>
    <w:p w:rsidR="00F56DCA" w:rsidRPr="00A81216" w:rsidRDefault="00F56DCA" w:rsidP="00F56DCA">
      <w:pPr>
        <w:rPr>
          <w:szCs w:val="22"/>
          <w:lang w:val="fr-FR"/>
        </w:rPr>
      </w:pPr>
    </w:p>
    <w:p w:rsidR="00F56DCA" w:rsidRPr="00A81216" w:rsidRDefault="00F56DCA" w:rsidP="00F56DCA">
      <w:pPr>
        <w:rPr>
          <w:szCs w:val="22"/>
          <w:lang w:val="fr-FR"/>
        </w:rPr>
      </w:pPr>
      <w:r w:rsidRPr="00A81216">
        <w:rPr>
          <w:szCs w:val="22"/>
          <w:lang w:val="fr-FR"/>
        </w:rPr>
        <w:t>1)</w:t>
      </w:r>
      <w:r w:rsidRPr="00A81216">
        <w:rPr>
          <w:szCs w:val="22"/>
          <w:lang w:val="fr-FR"/>
        </w:rPr>
        <w:tab/>
        <w:t>La conférence se compose</w:t>
      </w:r>
    </w:p>
    <w:p w:rsidR="00F56DCA" w:rsidRPr="00A81216" w:rsidRDefault="00F56DCA" w:rsidP="00F56DCA">
      <w:pPr>
        <w:ind w:left="567"/>
        <w:rPr>
          <w:szCs w:val="22"/>
          <w:lang w:val="fr-FR"/>
        </w:rPr>
      </w:pPr>
    </w:p>
    <w:p w:rsidR="00F56DCA" w:rsidRPr="00A81216" w:rsidRDefault="00F56DCA" w:rsidP="00F56DCA">
      <w:pPr>
        <w:ind w:left="567"/>
        <w:rPr>
          <w:szCs w:val="22"/>
          <w:lang w:val="fr-FR"/>
        </w:rPr>
      </w:pPr>
      <w:r w:rsidRPr="00A81216">
        <w:rPr>
          <w:szCs w:val="22"/>
          <w:lang w:val="fr-FR"/>
        </w:rPr>
        <w:t>i)</w:t>
      </w:r>
      <w:r w:rsidRPr="00A81216">
        <w:rPr>
          <w:szCs w:val="22"/>
          <w:lang w:val="fr-FR"/>
        </w:rPr>
        <w:tab/>
        <w:t>des délégations des États membres de l</w:t>
      </w:r>
      <w:r w:rsidR="0034197B" w:rsidRPr="00A81216">
        <w:rPr>
          <w:szCs w:val="22"/>
          <w:lang w:val="fr-FR"/>
        </w:rPr>
        <w:t>’</w:t>
      </w:r>
      <w:r w:rsidRPr="00A81216">
        <w:rPr>
          <w:szCs w:val="22"/>
          <w:lang w:val="fr-FR"/>
        </w:rPr>
        <w:t>Organisation Mondiale de la Propriété Intellectuelle (ci</w:t>
      </w:r>
      <w:r w:rsidRPr="00A81216">
        <w:rPr>
          <w:szCs w:val="22"/>
          <w:lang w:val="fr-FR"/>
        </w:rPr>
        <w:noBreakHyphen/>
        <w:t xml:space="preserve">après dénommées </w:t>
      </w:r>
      <w:r w:rsidR="0034197B" w:rsidRPr="00A81216">
        <w:rPr>
          <w:szCs w:val="22"/>
          <w:lang w:val="fr-FR"/>
        </w:rPr>
        <w:t>“</w:t>
      </w:r>
      <w:r w:rsidRPr="00A81216">
        <w:rPr>
          <w:szCs w:val="22"/>
          <w:lang w:val="fr-FR"/>
        </w:rPr>
        <w:t>délégations membres</w:t>
      </w:r>
      <w:r w:rsidR="0034197B" w:rsidRPr="00A81216">
        <w:rPr>
          <w:szCs w:val="22"/>
          <w:lang w:val="fr-FR"/>
        </w:rPr>
        <w:t>”</w:t>
      </w:r>
      <w:r w:rsidRPr="00A81216">
        <w:rPr>
          <w:szCs w:val="22"/>
          <w:lang w:val="fr-FR"/>
        </w:rPr>
        <w:t>),</w:t>
      </w:r>
    </w:p>
    <w:p w:rsidR="00F56DCA" w:rsidRPr="00A81216" w:rsidRDefault="00F56DCA" w:rsidP="00F56DCA">
      <w:pPr>
        <w:ind w:left="567"/>
        <w:rPr>
          <w:szCs w:val="22"/>
          <w:lang w:val="fr-FR"/>
        </w:rPr>
      </w:pPr>
    </w:p>
    <w:p w:rsidR="00F56DCA" w:rsidRPr="00A81216" w:rsidRDefault="00F56DCA" w:rsidP="00F56DCA">
      <w:pPr>
        <w:ind w:left="567"/>
        <w:rPr>
          <w:szCs w:val="22"/>
          <w:lang w:val="fr-FR"/>
        </w:rPr>
      </w:pPr>
      <w:r w:rsidRPr="00A81216">
        <w:rPr>
          <w:szCs w:val="22"/>
          <w:lang w:val="fr-FR"/>
        </w:rPr>
        <w:t>ii)</w:t>
      </w:r>
      <w:r w:rsidRPr="00A81216">
        <w:rPr>
          <w:szCs w:val="22"/>
          <w:lang w:val="fr-FR"/>
        </w:rPr>
        <w:tab/>
        <w:t>de la délégation spéciale de l</w:t>
      </w:r>
      <w:r w:rsidR="0034197B" w:rsidRPr="00A81216">
        <w:rPr>
          <w:szCs w:val="22"/>
          <w:lang w:val="fr-FR"/>
        </w:rPr>
        <w:t>’</w:t>
      </w:r>
      <w:r w:rsidRPr="00A81216">
        <w:rPr>
          <w:szCs w:val="22"/>
          <w:lang w:val="fr-FR"/>
        </w:rPr>
        <w:t>Union européenne (ci</w:t>
      </w:r>
      <w:r w:rsidRPr="00A81216">
        <w:rPr>
          <w:szCs w:val="22"/>
          <w:lang w:val="fr-FR"/>
        </w:rPr>
        <w:noBreakHyphen/>
        <w:t xml:space="preserve">après dénommée </w:t>
      </w:r>
      <w:r w:rsidR="0034197B" w:rsidRPr="00A81216">
        <w:rPr>
          <w:szCs w:val="22"/>
          <w:lang w:val="fr-FR"/>
        </w:rPr>
        <w:t>“</w:t>
      </w:r>
      <w:r w:rsidRPr="00A81216">
        <w:rPr>
          <w:szCs w:val="22"/>
          <w:lang w:val="fr-FR"/>
        </w:rPr>
        <w:t>délégation spéciale</w:t>
      </w:r>
      <w:r w:rsidR="0034197B" w:rsidRPr="00A81216">
        <w:rPr>
          <w:szCs w:val="22"/>
          <w:lang w:val="fr-FR"/>
        </w:rPr>
        <w:t>”</w:t>
      </w:r>
      <w:r w:rsidRPr="00A81216">
        <w:rPr>
          <w:szCs w:val="22"/>
          <w:lang w:val="fr-FR"/>
        </w:rPr>
        <w:t>),</w:t>
      </w:r>
    </w:p>
    <w:p w:rsidR="00F56DCA" w:rsidRPr="00A81216" w:rsidRDefault="00F56DCA" w:rsidP="00F56DCA">
      <w:pPr>
        <w:rPr>
          <w:szCs w:val="22"/>
          <w:lang w:val="fr-FR"/>
        </w:rPr>
      </w:pPr>
    </w:p>
    <w:p w:rsidR="00F56DCA" w:rsidRPr="00A81216" w:rsidRDefault="00F56DCA" w:rsidP="00F56DCA">
      <w:pPr>
        <w:ind w:left="567"/>
        <w:rPr>
          <w:szCs w:val="22"/>
          <w:lang w:val="fr-FR"/>
        </w:rPr>
      </w:pPr>
      <w:r w:rsidRPr="00A81216">
        <w:rPr>
          <w:szCs w:val="22"/>
          <w:lang w:val="fr-FR"/>
        </w:rPr>
        <w:t>iii)</w:t>
      </w:r>
      <w:r w:rsidRPr="00A81216">
        <w:rPr>
          <w:szCs w:val="22"/>
          <w:lang w:val="fr-FR"/>
        </w:rPr>
        <w:tab/>
        <w:t>des délégations des États membres de l</w:t>
      </w:r>
      <w:r w:rsidR="0034197B" w:rsidRPr="00A81216">
        <w:rPr>
          <w:szCs w:val="22"/>
          <w:lang w:val="fr-FR"/>
        </w:rPr>
        <w:t>’</w:t>
      </w:r>
      <w:r w:rsidRPr="00A81216">
        <w:rPr>
          <w:szCs w:val="22"/>
          <w:lang w:val="fr-FR"/>
        </w:rPr>
        <w:t>Organisation des Nations Unies qui ne sont pas membres de l</w:t>
      </w:r>
      <w:r w:rsidR="0034197B" w:rsidRPr="00A81216">
        <w:rPr>
          <w:szCs w:val="22"/>
          <w:lang w:val="fr-FR"/>
        </w:rPr>
        <w:t>’</w:t>
      </w:r>
      <w:r w:rsidRPr="00A81216">
        <w:rPr>
          <w:szCs w:val="22"/>
          <w:lang w:val="fr-FR"/>
        </w:rPr>
        <w:t>Organisation Mondiale de la Propriété Intellectuelle et qui sont invités à la conférence en qualité d</w:t>
      </w:r>
      <w:r w:rsidR="0034197B" w:rsidRPr="00A81216">
        <w:rPr>
          <w:szCs w:val="22"/>
          <w:lang w:val="fr-FR"/>
        </w:rPr>
        <w:t>’</w:t>
      </w:r>
      <w:r w:rsidRPr="00A81216">
        <w:rPr>
          <w:szCs w:val="22"/>
          <w:lang w:val="fr-FR"/>
        </w:rPr>
        <w:t>observateurs (ci</w:t>
      </w:r>
      <w:r w:rsidRPr="00A81216">
        <w:rPr>
          <w:szCs w:val="22"/>
          <w:lang w:val="fr-FR"/>
        </w:rPr>
        <w:noBreakHyphen/>
        <w:t xml:space="preserve">après dénommées </w:t>
      </w:r>
      <w:r w:rsidR="0034197B" w:rsidRPr="00A81216">
        <w:rPr>
          <w:szCs w:val="22"/>
          <w:lang w:val="fr-FR"/>
        </w:rPr>
        <w:t>“</w:t>
      </w:r>
      <w:r w:rsidRPr="00A81216">
        <w:rPr>
          <w:szCs w:val="22"/>
          <w:lang w:val="fr-FR"/>
        </w:rPr>
        <w:t>délégations observatrices</w:t>
      </w:r>
      <w:r w:rsidR="0034197B" w:rsidRPr="00A81216">
        <w:rPr>
          <w:szCs w:val="22"/>
          <w:lang w:val="fr-FR"/>
        </w:rPr>
        <w:t>”</w:t>
      </w:r>
      <w:r w:rsidRPr="00A81216">
        <w:rPr>
          <w:szCs w:val="22"/>
          <w:lang w:val="fr-FR"/>
        </w:rPr>
        <w:t>),</w:t>
      </w:r>
    </w:p>
    <w:p w:rsidR="00F56DCA" w:rsidRPr="00A81216" w:rsidRDefault="00F56DCA" w:rsidP="00F56DCA">
      <w:pPr>
        <w:ind w:left="567"/>
        <w:rPr>
          <w:szCs w:val="22"/>
          <w:lang w:val="fr-FR"/>
        </w:rPr>
      </w:pPr>
    </w:p>
    <w:p w:rsidR="00F56DCA" w:rsidRPr="00A81216" w:rsidRDefault="00F56DCA" w:rsidP="00F56DCA">
      <w:pPr>
        <w:ind w:left="567"/>
        <w:rPr>
          <w:szCs w:val="22"/>
          <w:lang w:val="fr-FR"/>
        </w:rPr>
      </w:pPr>
      <w:r w:rsidRPr="00A81216">
        <w:rPr>
          <w:szCs w:val="22"/>
          <w:lang w:val="fr-FR"/>
        </w:rPr>
        <w:t>iv)</w:t>
      </w:r>
      <w:r w:rsidRPr="00A81216">
        <w:rPr>
          <w:szCs w:val="22"/>
          <w:lang w:val="fr-FR"/>
        </w:rPr>
        <w:tab/>
        <w:t>des représentants d</w:t>
      </w:r>
      <w:r w:rsidR="0034197B" w:rsidRPr="00A81216">
        <w:rPr>
          <w:szCs w:val="22"/>
          <w:lang w:val="fr-FR"/>
        </w:rPr>
        <w:t>’</w:t>
      </w:r>
      <w:r w:rsidRPr="00A81216">
        <w:rPr>
          <w:szCs w:val="22"/>
          <w:lang w:val="fr-FR"/>
        </w:rPr>
        <w:t>organisations intergouvernementales et non gouvernementales ou autres invitées à la conférence en qualité d</w:t>
      </w:r>
      <w:r w:rsidR="0034197B" w:rsidRPr="00A81216">
        <w:rPr>
          <w:szCs w:val="22"/>
          <w:lang w:val="fr-FR"/>
        </w:rPr>
        <w:t>’</w:t>
      </w:r>
      <w:r w:rsidRPr="00A81216">
        <w:rPr>
          <w:szCs w:val="22"/>
          <w:lang w:val="fr-FR"/>
        </w:rPr>
        <w:t>observatrices (ci</w:t>
      </w:r>
      <w:r w:rsidRPr="00A81216">
        <w:rPr>
          <w:szCs w:val="22"/>
          <w:lang w:val="fr-FR"/>
        </w:rPr>
        <w:noBreakHyphen/>
        <w:t xml:space="preserve">après dénommés </w:t>
      </w:r>
      <w:r w:rsidR="0034197B" w:rsidRPr="00A81216">
        <w:rPr>
          <w:szCs w:val="22"/>
          <w:lang w:val="fr-FR"/>
        </w:rPr>
        <w:t>“</w:t>
      </w:r>
      <w:r w:rsidRPr="00A81216">
        <w:rPr>
          <w:szCs w:val="22"/>
          <w:lang w:val="fr-FR"/>
        </w:rPr>
        <w:t>observateurs</w:t>
      </w:r>
      <w:r w:rsidR="0034197B" w:rsidRPr="00A81216">
        <w:rPr>
          <w:szCs w:val="22"/>
          <w:lang w:val="fr-FR"/>
        </w:rPr>
        <w:t>”</w:t>
      </w:r>
      <w:r w:rsidRPr="00A81216">
        <w:rPr>
          <w:szCs w:val="22"/>
          <w:lang w:val="fr-FR"/>
        </w:rPr>
        <w:t>).</w:t>
      </w:r>
    </w:p>
    <w:p w:rsidR="00F56DCA" w:rsidRPr="00A81216" w:rsidRDefault="00F56DCA" w:rsidP="00F56DCA">
      <w:pPr>
        <w:pStyle w:val="Endofdocument-Annex"/>
        <w:rPr>
          <w:lang w:val="fr-FR"/>
        </w:rPr>
      </w:pPr>
    </w:p>
    <w:p w:rsidR="00F56DCA" w:rsidRPr="00A81216" w:rsidRDefault="00F56DCA" w:rsidP="00F56DCA">
      <w:pPr>
        <w:pStyle w:val="Endofdocument-Annex"/>
        <w:rPr>
          <w:lang w:val="fr-FR"/>
        </w:rPr>
      </w:pPr>
    </w:p>
    <w:p w:rsidR="00F56DCA" w:rsidRPr="00A81216" w:rsidRDefault="00F56DCA" w:rsidP="00F56DCA">
      <w:pPr>
        <w:pStyle w:val="Endofdocument-Annex"/>
        <w:rPr>
          <w:lang w:val="fr-FR"/>
        </w:rPr>
      </w:pPr>
    </w:p>
    <w:p w:rsidR="00F56DCA" w:rsidRPr="00A81216" w:rsidRDefault="00F56DCA" w:rsidP="00F56DCA">
      <w:pPr>
        <w:pStyle w:val="Endofdocument-Annex"/>
        <w:rPr>
          <w:lang w:val="fr-FR"/>
        </w:rPr>
      </w:pPr>
      <w:r w:rsidRPr="00A81216">
        <w:rPr>
          <w:lang w:val="fr-FR"/>
        </w:rPr>
        <w:t>[Fin de l</w:t>
      </w:r>
      <w:r w:rsidR="0034197B" w:rsidRPr="00A81216">
        <w:rPr>
          <w:lang w:val="fr-FR"/>
        </w:rPr>
        <w:t>’</w:t>
      </w:r>
      <w:r w:rsidRPr="00A81216">
        <w:rPr>
          <w:lang w:val="fr-FR"/>
        </w:rPr>
        <w:t>annexe et du document]</w:t>
      </w:r>
    </w:p>
    <w:p w:rsidR="002F5D64" w:rsidRPr="00A81216" w:rsidRDefault="002F5D64" w:rsidP="00663A83">
      <w:pPr>
        <w:ind w:left="5533"/>
        <w:rPr>
          <w:i/>
          <w:lang w:val="fr-FR"/>
        </w:rPr>
      </w:pPr>
    </w:p>
    <w:p w:rsidR="001E6960" w:rsidRPr="00A81216" w:rsidRDefault="001E6960" w:rsidP="00663A83">
      <w:pPr>
        <w:ind w:left="5533"/>
        <w:rPr>
          <w:i/>
          <w:lang w:val="fr-FR"/>
        </w:rPr>
      </w:pPr>
    </w:p>
    <w:sectPr w:rsidR="001E6960" w:rsidRPr="00A81216" w:rsidSect="003B4E10">
      <w:headerReference w:type="default" r:id="rId11"/>
      <w:headerReference w:type="first" r:id="rId12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692" w:rsidRDefault="00C73692">
      <w:r>
        <w:separator/>
      </w:r>
    </w:p>
  </w:endnote>
  <w:endnote w:type="continuationSeparator" w:id="0">
    <w:p w:rsidR="00C73692" w:rsidRDefault="00C73692" w:rsidP="003B38C1">
      <w:r>
        <w:separator/>
      </w:r>
    </w:p>
    <w:p w:rsidR="00C73692" w:rsidRPr="003B38C1" w:rsidRDefault="00C7369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73692" w:rsidRPr="003B38C1" w:rsidRDefault="00C7369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692" w:rsidRDefault="00C73692">
      <w:r>
        <w:separator/>
      </w:r>
    </w:p>
  </w:footnote>
  <w:footnote w:type="continuationSeparator" w:id="0">
    <w:p w:rsidR="00C73692" w:rsidRDefault="00C73692" w:rsidP="008B60B2">
      <w:r>
        <w:separator/>
      </w:r>
    </w:p>
    <w:p w:rsidR="00C73692" w:rsidRPr="00ED77FB" w:rsidRDefault="00C7369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73692" w:rsidRPr="00ED77FB" w:rsidRDefault="00C7369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53A" w:rsidRDefault="005B553A" w:rsidP="005B553A">
    <w:pPr>
      <w:pStyle w:val="Header"/>
      <w:jc w:val="right"/>
    </w:pPr>
    <w:r>
      <w:t>LI/DC/9</w:t>
    </w:r>
  </w:p>
  <w:p w:rsidR="004A38BE" w:rsidRDefault="00642CEE" w:rsidP="004A38BE">
    <w:pPr>
      <w:pStyle w:val="Header"/>
      <w:jc w:val="right"/>
    </w:pPr>
    <w:proofErr w:type="gramStart"/>
    <w:r>
      <w:t>page</w:t>
    </w:r>
    <w:proofErr w:type="gramEnd"/>
    <w:r>
      <w:t xml:space="preserve"> 2</w:t>
    </w:r>
  </w:p>
  <w:p w:rsidR="004A38BE" w:rsidRDefault="004A38BE" w:rsidP="0099121B">
    <w:pPr>
      <w:pStyle w:val="Header"/>
    </w:pPr>
  </w:p>
  <w:p w:rsidR="00446BB0" w:rsidRPr="0099121B" w:rsidRDefault="00446BB0" w:rsidP="009912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E56" w:rsidRDefault="00347E56" w:rsidP="005B553A">
    <w:pPr>
      <w:pStyle w:val="Header"/>
      <w:jc w:val="right"/>
    </w:pPr>
    <w:r>
      <w:t>LI/DC/9</w:t>
    </w:r>
  </w:p>
  <w:p w:rsidR="00347E56" w:rsidRDefault="00347E56" w:rsidP="004A38BE">
    <w:pPr>
      <w:pStyle w:val="Header"/>
      <w:jc w:val="right"/>
    </w:pPr>
    <w:proofErr w:type="spellStart"/>
    <w:r>
      <w:t>Annexe</w:t>
    </w:r>
    <w:proofErr w:type="spellEnd"/>
    <w:r>
      <w:t xml:space="preserve">, page </w:t>
    </w:r>
    <w:r w:rsidR="003B4E10">
      <w:fldChar w:fldCharType="begin"/>
    </w:r>
    <w:r w:rsidR="003B4E10">
      <w:instrText xml:space="preserve"> PAGE   \* MERGEFORMAT </w:instrText>
    </w:r>
    <w:r w:rsidR="003B4E10">
      <w:fldChar w:fldCharType="separate"/>
    </w:r>
    <w:r w:rsidR="006535DC">
      <w:rPr>
        <w:noProof/>
      </w:rPr>
      <w:t>3</w:t>
    </w:r>
    <w:r w:rsidR="003B4E10">
      <w:rPr>
        <w:noProof/>
      </w:rPr>
      <w:fldChar w:fldCharType="end"/>
    </w:r>
  </w:p>
  <w:p w:rsidR="00347E56" w:rsidRDefault="00347E56" w:rsidP="0099121B">
    <w:pPr>
      <w:pStyle w:val="Header"/>
    </w:pPr>
  </w:p>
  <w:p w:rsidR="00347E56" w:rsidRPr="0099121B" w:rsidRDefault="00347E56" w:rsidP="009912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E56" w:rsidRDefault="00347E56" w:rsidP="00347E56">
    <w:pPr>
      <w:pStyle w:val="Header"/>
      <w:jc w:val="right"/>
    </w:pPr>
    <w:r>
      <w:t>LI/DC/9</w:t>
    </w:r>
  </w:p>
  <w:p w:rsidR="00347E56" w:rsidRDefault="00347E56" w:rsidP="00347E56">
    <w:pPr>
      <w:pStyle w:val="Header"/>
      <w:jc w:val="right"/>
    </w:pPr>
    <w:r>
      <w:t>ANNEXE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B3707A"/>
    <w:multiLevelType w:val="hybridMultilevel"/>
    <w:tmpl w:val="4124703E"/>
    <w:lvl w:ilvl="0" w:tplc="D92E7740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36A1EAA"/>
    <w:multiLevelType w:val="hybridMultilevel"/>
    <w:tmpl w:val="302A1ACC"/>
    <w:lvl w:ilvl="0" w:tplc="F6166466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39D33BF"/>
    <w:multiLevelType w:val="hybridMultilevel"/>
    <w:tmpl w:val="CF720842"/>
    <w:lvl w:ilvl="0" w:tplc="0E4A8E4E">
      <w:start w:val="1"/>
      <w:numFmt w:val="decimal"/>
      <w:lvlText w:val="(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7885D8">
      <w:start w:val="1"/>
      <w:numFmt w:val="lowerRoman"/>
      <w:lvlText w:val="(%2)"/>
      <w:lvlJc w:val="left"/>
      <w:pPr>
        <w:ind w:left="1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627634">
      <w:start w:val="1"/>
      <w:numFmt w:val="lowerRoman"/>
      <w:lvlText w:val="%3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4254FA">
      <w:start w:val="1"/>
      <w:numFmt w:val="decimal"/>
      <w:lvlText w:val="%4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68F8C4">
      <w:start w:val="1"/>
      <w:numFmt w:val="lowerLetter"/>
      <w:lvlText w:val="%5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3CC1BA">
      <w:start w:val="1"/>
      <w:numFmt w:val="lowerRoman"/>
      <w:lvlText w:val="%6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98B01E">
      <w:start w:val="1"/>
      <w:numFmt w:val="decimal"/>
      <w:lvlText w:val="%7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729006">
      <w:start w:val="1"/>
      <w:numFmt w:val="lowerLetter"/>
      <w:lvlText w:val="%8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566840">
      <w:start w:val="1"/>
      <w:numFmt w:val="lowerRoman"/>
      <w:lvlText w:val="%9"/>
      <w:lvlJc w:val="left"/>
      <w:pPr>
        <w:ind w:left="6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86C1C7B"/>
    <w:multiLevelType w:val="hybridMultilevel"/>
    <w:tmpl w:val="E40E7C5C"/>
    <w:lvl w:ilvl="0" w:tplc="11400010">
      <w:start w:val="24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7">
    <w:nsid w:val="1A3A6653"/>
    <w:multiLevelType w:val="hybridMultilevel"/>
    <w:tmpl w:val="778EEFE2"/>
    <w:lvl w:ilvl="0" w:tplc="D49AC75A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270B7CD0"/>
    <w:multiLevelType w:val="hybridMultilevel"/>
    <w:tmpl w:val="093450E0"/>
    <w:lvl w:ilvl="0" w:tplc="32124D34">
      <w:start w:val="1"/>
      <w:numFmt w:val="decimal"/>
      <w:lvlText w:val="(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BCC688">
      <w:start w:val="1"/>
      <w:numFmt w:val="lowerRoman"/>
      <w:lvlText w:val="(%2)"/>
      <w:lvlJc w:val="left"/>
      <w:pPr>
        <w:ind w:left="1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167AEC">
      <w:start w:val="1"/>
      <w:numFmt w:val="lowerRoman"/>
      <w:lvlText w:val="%3"/>
      <w:lvlJc w:val="left"/>
      <w:pPr>
        <w:ind w:left="1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C45842">
      <w:start w:val="1"/>
      <w:numFmt w:val="decimal"/>
      <w:lvlText w:val="%4"/>
      <w:lvlJc w:val="left"/>
      <w:pPr>
        <w:ind w:left="2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2A5CB8">
      <w:start w:val="1"/>
      <w:numFmt w:val="lowerLetter"/>
      <w:lvlText w:val="%5"/>
      <w:lvlJc w:val="left"/>
      <w:pPr>
        <w:ind w:left="3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0899E2">
      <w:start w:val="1"/>
      <w:numFmt w:val="lowerRoman"/>
      <w:lvlText w:val="%6"/>
      <w:lvlJc w:val="left"/>
      <w:pPr>
        <w:ind w:left="3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2C0298">
      <w:start w:val="1"/>
      <w:numFmt w:val="decimal"/>
      <w:lvlText w:val="%7"/>
      <w:lvlJc w:val="left"/>
      <w:pPr>
        <w:ind w:left="4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48352E">
      <w:start w:val="1"/>
      <w:numFmt w:val="lowerLetter"/>
      <w:lvlText w:val="%8"/>
      <w:lvlJc w:val="left"/>
      <w:pPr>
        <w:ind w:left="5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34CAB8">
      <w:start w:val="1"/>
      <w:numFmt w:val="lowerRoman"/>
      <w:lvlText w:val="%9"/>
      <w:lvlJc w:val="left"/>
      <w:pPr>
        <w:ind w:left="6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4577029"/>
    <w:multiLevelType w:val="hybridMultilevel"/>
    <w:tmpl w:val="EC00665E"/>
    <w:lvl w:ilvl="0" w:tplc="23CC8BFC">
      <w:start w:val="1"/>
      <w:numFmt w:val="decimal"/>
      <w:lvlText w:val="(%1)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BB05186"/>
    <w:multiLevelType w:val="hybridMultilevel"/>
    <w:tmpl w:val="96AA68E2"/>
    <w:lvl w:ilvl="0" w:tplc="0EE84648">
      <w:start w:val="1"/>
      <w:numFmt w:val="decimal"/>
      <w:lvlText w:val="(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6CE122">
      <w:start w:val="1"/>
      <w:numFmt w:val="lowerRoman"/>
      <w:lvlText w:val="(%2)"/>
      <w:lvlJc w:val="left"/>
      <w:pPr>
        <w:ind w:left="1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4C6C5A">
      <w:start w:val="1"/>
      <w:numFmt w:val="lowerRoman"/>
      <w:lvlText w:val="%3"/>
      <w:lvlJc w:val="left"/>
      <w:pPr>
        <w:ind w:left="1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DC9E48">
      <w:start w:val="1"/>
      <w:numFmt w:val="decimal"/>
      <w:lvlText w:val="%4"/>
      <w:lvlJc w:val="left"/>
      <w:pPr>
        <w:ind w:left="2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9A5606">
      <w:start w:val="1"/>
      <w:numFmt w:val="lowerLetter"/>
      <w:lvlText w:val="%5"/>
      <w:lvlJc w:val="left"/>
      <w:pPr>
        <w:ind w:left="3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E4F77E">
      <w:start w:val="1"/>
      <w:numFmt w:val="lowerRoman"/>
      <w:lvlText w:val="%6"/>
      <w:lvlJc w:val="left"/>
      <w:pPr>
        <w:ind w:left="3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A20336">
      <w:start w:val="1"/>
      <w:numFmt w:val="decimal"/>
      <w:lvlText w:val="%7"/>
      <w:lvlJc w:val="left"/>
      <w:pPr>
        <w:ind w:left="4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78DD88">
      <w:start w:val="1"/>
      <w:numFmt w:val="lowerLetter"/>
      <w:lvlText w:val="%8"/>
      <w:lvlJc w:val="left"/>
      <w:pPr>
        <w:ind w:left="5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7274FA">
      <w:start w:val="1"/>
      <w:numFmt w:val="lowerRoman"/>
      <w:lvlText w:val="%9"/>
      <w:lvlJc w:val="left"/>
      <w:pPr>
        <w:ind w:left="6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9F0BCF"/>
    <w:multiLevelType w:val="hybridMultilevel"/>
    <w:tmpl w:val="74F20D54"/>
    <w:lvl w:ilvl="0" w:tplc="A41A14DE">
      <w:start w:val="1"/>
      <w:numFmt w:val="decimal"/>
      <w:lvlText w:val="(%1)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74C3AA">
      <w:start w:val="1"/>
      <w:numFmt w:val="lowerRoman"/>
      <w:lvlText w:val="(%2)"/>
      <w:lvlJc w:val="left"/>
      <w:pPr>
        <w:ind w:left="1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C03AD4">
      <w:start w:val="1"/>
      <w:numFmt w:val="lowerRoman"/>
      <w:lvlText w:val="%3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8AAF72">
      <w:start w:val="1"/>
      <w:numFmt w:val="decimal"/>
      <w:lvlText w:val="%4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B032EC">
      <w:start w:val="1"/>
      <w:numFmt w:val="lowerLetter"/>
      <w:lvlText w:val="%5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DC1730">
      <w:start w:val="1"/>
      <w:numFmt w:val="lowerRoman"/>
      <w:lvlText w:val="%6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9E17E2">
      <w:start w:val="1"/>
      <w:numFmt w:val="decimal"/>
      <w:lvlText w:val="%7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F86506">
      <w:start w:val="1"/>
      <w:numFmt w:val="lowerLetter"/>
      <w:lvlText w:val="%8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664652">
      <w:start w:val="1"/>
      <w:numFmt w:val="lowerRoman"/>
      <w:lvlText w:val="%9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9412C57"/>
    <w:multiLevelType w:val="hybridMultilevel"/>
    <w:tmpl w:val="74D23EA4"/>
    <w:lvl w:ilvl="0" w:tplc="84A88960">
      <w:start w:val="1"/>
      <w:numFmt w:val="lowerRoman"/>
      <w:lvlText w:val="(%1)"/>
      <w:lvlJc w:val="left"/>
      <w:pPr>
        <w:ind w:left="1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82FF78">
      <w:start w:val="1"/>
      <w:numFmt w:val="lowerLetter"/>
      <w:lvlText w:val="%2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746DF2">
      <w:start w:val="1"/>
      <w:numFmt w:val="lowerRoman"/>
      <w:lvlText w:val="%3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34FF84">
      <w:start w:val="1"/>
      <w:numFmt w:val="decimal"/>
      <w:lvlText w:val="%4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FA8FE4">
      <w:start w:val="1"/>
      <w:numFmt w:val="lowerLetter"/>
      <w:lvlText w:val="%5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14C830">
      <w:start w:val="1"/>
      <w:numFmt w:val="lowerRoman"/>
      <w:lvlText w:val="%6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CA13FE">
      <w:start w:val="1"/>
      <w:numFmt w:val="decimal"/>
      <w:lvlText w:val="%7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EED504">
      <w:start w:val="1"/>
      <w:numFmt w:val="lowerLetter"/>
      <w:lvlText w:val="%8"/>
      <w:lvlJc w:val="left"/>
      <w:pPr>
        <w:ind w:left="6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9AF7B0">
      <w:start w:val="1"/>
      <w:numFmt w:val="lowerRoman"/>
      <w:lvlText w:val="%9"/>
      <w:lvlJc w:val="left"/>
      <w:pPr>
        <w:ind w:left="7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BA43A3E"/>
    <w:multiLevelType w:val="hybridMultilevel"/>
    <w:tmpl w:val="7C3A5C70"/>
    <w:lvl w:ilvl="0" w:tplc="DEDE66C2">
      <w:start w:val="3"/>
      <w:numFmt w:val="bullet"/>
      <w:lvlText w:val="–"/>
      <w:lvlJc w:val="left"/>
      <w:pPr>
        <w:tabs>
          <w:tab w:val="num" w:pos="1135"/>
        </w:tabs>
        <w:ind w:left="1135" w:hanging="585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17">
    <w:nsid w:val="7B0F3D18"/>
    <w:multiLevelType w:val="hybridMultilevel"/>
    <w:tmpl w:val="CD26C4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3"/>
  </w:num>
  <w:num w:numId="5">
    <w:abstractNumId w:val="3"/>
  </w:num>
  <w:num w:numId="6">
    <w:abstractNumId w:val="8"/>
  </w:num>
  <w:num w:numId="7">
    <w:abstractNumId w:val="7"/>
  </w:num>
  <w:num w:numId="8">
    <w:abstractNumId w:val="16"/>
  </w:num>
  <w:num w:numId="9">
    <w:abstractNumId w:val="6"/>
  </w:num>
  <w:num w:numId="10">
    <w:abstractNumId w:val="1"/>
  </w:num>
  <w:num w:numId="11">
    <w:abstractNumId w:val="14"/>
  </w:num>
  <w:num w:numId="12">
    <w:abstractNumId w:val="9"/>
  </w:num>
  <w:num w:numId="13">
    <w:abstractNumId w:val="12"/>
  </w:num>
  <w:num w:numId="14">
    <w:abstractNumId w:val="4"/>
  </w:num>
  <w:num w:numId="15">
    <w:abstractNumId w:val="15"/>
  </w:num>
  <w:num w:numId="16">
    <w:abstractNumId w:val="11"/>
  </w:num>
  <w:num w:numId="17">
    <w:abstractNumId w:val="1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isplayBackgroundShape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JCHTerm2|WIPONew"/>
    <w:docVar w:name="TermBaseURL" w:val="empty"/>
    <w:docVar w:name="TextBases" w:val="WorkspaceFTS\EN-FR\ACE|WorkspaceFTS\EN-FR\Administratif|WorkspaceFTS\EN-FR\AMC|WorkspaceFTS\EN-FR\Assemblées|WorkspaceFTS\EN-FR\Budapest|WorkspaceFTS\EN-FR\CDIP|WorkspaceFTS\EN-FR\CWS|WorkspaceFTS\EN-FR\Divers|WorkspaceFTS\EN-FR\GRTKF|WorkspaceFTS\EN-FR\Hague|WorkspaceFTS\EN-FR\IPC|WorkspaceFTS\EN-FR\Lisbonne|WorkspaceFTS\EN-FR\Madrid|WorkspaceFTS\EN-FR\MP|WorkspaceFTS\EN-FR\PCT|WorkspaceFTS\EN-FR\PLT|WorkspaceFTS\EN-FR\SCCR|WorkspaceFTS\EN-FR\SCP|WorkspaceFTS\EN-FR\SCT|WorkspaceFTS\EN-FR\UPOV|WorkspaceFTS\EN-FR\WO_CC|WorkspaceFTS\EN-FR\WO_GA|WorkspaceFTS\EN-FR\WO_PBC|Treaties\Model Laws|Treaties\Other Laws and Agreements|Treaties\WIPO-administered|Glossaries\EN-FR|Trademarks\Meetings|Trademarks\Other|Trademarks\Publications|Patents\Meetings|Patents\Other|Patent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IP in General\SpeechDG2014"/>
    <w:docVar w:name="TextBaseURL" w:val="empty"/>
    <w:docVar w:name="UILng" w:val="en"/>
  </w:docVars>
  <w:rsids>
    <w:rsidRoot w:val="005D739A"/>
    <w:rsid w:val="000017A5"/>
    <w:rsid w:val="00014147"/>
    <w:rsid w:val="00023C95"/>
    <w:rsid w:val="000324EE"/>
    <w:rsid w:val="00043897"/>
    <w:rsid w:val="00043CAA"/>
    <w:rsid w:val="000548F7"/>
    <w:rsid w:val="0006513A"/>
    <w:rsid w:val="000748F8"/>
    <w:rsid w:val="00075432"/>
    <w:rsid w:val="00075EF2"/>
    <w:rsid w:val="00077C1C"/>
    <w:rsid w:val="0008417D"/>
    <w:rsid w:val="00090937"/>
    <w:rsid w:val="000968ED"/>
    <w:rsid w:val="000976ED"/>
    <w:rsid w:val="00097DEA"/>
    <w:rsid w:val="000B1203"/>
    <w:rsid w:val="000B23A0"/>
    <w:rsid w:val="000C3DB4"/>
    <w:rsid w:val="000C597F"/>
    <w:rsid w:val="000D0706"/>
    <w:rsid w:val="000D2934"/>
    <w:rsid w:val="000D4F4D"/>
    <w:rsid w:val="000D7940"/>
    <w:rsid w:val="000E0169"/>
    <w:rsid w:val="000F5E56"/>
    <w:rsid w:val="000F781F"/>
    <w:rsid w:val="000F7A63"/>
    <w:rsid w:val="00113C31"/>
    <w:rsid w:val="001362EE"/>
    <w:rsid w:val="00143109"/>
    <w:rsid w:val="00144D97"/>
    <w:rsid w:val="00151995"/>
    <w:rsid w:val="001712E3"/>
    <w:rsid w:val="001832A6"/>
    <w:rsid w:val="00184807"/>
    <w:rsid w:val="001A75CB"/>
    <w:rsid w:val="001E5A16"/>
    <w:rsid w:val="001E6960"/>
    <w:rsid w:val="001E710F"/>
    <w:rsid w:val="001F00C3"/>
    <w:rsid w:val="001F44EB"/>
    <w:rsid w:val="002165BB"/>
    <w:rsid w:val="00240871"/>
    <w:rsid w:val="00247566"/>
    <w:rsid w:val="002611E4"/>
    <w:rsid w:val="002634C4"/>
    <w:rsid w:val="00277720"/>
    <w:rsid w:val="00284EC5"/>
    <w:rsid w:val="002928D3"/>
    <w:rsid w:val="0029475F"/>
    <w:rsid w:val="002C1D9B"/>
    <w:rsid w:val="002C5E46"/>
    <w:rsid w:val="002D22CE"/>
    <w:rsid w:val="002D3EA9"/>
    <w:rsid w:val="002F1FE6"/>
    <w:rsid w:val="002F4E68"/>
    <w:rsid w:val="002F5D64"/>
    <w:rsid w:val="003048CB"/>
    <w:rsid w:val="00310632"/>
    <w:rsid w:val="00312F7F"/>
    <w:rsid w:val="00334205"/>
    <w:rsid w:val="003353DD"/>
    <w:rsid w:val="00336355"/>
    <w:rsid w:val="0034197B"/>
    <w:rsid w:val="00342C2E"/>
    <w:rsid w:val="00347E56"/>
    <w:rsid w:val="00356E8B"/>
    <w:rsid w:val="003673CF"/>
    <w:rsid w:val="003701D3"/>
    <w:rsid w:val="003845C1"/>
    <w:rsid w:val="003858A1"/>
    <w:rsid w:val="003A6B32"/>
    <w:rsid w:val="003A6F89"/>
    <w:rsid w:val="003B38C1"/>
    <w:rsid w:val="003B4E10"/>
    <w:rsid w:val="003B7B06"/>
    <w:rsid w:val="003C4D01"/>
    <w:rsid w:val="003C4FF0"/>
    <w:rsid w:val="003D376A"/>
    <w:rsid w:val="003D463F"/>
    <w:rsid w:val="003E2AF4"/>
    <w:rsid w:val="003E3579"/>
    <w:rsid w:val="003E662E"/>
    <w:rsid w:val="003F14DE"/>
    <w:rsid w:val="003F3CEC"/>
    <w:rsid w:val="003F5CA5"/>
    <w:rsid w:val="004021FC"/>
    <w:rsid w:val="00412B91"/>
    <w:rsid w:val="00420B95"/>
    <w:rsid w:val="00423E3E"/>
    <w:rsid w:val="00427AF4"/>
    <w:rsid w:val="00436779"/>
    <w:rsid w:val="00442129"/>
    <w:rsid w:val="004433CC"/>
    <w:rsid w:val="00445382"/>
    <w:rsid w:val="00446BB0"/>
    <w:rsid w:val="00453136"/>
    <w:rsid w:val="00461C73"/>
    <w:rsid w:val="004647DA"/>
    <w:rsid w:val="00474062"/>
    <w:rsid w:val="004744E1"/>
    <w:rsid w:val="00477C50"/>
    <w:rsid w:val="00477D6B"/>
    <w:rsid w:val="004841EF"/>
    <w:rsid w:val="004A28D5"/>
    <w:rsid w:val="004A2CE0"/>
    <w:rsid w:val="004A38BE"/>
    <w:rsid w:val="004B7FA6"/>
    <w:rsid w:val="004C07DB"/>
    <w:rsid w:val="004C4E6B"/>
    <w:rsid w:val="004D255F"/>
    <w:rsid w:val="004E2371"/>
    <w:rsid w:val="004E2B0E"/>
    <w:rsid w:val="004F0D75"/>
    <w:rsid w:val="005019FF"/>
    <w:rsid w:val="00506B76"/>
    <w:rsid w:val="0051353B"/>
    <w:rsid w:val="00523362"/>
    <w:rsid w:val="0053057A"/>
    <w:rsid w:val="00537483"/>
    <w:rsid w:val="00545D4F"/>
    <w:rsid w:val="00547154"/>
    <w:rsid w:val="00560A29"/>
    <w:rsid w:val="00560B0A"/>
    <w:rsid w:val="00581F76"/>
    <w:rsid w:val="005B2D3C"/>
    <w:rsid w:val="005B2E76"/>
    <w:rsid w:val="005B553A"/>
    <w:rsid w:val="005C0B30"/>
    <w:rsid w:val="005D0A2C"/>
    <w:rsid w:val="005D739A"/>
    <w:rsid w:val="00605827"/>
    <w:rsid w:val="0062277E"/>
    <w:rsid w:val="00622C00"/>
    <w:rsid w:val="00635C6E"/>
    <w:rsid w:val="0063749C"/>
    <w:rsid w:val="00642CEE"/>
    <w:rsid w:val="00644389"/>
    <w:rsid w:val="00646050"/>
    <w:rsid w:val="00646B20"/>
    <w:rsid w:val="006535DC"/>
    <w:rsid w:val="00653DE4"/>
    <w:rsid w:val="00663A83"/>
    <w:rsid w:val="006713CA"/>
    <w:rsid w:val="00672149"/>
    <w:rsid w:val="00676C5C"/>
    <w:rsid w:val="00690E85"/>
    <w:rsid w:val="006A1350"/>
    <w:rsid w:val="006A6243"/>
    <w:rsid w:val="006D35D7"/>
    <w:rsid w:val="006D6452"/>
    <w:rsid w:val="006E15A0"/>
    <w:rsid w:val="006F6906"/>
    <w:rsid w:val="00700560"/>
    <w:rsid w:val="00711722"/>
    <w:rsid w:val="00727164"/>
    <w:rsid w:val="007318F0"/>
    <w:rsid w:val="00735B95"/>
    <w:rsid w:val="007378B5"/>
    <w:rsid w:val="007476AE"/>
    <w:rsid w:val="00747CE5"/>
    <w:rsid w:val="007527B4"/>
    <w:rsid w:val="00753C33"/>
    <w:rsid w:val="00757B01"/>
    <w:rsid w:val="007610C8"/>
    <w:rsid w:val="007620E6"/>
    <w:rsid w:val="0079049A"/>
    <w:rsid w:val="00797682"/>
    <w:rsid w:val="007A5C08"/>
    <w:rsid w:val="007B683B"/>
    <w:rsid w:val="007B70F7"/>
    <w:rsid w:val="007D1613"/>
    <w:rsid w:val="007E0BE6"/>
    <w:rsid w:val="007E4258"/>
    <w:rsid w:val="007E7FB5"/>
    <w:rsid w:val="007F0BA5"/>
    <w:rsid w:val="007F5920"/>
    <w:rsid w:val="00801F00"/>
    <w:rsid w:val="008054B3"/>
    <w:rsid w:val="008147D7"/>
    <w:rsid w:val="0082321A"/>
    <w:rsid w:val="00836218"/>
    <w:rsid w:val="00840D63"/>
    <w:rsid w:val="00855F64"/>
    <w:rsid w:val="0085682B"/>
    <w:rsid w:val="00871243"/>
    <w:rsid w:val="00877200"/>
    <w:rsid w:val="008A590E"/>
    <w:rsid w:val="008A59A0"/>
    <w:rsid w:val="008B2CC1"/>
    <w:rsid w:val="008B60B2"/>
    <w:rsid w:val="008B6CC0"/>
    <w:rsid w:val="008C6EC5"/>
    <w:rsid w:val="008E370E"/>
    <w:rsid w:val="008F0372"/>
    <w:rsid w:val="008F4B96"/>
    <w:rsid w:val="009072C8"/>
    <w:rsid w:val="0090731E"/>
    <w:rsid w:val="00916EE2"/>
    <w:rsid w:val="00921B27"/>
    <w:rsid w:val="00924E66"/>
    <w:rsid w:val="0094268B"/>
    <w:rsid w:val="00946092"/>
    <w:rsid w:val="009606C8"/>
    <w:rsid w:val="00966A22"/>
    <w:rsid w:val="0096722F"/>
    <w:rsid w:val="0097274C"/>
    <w:rsid w:val="00975A1A"/>
    <w:rsid w:val="00980843"/>
    <w:rsid w:val="00981EAD"/>
    <w:rsid w:val="009823B8"/>
    <w:rsid w:val="009845F5"/>
    <w:rsid w:val="00984A10"/>
    <w:rsid w:val="0099121B"/>
    <w:rsid w:val="00994037"/>
    <w:rsid w:val="009956B8"/>
    <w:rsid w:val="009A469A"/>
    <w:rsid w:val="009A7AD5"/>
    <w:rsid w:val="009C3AE9"/>
    <w:rsid w:val="009D7209"/>
    <w:rsid w:val="009E08BA"/>
    <w:rsid w:val="009E1364"/>
    <w:rsid w:val="009E2791"/>
    <w:rsid w:val="009E3F6F"/>
    <w:rsid w:val="009E7DAD"/>
    <w:rsid w:val="009F499F"/>
    <w:rsid w:val="00A24123"/>
    <w:rsid w:val="00A27F3E"/>
    <w:rsid w:val="00A42DAF"/>
    <w:rsid w:val="00A459F8"/>
    <w:rsid w:val="00A45BD8"/>
    <w:rsid w:val="00A46C76"/>
    <w:rsid w:val="00A50BF2"/>
    <w:rsid w:val="00A55ABF"/>
    <w:rsid w:val="00A81216"/>
    <w:rsid w:val="00A8292F"/>
    <w:rsid w:val="00A869B7"/>
    <w:rsid w:val="00A933E9"/>
    <w:rsid w:val="00A963A0"/>
    <w:rsid w:val="00A967E2"/>
    <w:rsid w:val="00AA2B17"/>
    <w:rsid w:val="00AA4AD3"/>
    <w:rsid w:val="00AB7D1C"/>
    <w:rsid w:val="00AC205C"/>
    <w:rsid w:val="00AC2FFE"/>
    <w:rsid w:val="00AC5721"/>
    <w:rsid w:val="00AD0327"/>
    <w:rsid w:val="00AD6619"/>
    <w:rsid w:val="00AF0A6B"/>
    <w:rsid w:val="00B04399"/>
    <w:rsid w:val="00B05A69"/>
    <w:rsid w:val="00B0710D"/>
    <w:rsid w:val="00B071DB"/>
    <w:rsid w:val="00B414F4"/>
    <w:rsid w:val="00B433AF"/>
    <w:rsid w:val="00B4584A"/>
    <w:rsid w:val="00B6304F"/>
    <w:rsid w:val="00B65B34"/>
    <w:rsid w:val="00B70ED6"/>
    <w:rsid w:val="00B7780D"/>
    <w:rsid w:val="00B843DE"/>
    <w:rsid w:val="00B87520"/>
    <w:rsid w:val="00B91491"/>
    <w:rsid w:val="00B95676"/>
    <w:rsid w:val="00B9734B"/>
    <w:rsid w:val="00BA71FC"/>
    <w:rsid w:val="00BB092A"/>
    <w:rsid w:val="00BB49DC"/>
    <w:rsid w:val="00BD5036"/>
    <w:rsid w:val="00BE4590"/>
    <w:rsid w:val="00BE7362"/>
    <w:rsid w:val="00BF605C"/>
    <w:rsid w:val="00C00436"/>
    <w:rsid w:val="00C11BFE"/>
    <w:rsid w:val="00C17BB4"/>
    <w:rsid w:val="00C2282A"/>
    <w:rsid w:val="00C30042"/>
    <w:rsid w:val="00C33DAD"/>
    <w:rsid w:val="00C53C39"/>
    <w:rsid w:val="00C56EE0"/>
    <w:rsid w:val="00C63976"/>
    <w:rsid w:val="00C73692"/>
    <w:rsid w:val="00C74D39"/>
    <w:rsid w:val="00CC114E"/>
    <w:rsid w:val="00CD4F30"/>
    <w:rsid w:val="00CE517B"/>
    <w:rsid w:val="00CE5377"/>
    <w:rsid w:val="00CE5BA0"/>
    <w:rsid w:val="00CF0E6C"/>
    <w:rsid w:val="00CF1AC0"/>
    <w:rsid w:val="00D068E9"/>
    <w:rsid w:val="00D168E7"/>
    <w:rsid w:val="00D225C2"/>
    <w:rsid w:val="00D31559"/>
    <w:rsid w:val="00D4172C"/>
    <w:rsid w:val="00D44EC8"/>
    <w:rsid w:val="00D45252"/>
    <w:rsid w:val="00D45FB8"/>
    <w:rsid w:val="00D5531C"/>
    <w:rsid w:val="00D63690"/>
    <w:rsid w:val="00D64509"/>
    <w:rsid w:val="00D64A53"/>
    <w:rsid w:val="00D714D3"/>
    <w:rsid w:val="00D71B4D"/>
    <w:rsid w:val="00D7457B"/>
    <w:rsid w:val="00D805C0"/>
    <w:rsid w:val="00D82C66"/>
    <w:rsid w:val="00D90C72"/>
    <w:rsid w:val="00D93D55"/>
    <w:rsid w:val="00D956A3"/>
    <w:rsid w:val="00D97EA2"/>
    <w:rsid w:val="00DC4F6C"/>
    <w:rsid w:val="00DC711F"/>
    <w:rsid w:val="00E07A10"/>
    <w:rsid w:val="00E151DB"/>
    <w:rsid w:val="00E267FD"/>
    <w:rsid w:val="00E26819"/>
    <w:rsid w:val="00E335FE"/>
    <w:rsid w:val="00E376B3"/>
    <w:rsid w:val="00E41F62"/>
    <w:rsid w:val="00E479B5"/>
    <w:rsid w:val="00E6227E"/>
    <w:rsid w:val="00E65991"/>
    <w:rsid w:val="00E65F9E"/>
    <w:rsid w:val="00E72392"/>
    <w:rsid w:val="00E97691"/>
    <w:rsid w:val="00EB028A"/>
    <w:rsid w:val="00EB36E9"/>
    <w:rsid w:val="00EB39F9"/>
    <w:rsid w:val="00EC4A4F"/>
    <w:rsid w:val="00EC4B6B"/>
    <w:rsid w:val="00EC4E49"/>
    <w:rsid w:val="00ED77FB"/>
    <w:rsid w:val="00EE02F1"/>
    <w:rsid w:val="00EE45FA"/>
    <w:rsid w:val="00EE7755"/>
    <w:rsid w:val="00EF20E3"/>
    <w:rsid w:val="00F076A8"/>
    <w:rsid w:val="00F1007F"/>
    <w:rsid w:val="00F213FD"/>
    <w:rsid w:val="00F26550"/>
    <w:rsid w:val="00F26569"/>
    <w:rsid w:val="00F2742D"/>
    <w:rsid w:val="00F34E85"/>
    <w:rsid w:val="00F53001"/>
    <w:rsid w:val="00F535E3"/>
    <w:rsid w:val="00F55A8B"/>
    <w:rsid w:val="00F56DCA"/>
    <w:rsid w:val="00F6149A"/>
    <w:rsid w:val="00F627D9"/>
    <w:rsid w:val="00F646D8"/>
    <w:rsid w:val="00F66152"/>
    <w:rsid w:val="00F66A0E"/>
    <w:rsid w:val="00F777A3"/>
    <w:rsid w:val="00F973F0"/>
    <w:rsid w:val="00FA2793"/>
    <w:rsid w:val="00FA5737"/>
    <w:rsid w:val="00FB26CE"/>
    <w:rsid w:val="00FC4FBC"/>
    <w:rsid w:val="00FF1B3F"/>
    <w:rsid w:val="00FF4FDE"/>
    <w:rsid w:val="00F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021F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semiHidden/>
    <w:rsid w:val="00FA2793"/>
    <w:rPr>
      <w:vertAlign w:val="superscript"/>
    </w:rPr>
  </w:style>
  <w:style w:type="character" w:styleId="CommentReference">
    <w:name w:val="annotation reference"/>
    <w:semiHidden/>
    <w:rsid w:val="00B7780D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7780D"/>
    <w:rPr>
      <w:b/>
      <w:bCs/>
      <w:sz w:val="20"/>
    </w:rPr>
  </w:style>
  <w:style w:type="paragraph" w:styleId="BalloonText">
    <w:name w:val="Balloon Text"/>
    <w:basedOn w:val="Normal"/>
    <w:semiHidden/>
    <w:rsid w:val="00B778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547E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1E6960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uiPriority w:val="9"/>
    <w:rsid w:val="001E6960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44EC8"/>
    <w:rPr>
      <w:rFonts w:ascii="Arial" w:eastAsia="SimSun" w:hAnsi="Arial" w:cs="Arial"/>
      <w:sz w:val="22"/>
      <w:lang w:eastAsia="zh-CN"/>
    </w:rPr>
  </w:style>
  <w:style w:type="character" w:customStyle="1" w:styleId="underline">
    <w:name w:val="underline"/>
    <w:basedOn w:val="DefaultParagraphFont"/>
    <w:rsid w:val="00F646D8"/>
    <w:rPr>
      <w:u w:val="single"/>
    </w:rPr>
  </w:style>
  <w:style w:type="paragraph" w:customStyle="1" w:styleId="imarge">
    <w:name w:val="_i_marge"/>
    <w:basedOn w:val="Normal"/>
    <w:rsid w:val="00F646D8"/>
    <w:pPr>
      <w:tabs>
        <w:tab w:val="right" w:pos="1021"/>
        <w:tab w:val="left" w:pos="1418"/>
      </w:tabs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itleofDoc">
    <w:name w:val="Title of Doc"/>
    <w:basedOn w:val="Normal"/>
    <w:rsid w:val="00F56DCA"/>
    <w:pPr>
      <w:spacing w:before="1200"/>
      <w:jc w:val="center"/>
    </w:pPr>
    <w:rPr>
      <w:rFonts w:ascii="Times New Roman" w:eastAsia="Times New Roman" w:hAnsi="Times New Roman" w:cs="Times New Roman"/>
      <w:cap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021F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semiHidden/>
    <w:rsid w:val="00FA2793"/>
    <w:rPr>
      <w:vertAlign w:val="superscript"/>
    </w:rPr>
  </w:style>
  <w:style w:type="character" w:styleId="CommentReference">
    <w:name w:val="annotation reference"/>
    <w:semiHidden/>
    <w:rsid w:val="00B7780D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7780D"/>
    <w:rPr>
      <w:b/>
      <w:bCs/>
      <w:sz w:val="20"/>
    </w:rPr>
  </w:style>
  <w:style w:type="paragraph" w:styleId="BalloonText">
    <w:name w:val="Balloon Text"/>
    <w:basedOn w:val="Normal"/>
    <w:semiHidden/>
    <w:rsid w:val="00B778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F547E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1E6960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link w:val="Heading2"/>
    <w:uiPriority w:val="9"/>
    <w:rsid w:val="001E6960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44EC8"/>
    <w:rPr>
      <w:rFonts w:ascii="Arial" w:eastAsia="SimSun" w:hAnsi="Arial" w:cs="Arial"/>
      <w:sz w:val="22"/>
      <w:lang w:eastAsia="zh-CN"/>
    </w:rPr>
  </w:style>
  <w:style w:type="character" w:customStyle="1" w:styleId="underline">
    <w:name w:val="underline"/>
    <w:basedOn w:val="DefaultParagraphFont"/>
    <w:rsid w:val="00F646D8"/>
    <w:rPr>
      <w:u w:val="single"/>
    </w:rPr>
  </w:style>
  <w:style w:type="paragraph" w:customStyle="1" w:styleId="imarge">
    <w:name w:val="_i_marge"/>
    <w:basedOn w:val="Normal"/>
    <w:rsid w:val="00F646D8"/>
    <w:pPr>
      <w:tabs>
        <w:tab w:val="right" w:pos="1021"/>
        <w:tab w:val="left" w:pos="1418"/>
      </w:tabs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itleofDoc">
    <w:name w:val="Title of Doc"/>
    <w:basedOn w:val="Normal"/>
    <w:rsid w:val="00F56DCA"/>
    <w:pPr>
      <w:spacing w:before="1200"/>
      <w:jc w:val="center"/>
    </w:pPr>
    <w:rPr>
      <w:rFonts w:ascii="Times New Roman" w:eastAsia="Times New Roman" w:hAnsi="Times New Roman" w:cs="Times New Roman"/>
      <w:cap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1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E56F8-1337-4F65-9849-7DE5D9C68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1389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SCT/27/</vt:lpstr>
    </vt:vector>
  </TitlesOfParts>
  <Company>WIPO</Company>
  <LinksUpToDate>false</LinksUpToDate>
  <CharactersWithSpaces>10270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SCT/27/</dc:title>
  <dc:creator>Margarita Marcel de Griffiths</dc:creator>
  <cp:lastModifiedBy>HERMANS Jean-Christophe</cp:lastModifiedBy>
  <cp:revision>76</cp:revision>
  <cp:lastPrinted>2015-05-10T08:35:00Z</cp:lastPrinted>
  <dcterms:created xsi:type="dcterms:W3CDTF">2015-05-08T15:45:00Z</dcterms:created>
  <dcterms:modified xsi:type="dcterms:W3CDTF">2015-05-10T08:36:00Z</dcterms:modified>
</cp:coreProperties>
</file>