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8927BD" w:rsidP="00916EE2">
            <w:r>
              <w:rPr>
                <w:noProof/>
                <w:lang w:eastAsia="en-US"/>
              </w:rPr>
              <w:drawing>
                <wp:inline distT="0" distB="0" distL="0" distR="0">
                  <wp:extent cx="185737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B3BB9" w:rsidP="00F63204">
            <w:pPr>
              <w:jc w:val="right"/>
              <w:rPr>
                <w:rFonts w:ascii="Arial Black" w:hAnsi="Arial Black"/>
                <w:caps/>
                <w:sz w:val="15"/>
              </w:rPr>
            </w:pPr>
            <w:r>
              <w:rPr>
                <w:rFonts w:ascii="Arial Black" w:hAnsi="Arial Black"/>
                <w:caps/>
                <w:sz w:val="15"/>
              </w:rPr>
              <w:t>LI/WG/DEV/10</w:t>
            </w:r>
            <w:r w:rsidR="003C67CA">
              <w:rPr>
                <w:rFonts w:ascii="Arial Black" w:hAnsi="Arial Black"/>
                <w:caps/>
                <w:sz w:val="15"/>
              </w:rPr>
              <w:t>/6</w:t>
            </w:r>
            <w:r w:rsidR="00FD155F">
              <w:rPr>
                <w:rFonts w:ascii="Arial Black" w:hAnsi="Arial Black"/>
                <w:caps/>
                <w:sz w:val="15"/>
              </w:rPr>
              <w:t xml:space="preserve"> </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0" w:name="Original"/>
            <w:bookmarkEnd w:id="0"/>
            <w:r w:rsidR="003D1CD1">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bookmarkStart w:id="1" w:name="Date"/>
            <w:bookmarkEnd w:id="1"/>
            <w:r w:rsidR="002B3BB9">
              <w:rPr>
                <w:rFonts w:ascii="Arial Black" w:hAnsi="Arial Black"/>
                <w:caps/>
                <w:sz w:val="15"/>
              </w:rPr>
              <w:t xml:space="preserve">  October</w:t>
            </w:r>
            <w:r w:rsidR="00F32B00">
              <w:rPr>
                <w:rFonts w:ascii="Arial Black" w:hAnsi="Arial Black"/>
                <w:caps/>
                <w:sz w:val="15"/>
              </w:rPr>
              <w:t xml:space="preserve"> </w:t>
            </w:r>
            <w:r w:rsidR="002B3BB9">
              <w:rPr>
                <w:rFonts w:ascii="Arial Black" w:hAnsi="Arial Black"/>
                <w:caps/>
                <w:sz w:val="15"/>
              </w:rPr>
              <w:t>31</w:t>
            </w:r>
            <w:r w:rsidR="003D1CD1">
              <w:rPr>
                <w:rFonts w:ascii="Arial Black" w:hAnsi="Arial Black"/>
                <w:caps/>
                <w:sz w:val="15"/>
              </w:rPr>
              <w:t>, 201</w:t>
            </w:r>
            <w:r w:rsidR="00CD198B">
              <w:rPr>
                <w:rFonts w:ascii="Arial Black" w:hAnsi="Arial Black"/>
                <w:caps/>
                <w:sz w:val="15"/>
              </w:rPr>
              <w:t>4</w:t>
            </w:r>
          </w:p>
        </w:tc>
      </w:tr>
    </w:tbl>
    <w:p w:rsidR="008B2CC1" w:rsidRPr="008B2CC1" w:rsidRDefault="008B2CC1" w:rsidP="008B2CC1"/>
    <w:p w:rsidR="00841F1D" w:rsidRDefault="00841F1D" w:rsidP="008B2CC1"/>
    <w:p w:rsidR="002A548B" w:rsidRDefault="002A548B" w:rsidP="008B2CC1"/>
    <w:p w:rsidR="004F438D" w:rsidRPr="008B2CC1" w:rsidRDefault="004F438D" w:rsidP="008B2CC1"/>
    <w:p w:rsidR="00A121C9" w:rsidRDefault="00C839C8" w:rsidP="008B2CC1">
      <w:pPr>
        <w:rPr>
          <w:b/>
          <w:sz w:val="28"/>
          <w:szCs w:val="28"/>
        </w:rPr>
      </w:pPr>
      <w:r>
        <w:rPr>
          <w:b/>
          <w:sz w:val="28"/>
          <w:szCs w:val="28"/>
        </w:rPr>
        <w:t xml:space="preserve">Working Group on the Development of the </w:t>
      </w:r>
      <w:smartTag w:uri="urn:schemas-microsoft-com:office:smarttags" w:element="place">
        <w:smartTag w:uri="urn:schemas-microsoft-com:office:smarttags" w:element="City">
          <w:r>
            <w:rPr>
              <w:b/>
              <w:sz w:val="28"/>
              <w:szCs w:val="28"/>
            </w:rPr>
            <w:t>Lisbon</w:t>
          </w:r>
        </w:smartTag>
      </w:smartTag>
      <w:r>
        <w:rPr>
          <w:b/>
          <w:sz w:val="28"/>
          <w:szCs w:val="28"/>
        </w:rPr>
        <w:t xml:space="preserve"> System</w:t>
      </w:r>
    </w:p>
    <w:p w:rsidR="008B2CC1" w:rsidRPr="003845C1" w:rsidRDefault="00C839C8" w:rsidP="008B2CC1">
      <w:pPr>
        <w:rPr>
          <w:b/>
          <w:sz w:val="28"/>
          <w:szCs w:val="28"/>
        </w:rPr>
      </w:pPr>
      <w:r>
        <w:rPr>
          <w:b/>
          <w:sz w:val="28"/>
          <w:szCs w:val="28"/>
        </w:rPr>
        <w:t>(Appellations of Origin)</w:t>
      </w:r>
    </w:p>
    <w:p w:rsidR="003845C1" w:rsidRDefault="003845C1" w:rsidP="003845C1"/>
    <w:p w:rsidR="003845C1" w:rsidRDefault="003845C1" w:rsidP="003845C1"/>
    <w:p w:rsidR="008B2CC1" w:rsidRPr="003845C1" w:rsidRDefault="002B3BB9" w:rsidP="008B2CC1">
      <w:pPr>
        <w:rPr>
          <w:b/>
          <w:sz w:val="24"/>
          <w:szCs w:val="24"/>
        </w:rPr>
      </w:pPr>
      <w:r>
        <w:rPr>
          <w:b/>
          <w:sz w:val="24"/>
          <w:szCs w:val="24"/>
        </w:rPr>
        <w:t>Ten</w:t>
      </w:r>
      <w:r w:rsidR="00C839C8">
        <w:rPr>
          <w:b/>
          <w:sz w:val="24"/>
          <w:szCs w:val="24"/>
        </w:rPr>
        <w:t xml:space="preserve">th </w:t>
      </w:r>
      <w:r w:rsidR="003845C1" w:rsidRPr="003845C1">
        <w:rPr>
          <w:b/>
          <w:sz w:val="24"/>
          <w:szCs w:val="24"/>
        </w:rPr>
        <w:t>Session</w:t>
      </w:r>
      <w:bookmarkStart w:id="2" w:name="_GoBack"/>
      <w:bookmarkEnd w:id="2"/>
    </w:p>
    <w:p w:rsidR="008B2CC1" w:rsidRPr="003845C1" w:rsidRDefault="00C839C8" w:rsidP="008B2CC1">
      <w:pPr>
        <w:rPr>
          <w:b/>
          <w:sz w:val="24"/>
          <w:szCs w:val="24"/>
        </w:rPr>
      </w:pPr>
      <w:r>
        <w:rPr>
          <w:b/>
          <w:sz w:val="24"/>
          <w:szCs w:val="24"/>
        </w:rPr>
        <w:t xml:space="preserve">Geneva, </w:t>
      </w:r>
      <w:r w:rsidR="002B3BB9">
        <w:rPr>
          <w:b/>
          <w:sz w:val="24"/>
          <w:szCs w:val="24"/>
        </w:rPr>
        <w:t>October</w:t>
      </w:r>
      <w:r w:rsidR="00F32B00">
        <w:rPr>
          <w:b/>
          <w:sz w:val="24"/>
          <w:szCs w:val="24"/>
        </w:rPr>
        <w:t xml:space="preserve"> 2</w:t>
      </w:r>
      <w:r w:rsidR="002B3BB9">
        <w:rPr>
          <w:b/>
          <w:sz w:val="24"/>
          <w:szCs w:val="24"/>
        </w:rPr>
        <w:t>7</w:t>
      </w:r>
      <w:r w:rsidR="00F32B00">
        <w:rPr>
          <w:b/>
          <w:sz w:val="24"/>
          <w:szCs w:val="24"/>
        </w:rPr>
        <w:t xml:space="preserve"> to</w:t>
      </w:r>
      <w:r w:rsidR="00663F65">
        <w:rPr>
          <w:b/>
          <w:sz w:val="24"/>
          <w:szCs w:val="24"/>
        </w:rPr>
        <w:t xml:space="preserve"> </w:t>
      </w:r>
      <w:r w:rsidR="002B3BB9">
        <w:rPr>
          <w:b/>
          <w:sz w:val="24"/>
          <w:szCs w:val="24"/>
        </w:rPr>
        <w:t>31</w:t>
      </w:r>
      <w:r>
        <w:rPr>
          <w:b/>
          <w:sz w:val="24"/>
          <w:szCs w:val="24"/>
        </w:rPr>
        <w:t>, 201</w:t>
      </w:r>
      <w:r w:rsidR="00CD198B">
        <w:rPr>
          <w:b/>
          <w:sz w:val="24"/>
          <w:szCs w:val="24"/>
        </w:rPr>
        <w:t>4</w:t>
      </w:r>
    </w:p>
    <w:p w:rsidR="008B2CC1" w:rsidRPr="008B2CC1" w:rsidRDefault="008B2CC1" w:rsidP="008B2CC1"/>
    <w:p w:rsidR="008D57B4" w:rsidRDefault="008D57B4" w:rsidP="008B2CC1"/>
    <w:p w:rsidR="004F438D" w:rsidRPr="008B2CC1" w:rsidRDefault="004F438D" w:rsidP="008B2CC1"/>
    <w:p w:rsidR="003D1CD1" w:rsidRPr="003D1CD1" w:rsidRDefault="003D1CD1" w:rsidP="003D1CD1">
      <w:pPr>
        <w:rPr>
          <w:caps/>
          <w:sz w:val="24"/>
        </w:rPr>
      </w:pPr>
      <w:bookmarkStart w:id="3" w:name="TitleOfDoc"/>
      <w:bookmarkStart w:id="4" w:name="Prepared"/>
      <w:bookmarkEnd w:id="3"/>
      <w:bookmarkEnd w:id="4"/>
      <w:r w:rsidRPr="003D1CD1">
        <w:rPr>
          <w:caps/>
          <w:sz w:val="24"/>
        </w:rPr>
        <w:t>SUMMARY BY THE CHAIR</w:t>
      </w:r>
    </w:p>
    <w:p w:rsidR="003D1CD1" w:rsidRDefault="003D1CD1" w:rsidP="008B2CC1">
      <w:pPr>
        <w:rPr>
          <w:i/>
        </w:rPr>
      </w:pPr>
    </w:p>
    <w:p w:rsidR="009B1F94" w:rsidRDefault="00682B8A" w:rsidP="009B1F94">
      <w:r>
        <w:rPr>
          <w:i/>
        </w:rPr>
        <w:t xml:space="preserve">adopted </w:t>
      </w:r>
      <w:r w:rsidR="00114C3D">
        <w:rPr>
          <w:i/>
        </w:rPr>
        <w:t xml:space="preserve">by the </w:t>
      </w:r>
      <w:r>
        <w:rPr>
          <w:i/>
        </w:rPr>
        <w:t>Working Group</w:t>
      </w:r>
    </w:p>
    <w:p w:rsidR="000F5E56" w:rsidRDefault="000F5E56"/>
    <w:p w:rsidR="00825816" w:rsidRDefault="00825816"/>
    <w:p w:rsidR="004F438D" w:rsidRDefault="004F438D"/>
    <w:p w:rsidR="00BA2AEB" w:rsidRDefault="00BA2AEB" w:rsidP="00274B8B">
      <w:pPr>
        <w:tabs>
          <w:tab w:val="left" w:pos="540"/>
        </w:tabs>
      </w:pPr>
      <w:r>
        <w:t>1.</w:t>
      </w:r>
      <w:r>
        <w:tab/>
        <w:t xml:space="preserve">The Working Group on the Development of the Lisbon System (Appellations of Origin) (hereinafter referred to as “the Working </w:t>
      </w:r>
      <w:r w:rsidR="00F61142">
        <w:t>Group”) met in Geneva, from October 27 to 31</w:t>
      </w:r>
      <w:r>
        <w:t>, 2014.</w:t>
      </w:r>
    </w:p>
    <w:p w:rsidR="00BA2AEB" w:rsidRDefault="00BA2AEB" w:rsidP="00BA2AEB"/>
    <w:p w:rsidR="00BA2AEB" w:rsidRPr="00A51AEC" w:rsidRDefault="00BA2AEB" w:rsidP="00E55C56">
      <w:pPr>
        <w:tabs>
          <w:tab w:val="left" w:pos="630"/>
        </w:tabs>
      </w:pPr>
      <w:r>
        <w:t>2.</w:t>
      </w:r>
      <w:r>
        <w:tab/>
      </w:r>
      <w:r w:rsidRPr="00A51AEC">
        <w:t xml:space="preserve">The following Contracting Parties of the Lisbon Union were represented at the </w:t>
      </w:r>
      <w:proofErr w:type="spellStart"/>
      <w:r w:rsidRPr="00A51AEC">
        <w:t>session:Algeria</w:t>
      </w:r>
      <w:proofErr w:type="spellEnd"/>
      <w:r w:rsidRPr="00A51AEC">
        <w:t xml:space="preserve">, </w:t>
      </w:r>
      <w:r w:rsidR="00E97BD7" w:rsidRPr="00A51AEC">
        <w:t xml:space="preserve">Bosnia and Herzegovina, </w:t>
      </w:r>
      <w:r w:rsidR="00064810" w:rsidRPr="00A51AEC">
        <w:t xml:space="preserve">Bulgaria, </w:t>
      </w:r>
      <w:r w:rsidR="00DF3D9A" w:rsidRPr="00A51AEC">
        <w:t xml:space="preserve">Congo, </w:t>
      </w:r>
      <w:r w:rsidR="00E97BD7" w:rsidRPr="00A51AEC">
        <w:t xml:space="preserve">Costa Rica, </w:t>
      </w:r>
      <w:r w:rsidRPr="00A51AEC">
        <w:t xml:space="preserve">Czech Republic, France, Georgia, </w:t>
      </w:r>
      <w:r w:rsidR="00BA1E1C">
        <w:t xml:space="preserve">Haiti, </w:t>
      </w:r>
      <w:r w:rsidRPr="00A51AEC">
        <w:t>Hungary, Iran (Islamic Republic of),</w:t>
      </w:r>
      <w:r w:rsidR="00E97BD7" w:rsidRPr="00A51AEC">
        <w:t xml:space="preserve"> Israel,</w:t>
      </w:r>
      <w:r w:rsidRPr="00A51AEC">
        <w:t xml:space="preserve"> Italy, Mexico, </w:t>
      </w:r>
      <w:r w:rsidR="00064810" w:rsidRPr="00A51AEC">
        <w:t xml:space="preserve">Nicaragua, </w:t>
      </w:r>
      <w:r w:rsidR="00ED078F" w:rsidRPr="00A51AEC">
        <w:t>Peru, Portugal</w:t>
      </w:r>
      <w:r w:rsidR="009401AE" w:rsidRPr="00A51AEC">
        <w:t>, Republic of Moldova</w:t>
      </w:r>
      <w:r w:rsidR="00E97BD7" w:rsidRPr="00A51AEC">
        <w:t xml:space="preserve">, </w:t>
      </w:r>
      <w:r w:rsidR="00BA1E1C">
        <w:t xml:space="preserve">Slovakia, </w:t>
      </w:r>
      <w:r w:rsidR="00E97BD7" w:rsidRPr="00A51AEC">
        <w:t>Togo</w:t>
      </w:r>
      <w:r w:rsidR="00CF2EB2">
        <w:t>, Tunisia</w:t>
      </w:r>
      <w:r w:rsidR="00ED078F" w:rsidRPr="00A51AEC">
        <w:t xml:space="preserve"> (</w:t>
      </w:r>
      <w:r w:rsidR="009742A4">
        <w:t>2</w:t>
      </w:r>
      <w:r w:rsidR="00CF2EB2">
        <w:t>1</w:t>
      </w:r>
      <w:r w:rsidRPr="00A51AEC">
        <w:t xml:space="preserve">). </w:t>
      </w:r>
    </w:p>
    <w:p w:rsidR="00BA2AEB" w:rsidRPr="00A51AEC" w:rsidRDefault="00BA2AEB" w:rsidP="00BA2AEB"/>
    <w:p w:rsidR="00BA2AEB" w:rsidRPr="00A51AEC" w:rsidRDefault="00BA2AEB" w:rsidP="00BA2AEB">
      <w:r w:rsidRPr="00A51AEC">
        <w:t>3.</w:t>
      </w:r>
      <w:r w:rsidRPr="00A51AEC">
        <w:tab/>
        <w:t xml:space="preserve">The following States were represented as observers:  </w:t>
      </w:r>
      <w:r w:rsidR="003627BF" w:rsidRPr="00A51AEC">
        <w:t xml:space="preserve">Afghanistan, </w:t>
      </w:r>
      <w:r w:rsidR="009742A4">
        <w:t xml:space="preserve">Albania, </w:t>
      </w:r>
      <w:r w:rsidR="00064810" w:rsidRPr="00A51AEC">
        <w:t xml:space="preserve">Australia, </w:t>
      </w:r>
      <w:r w:rsidR="009742A4">
        <w:t xml:space="preserve">Bahamas, Benin, Burundi, </w:t>
      </w:r>
      <w:r w:rsidR="003627BF" w:rsidRPr="00A51AEC">
        <w:t xml:space="preserve">Cameroon, </w:t>
      </w:r>
      <w:r w:rsidR="00D36385" w:rsidRPr="00A51AEC">
        <w:t xml:space="preserve">Canada, </w:t>
      </w:r>
      <w:r w:rsidRPr="00A51AEC">
        <w:t xml:space="preserve">Chile, Colombia, </w:t>
      </w:r>
      <w:r w:rsidR="003627BF" w:rsidRPr="00A51AEC">
        <w:t xml:space="preserve">Comoros, Cyprus, </w:t>
      </w:r>
      <w:r w:rsidRPr="00A51AEC">
        <w:t xml:space="preserve">El Salvador, </w:t>
      </w:r>
      <w:r w:rsidR="003627BF" w:rsidRPr="00A51AEC">
        <w:t>Germany</w:t>
      </w:r>
      <w:r w:rsidRPr="00A51AEC">
        <w:t xml:space="preserve">, </w:t>
      </w:r>
      <w:r w:rsidR="009742A4">
        <w:t xml:space="preserve">Greece, </w:t>
      </w:r>
      <w:r w:rsidRPr="00A51AEC">
        <w:t xml:space="preserve">Iraq, </w:t>
      </w:r>
      <w:r w:rsidR="00064810" w:rsidRPr="00A51AEC">
        <w:t>Japan, Jordan</w:t>
      </w:r>
      <w:r w:rsidR="00591836" w:rsidRPr="00A51AEC">
        <w:t xml:space="preserve">, </w:t>
      </w:r>
      <w:r w:rsidR="009742A4">
        <w:t xml:space="preserve">Latvia, </w:t>
      </w:r>
      <w:r w:rsidR="003627BF" w:rsidRPr="00A51AEC">
        <w:t xml:space="preserve">Pakistan, Panama, </w:t>
      </w:r>
      <w:r w:rsidRPr="00A51AEC">
        <w:t xml:space="preserve">Paraguay, Republic of Korea, Romania, Russian </w:t>
      </w:r>
      <w:r w:rsidR="00ED078F" w:rsidRPr="00A51AEC">
        <w:t xml:space="preserve">Federation, </w:t>
      </w:r>
      <w:r w:rsidR="003627BF" w:rsidRPr="00A51AEC">
        <w:t xml:space="preserve">Saudi Arabia, Senegal, </w:t>
      </w:r>
      <w:r w:rsidR="009742A4">
        <w:t xml:space="preserve">South Africa, </w:t>
      </w:r>
      <w:r w:rsidR="00ED078F" w:rsidRPr="00A51AEC">
        <w:t>Spain, Switzerland</w:t>
      </w:r>
      <w:r w:rsidRPr="00A51AEC">
        <w:t xml:space="preserve">, </w:t>
      </w:r>
      <w:r w:rsidR="003627BF" w:rsidRPr="00A51AEC">
        <w:t xml:space="preserve">Thailand, </w:t>
      </w:r>
      <w:r w:rsidR="009846DA" w:rsidRPr="00A51AEC">
        <w:t xml:space="preserve">Turkey, </w:t>
      </w:r>
      <w:r w:rsidRPr="00A51AEC">
        <w:t xml:space="preserve">Ukraine, </w:t>
      </w:r>
      <w:r w:rsidR="009742A4">
        <w:t xml:space="preserve">United Kingdom, </w:t>
      </w:r>
      <w:r w:rsidRPr="00A51AEC">
        <w:t>Unite</w:t>
      </w:r>
      <w:r w:rsidR="003627BF" w:rsidRPr="00A51AEC">
        <w:t>d States of America, Uruguay</w:t>
      </w:r>
      <w:r w:rsidRPr="00A51AEC">
        <w:t xml:space="preserve"> </w:t>
      </w:r>
      <w:r w:rsidR="00591836" w:rsidRPr="00A51AEC">
        <w:t>(</w:t>
      </w:r>
      <w:r w:rsidR="009742A4">
        <w:t>36</w:t>
      </w:r>
      <w:r w:rsidRPr="00A51AEC">
        <w:t xml:space="preserve">).  </w:t>
      </w:r>
    </w:p>
    <w:p w:rsidR="00BA2AEB" w:rsidRPr="00A51AEC" w:rsidRDefault="00BA2AEB" w:rsidP="00BA2AEB"/>
    <w:p w:rsidR="00BA2AEB" w:rsidRPr="00A51AEC" w:rsidRDefault="00BA2AEB" w:rsidP="00BA2AEB">
      <w:r w:rsidRPr="00A51AEC">
        <w:t>4.</w:t>
      </w:r>
      <w:r w:rsidRPr="00A51AEC">
        <w:tab/>
        <w:t xml:space="preserve">Representatives of the following international intergovernmental organizations (IGOs) </w:t>
      </w:r>
    </w:p>
    <w:p w:rsidR="00BA2AEB" w:rsidRPr="00A51AEC" w:rsidRDefault="00BA2AEB" w:rsidP="00BA2AEB">
      <w:r w:rsidRPr="00A51AEC">
        <w:t xml:space="preserve">took part in the session in an observer capacity:  European Union (EU), </w:t>
      </w:r>
      <w:r w:rsidR="00363B49" w:rsidRPr="00A51AEC">
        <w:t xml:space="preserve">International </w:t>
      </w:r>
      <w:proofErr w:type="spellStart"/>
      <w:r w:rsidR="00363B49" w:rsidRPr="00A51AEC">
        <w:t>Organisation</w:t>
      </w:r>
      <w:proofErr w:type="spellEnd"/>
      <w:r w:rsidR="00363B49" w:rsidRPr="00A51AEC">
        <w:t xml:space="preserve"> of Vine and Wine (OIV), </w:t>
      </w:r>
      <w:r w:rsidR="00D31221" w:rsidRPr="00A51AEC">
        <w:t>International Trade Centre (ITC),</w:t>
      </w:r>
      <w:r w:rsidR="00C05193" w:rsidRPr="00A51AEC">
        <w:t xml:space="preserve"> West African Economic and Monetary Union</w:t>
      </w:r>
      <w:r w:rsidR="00D31221" w:rsidRPr="00A51AEC">
        <w:t xml:space="preserve"> </w:t>
      </w:r>
      <w:r w:rsidR="00C05193" w:rsidRPr="00A51AEC">
        <w:t xml:space="preserve">(WAEMU), </w:t>
      </w:r>
      <w:r w:rsidR="00D31221" w:rsidRPr="00A51AEC">
        <w:t xml:space="preserve">World Trade Organization (WTO) </w:t>
      </w:r>
      <w:r w:rsidR="00C05193" w:rsidRPr="00A51AEC">
        <w:t>(5</w:t>
      </w:r>
      <w:r w:rsidRPr="00A51AEC">
        <w:t xml:space="preserve">).  </w:t>
      </w:r>
    </w:p>
    <w:p w:rsidR="00BA2AEB" w:rsidRPr="00A51AEC" w:rsidRDefault="00BA2AEB" w:rsidP="00BA2AEB"/>
    <w:p w:rsidR="007471AE" w:rsidRDefault="00BA2AEB" w:rsidP="00BA2AEB">
      <w:r w:rsidRPr="00A51AEC">
        <w:t>5.</w:t>
      </w:r>
      <w:r w:rsidRPr="00A51AEC">
        <w:tab/>
        <w:t>Representatives of the following international non-governmental organizations (NGOs) took part in the session in an observer capacity:  Association of European Trademark Owners (MARQUES), Brazilian Association of Intellectual Property (ABPI), Centre for International Intellectual Property Studies (CEIPI), Consortium for Common Food Names (CCFN), European Communities Trade Mark Association (ECTA),</w:t>
      </w:r>
      <w:r w:rsidR="00576B32" w:rsidRPr="00A51AEC">
        <w:t xml:space="preserve"> International Association for the Protection of Intellectual Property (AIPPI), International Federation of Intellectual Property Attorneys (FICPI),</w:t>
      </w:r>
      <w:r w:rsidRPr="00A51AEC">
        <w:t xml:space="preserve"> International Trademark Association (INTA), </w:t>
      </w:r>
      <w:r w:rsidR="004C4A2C" w:rsidRPr="00A51AEC">
        <w:t xml:space="preserve">Knowledge Ecology International, Inc. (KEI), </w:t>
      </w:r>
      <w:r w:rsidRPr="00A51AEC">
        <w:t>Organization for an International Geographical Indications Network (</w:t>
      </w:r>
      <w:proofErr w:type="spellStart"/>
      <w:r w:rsidRPr="00A51AEC">
        <w:t>oriGIn</w:t>
      </w:r>
      <w:proofErr w:type="spellEnd"/>
      <w:r w:rsidRPr="00A51AEC">
        <w:t>)</w:t>
      </w:r>
      <w:r w:rsidR="004C4A2C" w:rsidRPr="00A51AEC">
        <w:t xml:space="preserve"> (</w:t>
      </w:r>
      <w:r w:rsidR="00C05193" w:rsidRPr="00A51AEC">
        <w:t>10</w:t>
      </w:r>
      <w:r w:rsidRPr="00A51AEC">
        <w:t>).</w:t>
      </w:r>
      <w:r>
        <w:t xml:space="preserve">  </w:t>
      </w:r>
      <w:r w:rsidR="004F438D">
        <w:rPr>
          <w:u w:val="single"/>
        </w:rPr>
        <w:br w:type="page"/>
      </w:r>
      <w:r w:rsidR="00AA29E1">
        <w:lastRenderedPageBreak/>
        <w:t>6.</w:t>
      </w:r>
      <w:r w:rsidR="00447916">
        <w:tab/>
      </w:r>
      <w:r w:rsidR="00816AA0" w:rsidRPr="00CB79D8">
        <w:t>The list of participants is contained in document LI/WG/DEV/</w:t>
      </w:r>
      <w:r w:rsidR="009E415C">
        <w:t>10</w:t>
      </w:r>
      <w:r w:rsidR="00B347DB">
        <w:t>/INF/2</w:t>
      </w:r>
      <w:r w:rsidR="00816AA0">
        <w:t xml:space="preserve"> </w:t>
      </w:r>
      <w:r w:rsidR="00816AA0" w:rsidRPr="00CB79D8">
        <w:t>Prov. 2</w:t>
      </w:r>
      <w:r w:rsidR="008A082F">
        <w:rPr>
          <w:rStyle w:val="FootnoteReference"/>
        </w:rPr>
        <w:footnoteReference w:customMarkFollows="1" w:id="2"/>
        <w:t>*</w:t>
      </w:r>
      <w:r w:rsidR="00816AA0">
        <w:t xml:space="preserve">.  </w:t>
      </w:r>
    </w:p>
    <w:p w:rsidR="006167E8" w:rsidRDefault="006167E8" w:rsidP="004F438D"/>
    <w:p w:rsidR="00816AA0" w:rsidRPr="002225A1" w:rsidRDefault="00816AA0" w:rsidP="007471AE">
      <w:pPr>
        <w:pStyle w:val="Heading1"/>
      </w:pPr>
      <w:r w:rsidRPr="002225A1">
        <w:t>Agenda Item 1:  Opening of the Session</w:t>
      </w:r>
    </w:p>
    <w:p w:rsidR="00816AA0" w:rsidRDefault="00816AA0" w:rsidP="00816AA0">
      <w:pPr>
        <w:ind w:left="1696" w:hanging="675"/>
      </w:pPr>
    </w:p>
    <w:p w:rsidR="00816AA0" w:rsidRDefault="00147F15" w:rsidP="00571D22">
      <w:r>
        <w:t>7.</w:t>
      </w:r>
      <w:r w:rsidR="00FF2CB0">
        <w:tab/>
      </w:r>
      <w:r w:rsidR="00571D22">
        <w:t xml:space="preserve">The </w:t>
      </w:r>
      <w:r w:rsidR="00620BDA">
        <w:t xml:space="preserve">Deputy </w:t>
      </w:r>
      <w:r w:rsidR="00571D22">
        <w:t xml:space="preserve">Director General of </w:t>
      </w:r>
      <w:r w:rsidR="009057F0">
        <w:t>the World Intellectual Property Organization (</w:t>
      </w:r>
      <w:r w:rsidR="00571D22">
        <w:t>WIPO</w:t>
      </w:r>
      <w:r w:rsidR="009057F0">
        <w:t>)</w:t>
      </w:r>
      <w:r w:rsidR="00571D22">
        <w:t xml:space="preserve">, </w:t>
      </w:r>
      <w:r w:rsidR="00904C13">
        <w:br/>
      </w:r>
      <w:r w:rsidR="00282A2B">
        <w:t>M</w:t>
      </w:r>
      <w:r w:rsidR="00620BDA">
        <w:t xml:space="preserve">s. Wang </w:t>
      </w:r>
      <w:r w:rsidR="00BB32E2">
        <w:t>Binyi</w:t>
      </w:r>
      <w:r w:rsidR="00620BDA">
        <w:t>ng</w:t>
      </w:r>
      <w:r w:rsidR="00571D22">
        <w:t xml:space="preserve">, </w:t>
      </w:r>
      <w:r w:rsidR="00816AA0" w:rsidRPr="00CB79D8">
        <w:t xml:space="preserve">opened the session, recalled the mandate of the Working </w:t>
      </w:r>
      <w:r w:rsidR="00816AA0">
        <w:t>Group and introduced the draft a</w:t>
      </w:r>
      <w:r w:rsidR="00816AA0" w:rsidRPr="00CB79D8">
        <w:t>genda, as contained in document</w:t>
      </w:r>
      <w:r w:rsidR="00816AA0">
        <w:t> </w:t>
      </w:r>
      <w:r w:rsidR="00816AA0" w:rsidRPr="00CB79D8">
        <w:t>LI/WG/DEV/</w:t>
      </w:r>
      <w:r w:rsidR="009E415C">
        <w:t>10</w:t>
      </w:r>
      <w:r w:rsidR="00A2305B">
        <w:t>/1 Prov</w:t>
      </w:r>
      <w:r w:rsidR="00AE2487">
        <w:t>.</w:t>
      </w:r>
    </w:p>
    <w:p w:rsidR="002225A1" w:rsidRPr="002225A1" w:rsidRDefault="002225A1" w:rsidP="007471AE"/>
    <w:p w:rsidR="00816AA0" w:rsidRPr="002225A1" w:rsidRDefault="00816AA0" w:rsidP="007471AE">
      <w:pPr>
        <w:pStyle w:val="Heading1"/>
      </w:pPr>
      <w:r w:rsidRPr="002225A1">
        <w:t>Agenda Item 2:  Election of a Chair and two Vice-Chairs</w:t>
      </w:r>
    </w:p>
    <w:p w:rsidR="00816AA0" w:rsidRDefault="00816AA0" w:rsidP="007471AE"/>
    <w:p w:rsidR="00816AA0" w:rsidRDefault="00147F15" w:rsidP="00E62D2F">
      <w:r>
        <w:t>8.</w:t>
      </w:r>
      <w:r w:rsidR="00FF2CB0">
        <w:tab/>
      </w:r>
      <w:r w:rsidR="00816AA0">
        <w:t xml:space="preserve">Mr. </w:t>
      </w:r>
      <w:proofErr w:type="spellStart"/>
      <w:r w:rsidR="00816AA0">
        <w:t>Mihály</w:t>
      </w:r>
      <w:proofErr w:type="spellEnd"/>
      <w:r w:rsidR="00816AA0">
        <w:t xml:space="preserve"> </w:t>
      </w:r>
      <w:proofErr w:type="spellStart"/>
      <w:r w:rsidR="00816AA0">
        <w:t>Ficsor</w:t>
      </w:r>
      <w:proofErr w:type="spellEnd"/>
      <w:r w:rsidR="00816AA0">
        <w:t xml:space="preserve"> (Hungary) was unanimously elected as Chair of the Working Group, </w:t>
      </w:r>
      <w:r w:rsidR="00E62D2F">
        <w:t>Mr. </w:t>
      </w:r>
      <w:r w:rsidR="005E51C3">
        <w:t xml:space="preserve">Alfredo </w:t>
      </w:r>
      <w:proofErr w:type="spellStart"/>
      <w:r w:rsidR="005E51C3">
        <w:t>Rendón</w:t>
      </w:r>
      <w:proofErr w:type="spellEnd"/>
      <w:r w:rsidR="005E51C3">
        <w:t xml:space="preserve"> </w:t>
      </w:r>
      <w:proofErr w:type="spellStart"/>
      <w:r w:rsidR="005E51C3">
        <w:t>Algara</w:t>
      </w:r>
      <w:proofErr w:type="spellEnd"/>
      <w:r w:rsidR="005E51C3">
        <w:t xml:space="preserve"> (Mexico</w:t>
      </w:r>
      <w:r w:rsidR="00E62D2F">
        <w:t xml:space="preserve">) and </w:t>
      </w:r>
      <w:r w:rsidR="00282A2B">
        <w:t>M</w:t>
      </w:r>
      <w:r w:rsidR="00D84E92">
        <w:t>s. A</w:t>
      </w:r>
      <w:r w:rsidR="005749F0">
        <w:t>na</w:t>
      </w:r>
      <w:r w:rsidR="00D84E92">
        <w:t xml:space="preserve"> </w:t>
      </w:r>
      <w:proofErr w:type="spellStart"/>
      <w:r w:rsidR="00D84E92">
        <w:t>Gobechia</w:t>
      </w:r>
      <w:proofErr w:type="spellEnd"/>
      <w:r w:rsidR="005E51C3">
        <w:t xml:space="preserve"> </w:t>
      </w:r>
      <w:r w:rsidR="007926FA">
        <w:t>(Georgia</w:t>
      </w:r>
      <w:r w:rsidR="00816AA0">
        <w:t xml:space="preserve">) were </w:t>
      </w:r>
      <w:r w:rsidR="00476CFF">
        <w:t xml:space="preserve">unanimously </w:t>
      </w:r>
      <w:r w:rsidR="00816AA0">
        <w:t xml:space="preserve">elected as Vice-Chairs.  </w:t>
      </w:r>
    </w:p>
    <w:p w:rsidR="00816AA0" w:rsidRDefault="00816AA0" w:rsidP="007471AE"/>
    <w:p w:rsidR="00816AA0" w:rsidRDefault="00147F15" w:rsidP="007471AE">
      <w:r>
        <w:t>9.</w:t>
      </w:r>
      <w:r w:rsidR="00FF2CB0">
        <w:tab/>
      </w:r>
      <w:r w:rsidR="00816AA0" w:rsidRPr="00CB79D8">
        <w:t>Mr. Matthijs Geuze (WIPO) acted as Secretary to the Working Group.</w:t>
      </w:r>
      <w:r w:rsidR="00816AA0">
        <w:t xml:space="preserve">  </w:t>
      </w:r>
    </w:p>
    <w:p w:rsidR="002225A1" w:rsidRPr="002225A1" w:rsidRDefault="002225A1" w:rsidP="007471AE"/>
    <w:p w:rsidR="00816AA0" w:rsidRPr="002225A1" w:rsidRDefault="00816AA0" w:rsidP="007471AE">
      <w:pPr>
        <w:pStyle w:val="Heading1"/>
      </w:pPr>
      <w:r w:rsidRPr="002225A1">
        <w:t>Agenda Item 3:  Adoption of the Agenda</w:t>
      </w:r>
    </w:p>
    <w:p w:rsidR="00816AA0" w:rsidRPr="00CB79D8" w:rsidRDefault="00816AA0" w:rsidP="007471AE"/>
    <w:p w:rsidR="002225A1" w:rsidRDefault="00147F15" w:rsidP="00891BAB">
      <w:pPr>
        <w:tabs>
          <w:tab w:val="left" w:pos="630"/>
        </w:tabs>
        <w:ind w:left="567"/>
      </w:pPr>
      <w:r>
        <w:t>10.</w:t>
      </w:r>
      <w:r w:rsidR="00E55C56">
        <w:tab/>
      </w:r>
      <w:r w:rsidR="00816AA0" w:rsidRPr="00CB79D8">
        <w:t>The Working Group adopted the draft agenda (document LI/WG/DEV/</w:t>
      </w:r>
      <w:r w:rsidR="00E90788">
        <w:t>10</w:t>
      </w:r>
      <w:r w:rsidR="00816AA0" w:rsidRPr="00CB79D8">
        <w:t>/1</w:t>
      </w:r>
      <w:r w:rsidR="00816AA0">
        <w:t xml:space="preserve"> Prov.</w:t>
      </w:r>
      <w:r w:rsidR="00B347DB">
        <w:t>) without modification.</w:t>
      </w:r>
      <w:r w:rsidR="008C57C0">
        <w:t xml:space="preserve"> </w:t>
      </w:r>
    </w:p>
    <w:p w:rsidR="002225A1" w:rsidRDefault="002225A1" w:rsidP="007471AE"/>
    <w:p w:rsidR="00816AA0" w:rsidRPr="002225A1" w:rsidRDefault="00816AA0" w:rsidP="00246882">
      <w:pPr>
        <w:pStyle w:val="Heading1"/>
      </w:pPr>
      <w:r w:rsidRPr="002225A1">
        <w:t xml:space="preserve">Agenda Item 4:  </w:t>
      </w:r>
      <w:r w:rsidR="00693147">
        <w:t xml:space="preserve">Report of the </w:t>
      </w:r>
      <w:r w:rsidR="00633304">
        <w:t>nin</w:t>
      </w:r>
      <w:r w:rsidR="000A0B5D">
        <w:t xml:space="preserve">th </w:t>
      </w:r>
      <w:r w:rsidRPr="002225A1">
        <w:t>Session of the Working Group</w:t>
      </w:r>
      <w:r w:rsidR="00FE59D7">
        <w:t xml:space="preserve"> on the development of the lisbon system (appellations of origin)</w:t>
      </w:r>
      <w:r w:rsidR="00917CE1">
        <w:t xml:space="preserve"> </w:t>
      </w:r>
    </w:p>
    <w:p w:rsidR="00816AA0" w:rsidRPr="00C94426" w:rsidRDefault="00816AA0" w:rsidP="007471AE">
      <w:pPr>
        <w:rPr>
          <w:u w:val="single"/>
        </w:rPr>
      </w:pPr>
    </w:p>
    <w:p w:rsidR="002225A1" w:rsidRDefault="00147F15" w:rsidP="00891BAB">
      <w:pPr>
        <w:tabs>
          <w:tab w:val="left" w:pos="630"/>
          <w:tab w:val="left" w:pos="1134"/>
          <w:tab w:val="left" w:pos="1418"/>
          <w:tab w:val="left" w:pos="1980"/>
        </w:tabs>
        <w:ind w:left="567"/>
      </w:pPr>
      <w:r>
        <w:t>11.</w:t>
      </w:r>
      <w:r w:rsidR="00E55C56">
        <w:tab/>
      </w:r>
      <w:r w:rsidR="00816AA0" w:rsidRPr="00C94426">
        <w:t>The Working G</w:t>
      </w:r>
      <w:r w:rsidR="00A05F77">
        <w:t>roup took note of</w:t>
      </w:r>
      <w:r w:rsidR="00816AA0" w:rsidRPr="00C94426">
        <w:t xml:space="preserve"> the </w:t>
      </w:r>
      <w:r w:rsidR="00A05F77">
        <w:t>adoption</w:t>
      </w:r>
      <w:r w:rsidR="003316BB">
        <w:t>,</w:t>
      </w:r>
      <w:r w:rsidR="00A05F77">
        <w:t xml:space="preserve"> </w:t>
      </w:r>
      <w:r w:rsidR="003316BB" w:rsidRPr="001B6DBA">
        <w:t>on</w:t>
      </w:r>
      <w:r w:rsidR="002037F6">
        <w:t xml:space="preserve"> October </w:t>
      </w:r>
      <w:r w:rsidR="00633304">
        <w:t>17</w:t>
      </w:r>
      <w:r w:rsidR="00C42181" w:rsidRPr="001B6DBA">
        <w:t>, 2014</w:t>
      </w:r>
      <w:r w:rsidR="00917CE1" w:rsidRPr="001B6DBA">
        <w:t>,</w:t>
      </w:r>
      <w:r w:rsidR="00917CE1" w:rsidRPr="008854B4">
        <w:t xml:space="preserve"> </w:t>
      </w:r>
      <w:r w:rsidR="00A05F77" w:rsidRPr="008854B4">
        <w:t xml:space="preserve">of the </w:t>
      </w:r>
      <w:r w:rsidR="0034727B" w:rsidRPr="008854B4">
        <w:t>R</w:t>
      </w:r>
      <w:r w:rsidR="00816AA0" w:rsidRPr="008854B4">
        <w:t>eport</w:t>
      </w:r>
      <w:r w:rsidR="00816AA0" w:rsidRPr="00C94426">
        <w:t xml:space="preserve"> of the </w:t>
      </w:r>
      <w:r w:rsidR="002037F6">
        <w:t>nin</w:t>
      </w:r>
      <w:r w:rsidR="00F415C1">
        <w:t>th</w:t>
      </w:r>
      <w:r w:rsidR="000A0B5D">
        <w:t xml:space="preserve"> </w:t>
      </w:r>
      <w:r w:rsidR="000C3B1E">
        <w:t>s</w:t>
      </w:r>
      <w:r w:rsidR="00816AA0" w:rsidRPr="00C94426">
        <w:t>ession of the Wor</w:t>
      </w:r>
      <w:r w:rsidR="00816AA0">
        <w:t>king Group</w:t>
      </w:r>
      <w:r w:rsidR="000A0B5D">
        <w:t>, as</w:t>
      </w:r>
      <w:r w:rsidR="00816AA0">
        <w:t xml:space="preserve"> </w:t>
      </w:r>
      <w:r w:rsidR="000A0B5D">
        <w:t xml:space="preserve">contained in </w:t>
      </w:r>
      <w:r w:rsidR="00816AA0">
        <w:t>document LI/WG/DEV/</w:t>
      </w:r>
      <w:r w:rsidR="002037F6">
        <w:t>9</w:t>
      </w:r>
      <w:r w:rsidR="00816AA0" w:rsidRPr="00C94426">
        <w:t>/</w:t>
      </w:r>
      <w:r w:rsidR="0074552D">
        <w:t>8</w:t>
      </w:r>
      <w:r w:rsidR="00A05F77">
        <w:t>, in accordance with th</w:t>
      </w:r>
      <w:r w:rsidR="0021543C">
        <w:t>e procedure established at the f</w:t>
      </w:r>
      <w:r w:rsidR="00A05F77">
        <w:t>if</w:t>
      </w:r>
      <w:r w:rsidR="003316BB">
        <w:t>th session of the Working Group.</w:t>
      </w:r>
    </w:p>
    <w:p w:rsidR="001B6E52" w:rsidRDefault="001B6E52" w:rsidP="003316BB"/>
    <w:p w:rsidR="001B6E52" w:rsidRPr="002225A1" w:rsidRDefault="001B6E52" w:rsidP="00D24757">
      <w:pPr>
        <w:pStyle w:val="Heading1"/>
      </w:pPr>
      <w:r>
        <w:t xml:space="preserve">Agenda Item 5:  </w:t>
      </w:r>
      <w:r w:rsidRPr="002225A1">
        <w:rPr>
          <w:color w:val="000000"/>
        </w:rPr>
        <w:t xml:space="preserve">Draft </w:t>
      </w:r>
      <w:r w:rsidR="00D24757">
        <w:rPr>
          <w:color w:val="000000"/>
        </w:rPr>
        <w:t xml:space="preserve">revised </w:t>
      </w:r>
      <w:smartTag w:uri="urn:schemas-microsoft-com:office:smarttags" w:element="City">
        <w:r w:rsidR="00D24757">
          <w:rPr>
            <w:color w:val="000000"/>
          </w:rPr>
          <w:t>lisbon</w:t>
        </w:r>
      </w:smartTag>
      <w:r w:rsidR="00D24757">
        <w:rPr>
          <w:color w:val="000000"/>
        </w:rPr>
        <w:t xml:space="preserve"> agreement on </w:t>
      </w:r>
      <w:r w:rsidR="00D24757" w:rsidRPr="002225A1">
        <w:rPr>
          <w:color w:val="000000"/>
        </w:rPr>
        <w:t xml:space="preserve">Appellations of Origin </w:t>
      </w:r>
      <w:r w:rsidR="00D24757">
        <w:rPr>
          <w:color w:val="000000"/>
        </w:rPr>
        <w:t xml:space="preserve">and </w:t>
      </w:r>
      <w:r w:rsidRPr="002225A1">
        <w:rPr>
          <w:color w:val="000000"/>
        </w:rPr>
        <w:t xml:space="preserve">Geographical Indications and Draft Regulations Under The Draft </w:t>
      </w:r>
      <w:r w:rsidR="00D24757">
        <w:rPr>
          <w:color w:val="000000"/>
        </w:rPr>
        <w:t xml:space="preserve">revised </w:t>
      </w:r>
      <w:smartTag w:uri="urn:schemas-microsoft-com:office:smarttags" w:element="City">
        <w:smartTag w:uri="urn:schemas-microsoft-com:office:smarttags" w:element="place">
          <w:r w:rsidR="00D24757">
            <w:rPr>
              <w:color w:val="000000"/>
            </w:rPr>
            <w:t>lisbon</w:t>
          </w:r>
        </w:smartTag>
      </w:smartTag>
      <w:r w:rsidR="00D24757">
        <w:rPr>
          <w:color w:val="000000"/>
        </w:rPr>
        <w:t xml:space="preserve"> agreement</w:t>
      </w:r>
    </w:p>
    <w:p w:rsidR="001B6E52" w:rsidRDefault="001B6E52" w:rsidP="001B6E52"/>
    <w:p w:rsidR="00F55B11" w:rsidRDefault="00F55B11" w:rsidP="001B6E52">
      <w:r>
        <w:t>12</w:t>
      </w:r>
      <w:r w:rsidRPr="00F55B11">
        <w:t>.</w:t>
      </w:r>
      <w:r w:rsidRPr="00F55B11">
        <w:tab/>
        <w:t xml:space="preserve">The Chair recalled that the Lisbon Union Assembly had approved, at its ordinary session in 2013, the convening of a Diplomatic Conference for the Adoption of a Revised Lisbon Agreement on Appellations of Origin and Geographical Indications </w:t>
      </w:r>
      <w:r>
        <w:t xml:space="preserve">(hereinafter referred to as </w:t>
      </w:r>
      <w:r w:rsidR="00C52060">
        <w:t xml:space="preserve">“the </w:t>
      </w:r>
      <w:r>
        <w:t>Diplomatic Conference</w:t>
      </w:r>
      <w:r w:rsidR="00C52060">
        <w:t>”</w:t>
      </w:r>
      <w:r>
        <w:t xml:space="preserve">) </w:t>
      </w:r>
      <w:r w:rsidRPr="00F55B11">
        <w:t>in 2015.</w:t>
      </w:r>
    </w:p>
    <w:p w:rsidR="00F55B11" w:rsidRPr="00FA4EF6" w:rsidRDefault="00F55B11" w:rsidP="001B6E52"/>
    <w:p w:rsidR="00BA4470" w:rsidRDefault="00F55B11" w:rsidP="00BA4470">
      <w:r>
        <w:t>13</w:t>
      </w:r>
      <w:r w:rsidR="00BA4470">
        <w:t>.</w:t>
      </w:r>
      <w:r w:rsidR="00BA4470">
        <w:tab/>
      </w:r>
      <w:r w:rsidR="009E44F2" w:rsidRPr="00F1543E">
        <w:t>Discussions were based on documents LI/WG/DEV/</w:t>
      </w:r>
      <w:r w:rsidR="00CD4539">
        <w:t>10</w:t>
      </w:r>
      <w:r w:rsidR="009E44F2" w:rsidRPr="00F1543E">
        <w:t>/2, LI/WG/DEV/</w:t>
      </w:r>
      <w:r w:rsidR="00CD4539">
        <w:t>10</w:t>
      </w:r>
      <w:r w:rsidR="00BA4470">
        <w:t>/3,</w:t>
      </w:r>
    </w:p>
    <w:p w:rsidR="00682B8A" w:rsidRDefault="009E44F2" w:rsidP="00891BAB">
      <w:pPr>
        <w:tabs>
          <w:tab w:val="left" w:pos="630"/>
        </w:tabs>
      </w:pPr>
      <w:r w:rsidRPr="00F1543E">
        <w:t>LI/WG/DEV/</w:t>
      </w:r>
      <w:r w:rsidR="00CD4539">
        <w:t>10</w:t>
      </w:r>
      <w:r w:rsidRPr="00F1543E">
        <w:t>/4 and LI/WG/DEV/</w:t>
      </w:r>
      <w:r w:rsidR="00CD4539">
        <w:t>10</w:t>
      </w:r>
      <w:r w:rsidRPr="00F1543E">
        <w:t>/5.</w:t>
      </w:r>
      <w:r>
        <w:t xml:space="preserve">  </w:t>
      </w:r>
      <w:r w:rsidR="007E7776">
        <w:t>The Working Group examined</w:t>
      </w:r>
      <w:r w:rsidR="009C4E49">
        <w:t xml:space="preserve"> in detail </w:t>
      </w:r>
      <w:r w:rsidR="00F21590">
        <w:t xml:space="preserve">the </w:t>
      </w:r>
      <w:r w:rsidR="00F21590" w:rsidRPr="00F21590">
        <w:t xml:space="preserve">pending issues enumerated in paragraph 5 of document LI/WG/DEV/10/2 </w:t>
      </w:r>
      <w:r w:rsidR="00F21590">
        <w:t xml:space="preserve">with a view to reducing their </w:t>
      </w:r>
    </w:p>
    <w:p w:rsidR="00682B8A" w:rsidRDefault="00682B8A">
      <w:r>
        <w:br w:type="page"/>
      </w:r>
    </w:p>
    <w:p w:rsidR="00474B7A" w:rsidRDefault="00F21590" w:rsidP="00891BAB">
      <w:pPr>
        <w:tabs>
          <w:tab w:val="left" w:pos="630"/>
        </w:tabs>
      </w:pPr>
      <w:r>
        <w:lastRenderedPageBreak/>
        <w:t>number.</w:t>
      </w:r>
      <w:r w:rsidR="00C81122">
        <w:t xml:space="preserve">  </w:t>
      </w:r>
      <w:r w:rsidR="00EA7BDE">
        <w:t xml:space="preserve">As a result </w:t>
      </w:r>
      <w:r w:rsidR="00C81122" w:rsidRPr="00C81122">
        <w:t>some pending issues were settled while others would be submitted to the Diplomatic Conference, either</w:t>
      </w:r>
      <w:r w:rsidR="00EA7BDE">
        <w:t xml:space="preserve"> in an amended form or as contained</w:t>
      </w:r>
      <w:r w:rsidR="00C81122" w:rsidRPr="00C81122">
        <w:t xml:space="preserve"> in document</w:t>
      </w:r>
      <w:r w:rsidR="001A008C">
        <w:t> </w:t>
      </w:r>
      <w:r w:rsidR="00C81122" w:rsidRPr="00C81122">
        <w:t>LI/WG/DEV/10/2.  The outcome of the discussions can be summarized as follows</w:t>
      </w:r>
      <w:r w:rsidR="002E7F90">
        <w:rPr>
          <w:rStyle w:val="FootnoteReference"/>
        </w:rPr>
        <w:footnoteReference w:id="3"/>
      </w:r>
      <w:r w:rsidR="00C81122" w:rsidRPr="00C81122">
        <w:t>:</w:t>
      </w:r>
    </w:p>
    <w:p w:rsidR="0047265B" w:rsidRDefault="0047265B" w:rsidP="0047265B"/>
    <w:p w:rsidR="00BA4470" w:rsidRPr="00BE3115" w:rsidRDefault="00BA4470" w:rsidP="00F74266">
      <w:pPr>
        <w:numPr>
          <w:ilvl w:val="0"/>
          <w:numId w:val="21"/>
        </w:numPr>
        <w:ind w:left="540" w:hanging="540"/>
      </w:pPr>
      <w:r w:rsidRPr="00BE3115">
        <w:rPr>
          <w:u w:val="single"/>
        </w:rPr>
        <w:t>Settled issues</w:t>
      </w:r>
    </w:p>
    <w:p w:rsidR="0047265B" w:rsidRDefault="0047265B" w:rsidP="0047265B">
      <w:pPr>
        <w:rPr>
          <w:b/>
        </w:rPr>
      </w:pPr>
    </w:p>
    <w:p w:rsidR="00170A0C" w:rsidRDefault="00170A0C" w:rsidP="00F74266">
      <w:pPr>
        <w:numPr>
          <w:ilvl w:val="0"/>
          <w:numId w:val="19"/>
        </w:numPr>
        <w:tabs>
          <w:tab w:val="left" w:pos="720"/>
          <w:tab w:val="left" w:pos="1170"/>
        </w:tabs>
        <w:ind w:hanging="900"/>
      </w:pPr>
      <w:r w:rsidRPr="00273881">
        <w:t xml:space="preserve">the title and the Preamble of the draft Revised Lisbon Agreement;  </w:t>
      </w:r>
    </w:p>
    <w:p w:rsidR="00170A0C" w:rsidRDefault="00170A0C" w:rsidP="00170A0C"/>
    <w:p w:rsidR="00170A0C" w:rsidRDefault="00170A0C" w:rsidP="00795CEE">
      <w:pPr>
        <w:numPr>
          <w:ilvl w:val="0"/>
          <w:numId w:val="19"/>
        </w:numPr>
        <w:tabs>
          <w:tab w:val="left" w:pos="720"/>
        </w:tabs>
        <w:ind w:left="0" w:firstLine="567"/>
      </w:pPr>
      <w:r w:rsidRPr="002C16D5">
        <w:t>the question as to whether Article 9(1) should be kept and whether Article 9(2) should be moved to Article 6;</w:t>
      </w:r>
    </w:p>
    <w:p w:rsidR="00170A0C" w:rsidRDefault="00170A0C" w:rsidP="004358B5">
      <w:pPr>
        <w:ind w:left="567" w:hanging="27"/>
      </w:pPr>
    </w:p>
    <w:p w:rsidR="00170A0C" w:rsidRDefault="00170A0C" w:rsidP="00682B8A">
      <w:pPr>
        <w:numPr>
          <w:ilvl w:val="0"/>
          <w:numId w:val="19"/>
        </w:numPr>
        <w:tabs>
          <w:tab w:val="left" w:pos="720"/>
        </w:tabs>
        <w:ind w:left="0" w:firstLine="567"/>
      </w:pPr>
      <w:r w:rsidRPr="00003815">
        <w:t>the is</w:t>
      </w:r>
      <w:r w:rsidR="0014296E">
        <w:t>sue as to</w:t>
      </w:r>
      <w:r w:rsidR="00CF5D62">
        <w:t xml:space="preserve"> whether Article 10(2</w:t>
      </w:r>
      <w:r w:rsidR="0014296E">
        <w:t>)</w:t>
      </w:r>
      <w:r w:rsidRPr="00003815">
        <w:t>, read in conjunction wit</w:t>
      </w:r>
      <w:r w:rsidR="0014296E">
        <w:t>h Article 15(2)</w:t>
      </w:r>
      <w:r w:rsidRPr="00003815">
        <w:t xml:space="preserve">, should refer to any other or to more extensive protection;  </w:t>
      </w:r>
    </w:p>
    <w:p w:rsidR="00170A0C" w:rsidRDefault="00170A0C" w:rsidP="00682B8A">
      <w:pPr>
        <w:ind w:firstLine="567"/>
      </w:pPr>
    </w:p>
    <w:p w:rsidR="00170A0C" w:rsidRDefault="00170A0C" w:rsidP="00682B8A">
      <w:pPr>
        <w:numPr>
          <w:ilvl w:val="0"/>
          <w:numId w:val="19"/>
        </w:numPr>
        <w:tabs>
          <w:tab w:val="left" w:pos="720"/>
        </w:tabs>
        <w:ind w:left="0" w:firstLine="567"/>
      </w:pPr>
      <w:r w:rsidRPr="00AE1829">
        <w:t>the issues as to whether Article 13(2) to (4) should be kept and whether consequential amendments should be made to Article 17(2) and to footno</w:t>
      </w:r>
      <w:r>
        <w:t>te 4 relating to that provision.</w:t>
      </w:r>
      <w:r w:rsidRPr="00AE1829">
        <w:t xml:space="preserve">  </w:t>
      </w:r>
    </w:p>
    <w:p w:rsidR="0047265B" w:rsidRPr="00BA4470" w:rsidRDefault="0047265B" w:rsidP="0047265B">
      <w:pPr>
        <w:rPr>
          <w:b/>
        </w:rPr>
      </w:pPr>
    </w:p>
    <w:p w:rsidR="00BA4470" w:rsidRPr="00BE3115" w:rsidRDefault="00D60E30" w:rsidP="00A51AEC">
      <w:pPr>
        <w:numPr>
          <w:ilvl w:val="0"/>
          <w:numId w:val="21"/>
        </w:numPr>
        <w:ind w:left="540" w:hanging="540"/>
      </w:pPr>
      <w:r>
        <w:rPr>
          <w:u w:val="single"/>
        </w:rPr>
        <w:t>I</w:t>
      </w:r>
      <w:r w:rsidR="00BA4470" w:rsidRPr="00BE3115">
        <w:rPr>
          <w:u w:val="single"/>
        </w:rPr>
        <w:t xml:space="preserve">ssues </w:t>
      </w:r>
      <w:r>
        <w:rPr>
          <w:u w:val="single"/>
        </w:rPr>
        <w:t>that remain pending</w:t>
      </w:r>
    </w:p>
    <w:p w:rsidR="00BA4470" w:rsidRPr="00AE1829" w:rsidRDefault="00BA4470" w:rsidP="00BA4470"/>
    <w:p w:rsidR="00BA4470" w:rsidRPr="00BE3115" w:rsidRDefault="00BA4470" w:rsidP="001A008C">
      <w:pPr>
        <w:numPr>
          <w:ilvl w:val="0"/>
          <w:numId w:val="22"/>
        </w:numPr>
        <w:ind w:left="1134" w:hanging="567"/>
        <w:rPr>
          <w:i/>
        </w:rPr>
      </w:pPr>
      <w:r w:rsidRPr="00BE3115">
        <w:rPr>
          <w:i/>
          <w:u w:val="single"/>
        </w:rPr>
        <w:t>As amended at the tenth session of the Working Group</w:t>
      </w:r>
      <w:r w:rsidR="001A008C">
        <w:rPr>
          <w:i/>
          <w:u w:val="single"/>
        </w:rPr>
        <w:t xml:space="preserve"> on the Development of the Lisbon System</w:t>
      </w:r>
    </w:p>
    <w:p w:rsidR="00902DFC" w:rsidRDefault="00902DFC" w:rsidP="00BA4470"/>
    <w:p w:rsidR="00902DFC" w:rsidRDefault="00902DFC" w:rsidP="00682B8A">
      <w:pPr>
        <w:numPr>
          <w:ilvl w:val="0"/>
          <w:numId w:val="19"/>
        </w:numPr>
        <w:tabs>
          <w:tab w:val="left" w:pos="1134"/>
        </w:tabs>
        <w:ind w:left="0" w:firstLine="540"/>
      </w:pPr>
      <w:r>
        <w:t>Article 7(3), Article 8(3), Article 24(3)(vi) and related provisions concerning the possible introduction of maintenance fees;</w:t>
      </w:r>
    </w:p>
    <w:p w:rsidR="00902DFC" w:rsidRDefault="00902DFC" w:rsidP="00682B8A">
      <w:pPr>
        <w:tabs>
          <w:tab w:val="left" w:pos="1134"/>
        </w:tabs>
        <w:ind w:firstLine="540"/>
      </w:pPr>
    </w:p>
    <w:p w:rsidR="00902DFC" w:rsidRDefault="00902DFC" w:rsidP="00682B8A">
      <w:pPr>
        <w:numPr>
          <w:ilvl w:val="0"/>
          <w:numId w:val="19"/>
        </w:numPr>
        <w:tabs>
          <w:tab w:val="left" w:pos="1134"/>
        </w:tabs>
        <w:ind w:left="0" w:firstLine="540"/>
      </w:pPr>
      <w:r>
        <w:t>the possible re-introduction of the provisions of the current Lisbon Agreement dealing with contributions by members of the Lisbon Union;</w:t>
      </w:r>
    </w:p>
    <w:p w:rsidR="00944833" w:rsidRDefault="00944833" w:rsidP="00682B8A">
      <w:pPr>
        <w:tabs>
          <w:tab w:val="left" w:pos="1134"/>
        </w:tabs>
        <w:ind w:firstLine="540"/>
      </w:pPr>
    </w:p>
    <w:p w:rsidR="00944833" w:rsidRDefault="00944833" w:rsidP="00682B8A">
      <w:pPr>
        <w:numPr>
          <w:ilvl w:val="0"/>
          <w:numId w:val="19"/>
        </w:numPr>
        <w:tabs>
          <w:tab w:val="left" w:pos="720"/>
          <w:tab w:val="left" w:pos="1134"/>
        </w:tabs>
        <w:ind w:left="0" w:firstLine="540"/>
      </w:pPr>
      <w:r w:rsidRPr="00944833">
        <w:t>the various options in respect of Article 11(1)(a) and Article 11(3)</w:t>
      </w:r>
      <w:r w:rsidR="00AE18E9">
        <w:t xml:space="preserve">; </w:t>
      </w:r>
    </w:p>
    <w:p w:rsidR="001A767C" w:rsidRDefault="001A767C" w:rsidP="00682B8A">
      <w:pPr>
        <w:tabs>
          <w:tab w:val="left" w:pos="1134"/>
        </w:tabs>
        <w:ind w:firstLine="540"/>
      </w:pPr>
    </w:p>
    <w:p w:rsidR="001A767C" w:rsidRDefault="001A767C" w:rsidP="00682B8A">
      <w:pPr>
        <w:numPr>
          <w:ilvl w:val="0"/>
          <w:numId w:val="19"/>
        </w:numPr>
        <w:tabs>
          <w:tab w:val="left" w:pos="720"/>
          <w:tab w:val="left" w:pos="1134"/>
        </w:tabs>
        <w:ind w:left="0" w:firstLine="540"/>
      </w:pPr>
      <w:r w:rsidRPr="00AE1829">
        <w:t>the content of Article 12 concerning protection against acquiring a generic character;</w:t>
      </w:r>
    </w:p>
    <w:p w:rsidR="001A767C" w:rsidRPr="00AE1829" w:rsidRDefault="001A767C" w:rsidP="00682B8A">
      <w:pPr>
        <w:tabs>
          <w:tab w:val="left" w:pos="1134"/>
        </w:tabs>
        <w:ind w:firstLine="540"/>
      </w:pPr>
    </w:p>
    <w:p w:rsidR="001A767C" w:rsidRDefault="001A767C" w:rsidP="00682B8A">
      <w:pPr>
        <w:numPr>
          <w:ilvl w:val="0"/>
          <w:numId w:val="19"/>
        </w:numPr>
        <w:tabs>
          <w:tab w:val="left" w:pos="1134"/>
        </w:tabs>
        <w:ind w:left="0" w:firstLine="540"/>
      </w:pPr>
      <w:r w:rsidRPr="00AE1829">
        <w:t>the content of Article 13(1) concerning safeguards in respect of prior trademark rights;</w:t>
      </w:r>
    </w:p>
    <w:p w:rsidR="006334B0" w:rsidRDefault="006334B0" w:rsidP="00682B8A">
      <w:pPr>
        <w:tabs>
          <w:tab w:val="left" w:pos="1134"/>
        </w:tabs>
        <w:ind w:firstLine="540"/>
      </w:pPr>
    </w:p>
    <w:p w:rsidR="006334B0" w:rsidRDefault="006334B0" w:rsidP="00682B8A">
      <w:pPr>
        <w:numPr>
          <w:ilvl w:val="0"/>
          <w:numId w:val="19"/>
        </w:numPr>
        <w:tabs>
          <w:tab w:val="left" w:pos="720"/>
          <w:tab w:val="left" w:pos="1134"/>
        </w:tabs>
        <w:ind w:left="0" w:firstLine="540"/>
      </w:pPr>
      <w:r w:rsidRPr="006334B0">
        <w:t>the content of Article 16(2) concerning negotiations following a refusal;</w:t>
      </w:r>
    </w:p>
    <w:p w:rsidR="00D25109" w:rsidRDefault="00D25109" w:rsidP="00682B8A">
      <w:pPr>
        <w:tabs>
          <w:tab w:val="left" w:pos="1134"/>
        </w:tabs>
        <w:ind w:firstLine="540"/>
      </w:pPr>
    </w:p>
    <w:p w:rsidR="00D25109" w:rsidRDefault="00D25109" w:rsidP="00682B8A">
      <w:pPr>
        <w:numPr>
          <w:ilvl w:val="0"/>
          <w:numId w:val="19"/>
        </w:numPr>
        <w:tabs>
          <w:tab w:val="left" w:pos="720"/>
          <w:tab w:val="left" w:pos="1134"/>
        </w:tabs>
        <w:ind w:left="0" w:firstLine="540"/>
      </w:pPr>
      <w:r w:rsidRPr="00D25109">
        <w:t>the content of Article 17 concerning the necessity of a phasing out period;</w:t>
      </w:r>
    </w:p>
    <w:p w:rsidR="00BA4470" w:rsidRPr="00AE1829" w:rsidRDefault="00BA4470" w:rsidP="00682B8A">
      <w:pPr>
        <w:tabs>
          <w:tab w:val="left" w:pos="1134"/>
        </w:tabs>
        <w:ind w:firstLine="540"/>
      </w:pPr>
    </w:p>
    <w:p w:rsidR="00A51AEC" w:rsidRDefault="00F07A37" w:rsidP="00682B8A">
      <w:pPr>
        <w:numPr>
          <w:ilvl w:val="0"/>
          <w:numId w:val="19"/>
        </w:numPr>
        <w:tabs>
          <w:tab w:val="left" w:pos="720"/>
          <w:tab w:val="left" w:pos="1134"/>
        </w:tabs>
        <w:ind w:left="0" w:firstLine="540"/>
      </w:pPr>
      <w:r w:rsidRPr="00AE1829">
        <w:t xml:space="preserve">the issue as to whether Rule 5(3) should be optional or mandatory;  </w:t>
      </w:r>
    </w:p>
    <w:p w:rsidR="00A51AEC" w:rsidRDefault="00A51AEC" w:rsidP="00682B8A">
      <w:pPr>
        <w:pStyle w:val="ListParagraph"/>
        <w:tabs>
          <w:tab w:val="left" w:pos="1134"/>
        </w:tabs>
        <w:ind w:left="0" w:firstLine="540"/>
      </w:pPr>
    </w:p>
    <w:p w:rsidR="00A51AEC" w:rsidRDefault="001A767C" w:rsidP="00682B8A">
      <w:pPr>
        <w:numPr>
          <w:ilvl w:val="0"/>
          <w:numId w:val="19"/>
        </w:numPr>
        <w:tabs>
          <w:tab w:val="left" w:pos="720"/>
          <w:tab w:val="left" w:pos="1134"/>
        </w:tabs>
        <w:ind w:left="0" w:firstLine="540"/>
      </w:pPr>
      <w:r w:rsidRPr="00AE1829">
        <w:t>the issue of promoting tran</w:t>
      </w:r>
      <w:r w:rsidR="0047265B">
        <w:t>sparency under Rule 5(5)(ii).</w:t>
      </w:r>
      <w:r w:rsidR="00902DFC">
        <w:t xml:space="preserve">  </w:t>
      </w:r>
    </w:p>
    <w:p w:rsidR="00580991" w:rsidRPr="00BE3115" w:rsidRDefault="00A51AEC" w:rsidP="00A51AEC">
      <w:pPr>
        <w:numPr>
          <w:ilvl w:val="0"/>
          <w:numId w:val="22"/>
        </w:numPr>
        <w:tabs>
          <w:tab w:val="left" w:pos="540"/>
          <w:tab w:val="left" w:pos="1170"/>
        </w:tabs>
        <w:ind w:left="540" w:firstLine="0"/>
        <w:rPr>
          <w:i/>
        </w:rPr>
      </w:pPr>
      <w:r>
        <w:br w:type="page"/>
      </w:r>
      <w:r w:rsidR="00580991">
        <w:rPr>
          <w:i/>
          <w:u w:val="single"/>
        </w:rPr>
        <w:t>As contained in document LI/WG/DEV/10/2</w:t>
      </w:r>
    </w:p>
    <w:p w:rsidR="00B72410" w:rsidRDefault="00B72410" w:rsidP="00BA4470">
      <w:pPr>
        <w:ind w:firstLine="567"/>
        <w:rPr>
          <w:u w:val="single"/>
        </w:rPr>
      </w:pPr>
    </w:p>
    <w:p w:rsidR="00B72410" w:rsidRPr="00AE1829" w:rsidRDefault="00B72410" w:rsidP="00682B8A">
      <w:pPr>
        <w:numPr>
          <w:ilvl w:val="0"/>
          <w:numId w:val="19"/>
        </w:numPr>
        <w:tabs>
          <w:tab w:val="left" w:pos="1276"/>
        </w:tabs>
        <w:ind w:left="0" w:firstLine="540"/>
      </w:pPr>
      <w:r w:rsidRPr="00AE1829">
        <w:t>implementation aspects of Article 1(xiv);</w:t>
      </w:r>
    </w:p>
    <w:p w:rsidR="00B4012D" w:rsidRDefault="00B4012D" w:rsidP="00682B8A">
      <w:pPr>
        <w:tabs>
          <w:tab w:val="left" w:pos="1276"/>
        </w:tabs>
        <w:ind w:firstLine="540"/>
        <w:rPr>
          <w:u w:val="single"/>
        </w:rPr>
      </w:pPr>
    </w:p>
    <w:p w:rsidR="00BA4470" w:rsidRDefault="00B4012D" w:rsidP="00682B8A">
      <w:pPr>
        <w:numPr>
          <w:ilvl w:val="0"/>
          <w:numId w:val="19"/>
        </w:numPr>
        <w:tabs>
          <w:tab w:val="left" w:pos="1276"/>
        </w:tabs>
        <w:ind w:left="0" w:firstLine="540"/>
      </w:pPr>
      <w:r w:rsidRPr="00AE1829">
        <w:t>the content of Article 2(2) and Article 5(4) concerning trans-border</w:t>
      </w:r>
      <w:r w:rsidR="00B72410">
        <w:t xml:space="preserve"> geographical</w:t>
      </w:r>
      <w:r w:rsidR="002C5545" w:rsidRPr="002C5545">
        <w:t xml:space="preserve"> </w:t>
      </w:r>
      <w:r w:rsidR="002C5545">
        <w:t>areas of origin</w:t>
      </w:r>
      <w:r w:rsidR="00821A81">
        <w:t>;</w:t>
      </w:r>
      <w:r w:rsidR="00B72410">
        <w:t xml:space="preserve">  </w:t>
      </w:r>
    </w:p>
    <w:p w:rsidR="00190D81" w:rsidRPr="00AE1829" w:rsidRDefault="00190D81" w:rsidP="00682B8A">
      <w:pPr>
        <w:tabs>
          <w:tab w:val="left" w:pos="1276"/>
        </w:tabs>
        <w:ind w:firstLine="540"/>
      </w:pPr>
    </w:p>
    <w:p w:rsidR="00190D81" w:rsidRDefault="00190D81" w:rsidP="00682B8A">
      <w:pPr>
        <w:numPr>
          <w:ilvl w:val="0"/>
          <w:numId w:val="19"/>
        </w:numPr>
        <w:tabs>
          <w:tab w:val="left" w:pos="540"/>
          <w:tab w:val="left" w:pos="1276"/>
        </w:tabs>
        <w:ind w:left="0" w:firstLine="540"/>
      </w:pPr>
      <w:r w:rsidRPr="00AE1829">
        <w:t>the issue of entitlement to file an application under Article 5(2);</w:t>
      </w:r>
    </w:p>
    <w:p w:rsidR="00FD31BB" w:rsidRDefault="00FD31BB" w:rsidP="00682B8A">
      <w:pPr>
        <w:tabs>
          <w:tab w:val="left" w:pos="1276"/>
        </w:tabs>
        <w:ind w:firstLine="540"/>
      </w:pPr>
    </w:p>
    <w:p w:rsidR="00FD31BB" w:rsidRDefault="00FD31BB" w:rsidP="00682B8A">
      <w:pPr>
        <w:numPr>
          <w:ilvl w:val="0"/>
          <w:numId w:val="19"/>
        </w:numPr>
        <w:tabs>
          <w:tab w:val="left" w:pos="540"/>
          <w:tab w:val="left" w:pos="1276"/>
        </w:tabs>
        <w:ind w:left="0" w:firstLine="540"/>
      </w:pPr>
      <w:r>
        <w:t>Article 7(5</w:t>
      </w:r>
      <w:r w:rsidRPr="00FD31BB">
        <w:t>)</w:t>
      </w:r>
      <w:r>
        <w:t xml:space="preserve"> and (6)</w:t>
      </w:r>
      <w:r w:rsidR="00AB3472">
        <w:t xml:space="preserve"> </w:t>
      </w:r>
      <w:r w:rsidRPr="00FD31BB">
        <w:t>and related provisions concerning the possible introduction of individual fees;</w:t>
      </w:r>
    </w:p>
    <w:p w:rsidR="00190D81" w:rsidRDefault="00190D81" w:rsidP="00682B8A">
      <w:pPr>
        <w:tabs>
          <w:tab w:val="left" w:pos="1276"/>
        </w:tabs>
        <w:ind w:firstLine="540"/>
      </w:pPr>
    </w:p>
    <w:p w:rsidR="00190D81" w:rsidRDefault="00190D81" w:rsidP="00682B8A">
      <w:pPr>
        <w:numPr>
          <w:ilvl w:val="0"/>
          <w:numId w:val="19"/>
        </w:numPr>
        <w:tabs>
          <w:tab w:val="left" w:pos="540"/>
          <w:tab w:val="left" w:pos="1276"/>
          <w:tab w:val="left" w:pos="2610"/>
        </w:tabs>
        <w:ind w:left="0" w:firstLine="540"/>
      </w:pPr>
      <w:r w:rsidRPr="00AE1829">
        <w:t>th</w:t>
      </w:r>
      <w:r w:rsidR="005E641B">
        <w:t>e issue of the d</w:t>
      </w:r>
      <w:r w:rsidRPr="00AE1829">
        <w:t>raft Agreed Statement contained in footnote 1 to Article 11 and provisi</w:t>
      </w:r>
      <w:r>
        <w:t>ons relating to the same issue;</w:t>
      </w:r>
    </w:p>
    <w:p w:rsidR="00824F1B" w:rsidRDefault="00824F1B" w:rsidP="00682B8A">
      <w:pPr>
        <w:tabs>
          <w:tab w:val="left" w:pos="1276"/>
        </w:tabs>
        <w:ind w:firstLine="540"/>
      </w:pPr>
    </w:p>
    <w:p w:rsidR="00824F1B" w:rsidRPr="00AE1829" w:rsidRDefault="00824F1B" w:rsidP="00682B8A">
      <w:pPr>
        <w:numPr>
          <w:ilvl w:val="0"/>
          <w:numId w:val="19"/>
        </w:numPr>
        <w:tabs>
          <w:tab w:val="left" w:pos="540"/>
          <w:tab w:val="left" w:pos="1276"/>
        </w:tabs>
        <w:ind w:left="0" w:firstLine="540"/>
      </w:pPr>
      <w:r w:rsidRPr="00824F1B">
        <w:t xml:space="preserve">the </w:t>
      </w:r>
      <w:r>
        <w:t>issue as to whether Article 19(1)</w:t>
      </w:r>
      <w:r w:rsidRPr="00824F1B">
        <w:t xml:space="preserve"> should establish an exhaustive or a </w:t>
      </w:r>
      <w:r w:rsidR="00821A81">
        <w:br/>
      </w:r>
      <w:r w:rsidRPr="00824F1B">
        <w:t>non-exhaustive list of grounds for invalidation;</w:t>
      </w:r>
    </w:p>
    <w:p w:rsidR="00190D81" w:rsidRDefault="00190D81" w:rsidP="00682B8A">
      <w:pPr>
        <w:tabs>
          <w:tab w:val="left" w:pos="1276"/>
        </w:tabs>
        <w:ind w:firstLine="540"/>
      </w:pPr>
    </w:p>
    <w:p w:rsidR="00190D81" w:rsidRPr="00AE1829" w:rsidRDefault="00190D81" w:rsidP="00682B8A">
      <w:pPr>
        <w:numPr>
          <w:ilvl w:val="0"/>
          <w:numId w:val="19"/>
        </w:numPr>
        <w:tabs>
          <w:tab w:val="left" w:pos="540"/>
          <w:tab w:val="left" w:pos="1276"/>
        </w:tabs>
        <w:ind w:left="0" w:firstLine="540"/>
      </w:pPr>
      <w:r w:rsidRPr="00793BF9">
        <w:t xml:space="preserve">the issue of the inclusion of Rule 5(4) permitting a Contracting Party to require a declaration of intention to use in respect of a registered appellation of origin or a registered geographical indication;  </w:t>
      </w:r>
    </w:p>
    <w:p w:rsidR="00205306" w:rsidRDefault="00205306" w:rsidP="00682B8A">
      <w:pPr>
        <w:tabs>
          <w:tab w:val="left" w:pos="1276"/>
        </w:tabs>
        <w:ind w:firstLine="540"/>
      </w:pPr>
    </w:p>
    <w:p w:rsidR="00BA4470" w:rsidRDefault="00205306" w:rsidP="00682B8A">
      <w:pPr>
        <w:numPr>
          <w:ilvl w:val="0"/>
          <w:numId w:val="19"/>
        </w:numPr>
        <w:tabs>
          <w:tab w:val="left" w:pos="540"/>
          <w:tab w:val="left" w:pos="1276"/>
        </w:tabs>
        <w:ind w:left="0" w:firstLine="540"/>
      </w:pPr>
      <w:r w:rsidRPr="00205306">
        <w:t xml:space="preserve">the amount of fees in Rule 8(1).  </w:t>
      </w:r>
    </w:p>
    <w:p w:rsidR="00B20D6F" w:rsidRDefault="00B20D6F" w:rsidP="00474B7A"/>
    <w:p w:rsidR="00B20D6F" w:rsidRDefault="008265F9" w:rsidP="00474B7A">
      <w:r>
        <w:t>14</w:t>
      </w:r>
      <w:r w:rsidR="00B20D6F">
        <w:t>.</w:t>
      </w:r>
      <w:r w:rsidR="00B20D6F">
        <w:tab/>
        <w:t xml:space="preserve">The Chair indicated that the </w:t>
      </w:r>
      <w:r w:rsidR="00682007">
        <w:t>R</w:t>
      </w:r>
      <w:r w:rsidR="00534ABD">
        <w:t>e</w:t>
      </w:r>
      <w:r w:rsidR="00720178">
        <w:t>port of the present session would</w:t>
      </w:r>
      <w:r w:rsidR="00534ABD">
        <w:t xml:space="preserve"> fully and accurately reflect the way in which the Working Group managed to settle some of</w:t>
      </w:r>
      <w:r w:rsidR="00720178">
        <w:t xml:space="preserve"> the pending issues as well as the amendments agreed upon concerning the provisions related to </w:t>
      </w:r>
      <w:r w:rsidR="00AB53E0">
        <w:t xml:space="preserve">other </w:t>
      </w:r>
      <w:r w:rsidR="00720178">
        <w:t xml:space="preserve">pending issues.  On that basis, the basic proposal that would be submitted by the Director General to the Diplomatic Conference would fully and precisely </w:t>
      </w:r>
      <w:r w:rsidR="00B20D6F">
        <w:t>reflect the outcome of the discussions on the pending issues</w:t>
      </w:r>
      <w:r w:rsidR="00720178">
        <w:t xml:space="preserve"> at the present session of the Working Group</w:t>
      </w:r>
      <w:r w:rsidR="00383BAC">
        <w:t>, with the editorial changes that might appear necessary</w:t>
      </w:r>
      <w:r w:rsidR="00B20D6F">
        <w:t>.</w:t>
      </w:r>
    </w:p>
    <w:p w:rsidR="00D04559" w:rsidRDefault="00D04559" w:rsidP="00474B7A"/>
    <w:p w:rsidR="00D04559" w:rsidRDefault="008265F9" w:rsidP="005E641B">
      <w:pPr>
        <w:ind w:left="540"/>
      </w:pPr>
      <w:r>
        <w:t>15</w:t>
      </w:r>
      <w:r w:rsidR="00D04559">
        <w:t>.</w:t>
      </w:r>
      <w:r w:rsidR="00D04559">
        <w:tab/>
      </w:r>
      <w:r w:rsidR="00D04559" w:rsidRPr="00D04559">
        <w:t xml:space="preserve">Following discussion of </w:t>
      </w:r>
      <w:r w:rsidR="00D04559">
        <w:t>paragraph 7 of document LI/WG/DEV/10/2</w:t>
      </w:r>
      <w:r w:rsidR="00D04559" w:rsidRPr="00D04559">
        <w:t>, the Chair concluded that t</w:t>
      </w:r>
      <w:r w:rsidR="00523D42">
        <w:t>he Working Group had agreed</w:t>
      </w:r>
      <w:r w:rsidR="00D04559">
        <w:t>:</w:t>
      </w:r>
    </w:p>
    <w:p w:rsidR="00D04559" w:rsidRDefault="00D04559" w:rsidP="005E641B">
      <w:pPr>
        <w:ind w:left="540"/>
      </w:pPr>
    </w:p>
    <w:p w:rsidR="00D04559" w:rsidRDefault="00523D42" w:rsidP="00612528">
      <w:pPr>
        <w:numPr>
          <w:ilvl w:val="0"/>
          <w:numId w:val="23"/>
        </w:numPr>
        <w:tabs>
          <w:tab w:val="left" w:pos="1134"/>
        </w:tabs>
        <w:ind w:left="567" w:firstLine="0"/>
      </w:pPr>
      <w:r>
        <w:t xml:space="preserve">that </w:t>
      </w:r>
      <w:r w:rsidR="00D04559">
        <w:t xml:space="preserve">the texts of the draft Revised Lisbon Agreement and the draft Regulations resulting from its consideration of the pending issues listed in paragraph 5 of document </w:t>
      </w:r>
      <w:r w:rsidR="00D04559" w:rsidRPr="00D04559">
        <w:t>LI/WG/DEV/10/2</w:t>
      </w:r>
      <w:r w:rsidR="00D04559">
        <w:t xml:space="preserve"> should constitute the basic proposal for the Diplomatic Conference; and</w:t>
      </w:r>
    </w:p>
    <w:p w:rsidR="00523D42" w:rsidRDefault="00523D42" w:rsidP="00612528">
      <w:pPr>
        <w:tabs>
          <w:tab w:val="left" w:pos="1134"/>
        </w:tabs>
        <w:ind w:left="567"/>
      </w:pPr>
    </w:p>
    <w:p w:rsidR="00D04559" w:rsidRDefault="00523D42" w:rsidP="00612528">
      <w:pPr>
        <w:numPr>
          <w:ilvl w:val="0"/>
          <w:numId w:val="23"/>
        </w:numPr>
        <w:tabs>
          <w:tab w:val="left" w:pos="1134"/>
        </w:tabs>
        <w:ind w:left="567" w:firstLine="0"/>
      </w:pPr>
      <w:r>
        <w:t>to recommend that the Assemb</w:t>
      </w:r>
      <w:r w:rsidR="0010143C">
        <w:t>ly of the Lisbon Union consider</w:t>
      </w:r>
      <w:r>
        <w:t xml:space="preserve"> the need to amend, to the extent possible, the Regulations under the current Lisbon Agreement in view of the outcome of the</w:t>
      </w:r>
      <w:r w:rsidR="001F3142">
        <w:t xml:space="preserve"> Diplomatic Conference</w:t>
      </w:r>
      <w:r>
        <w:t>.</w:t>
      </w:r>
    </w:p>
    <w:p w:rsidR="00A053CB" w:rsidRPr="00A053CB" w:rsidRDefault="00A053CB" w:rsidP="00653149"/>
    <w:p w:rsidR="001B6E52" w:rsidRDefault="0055702D" w:rsidP="00CE2A48">
      <w:pPr>
        <w:pStyle w:val="Heading1"/>
      </w:pPr>
      <w:r>
        <w:t>Agenda Item 6</w:t>
      </w:r>
      <w:r w:rsidR="001B6E52" w:rsidRPr="0003612D">
        <w:t>:  Other Matters</w:t>
      </w:r>
    </w:p>
    <w:p w:rsidR="001B6E52" w:rsidRDefault="001B6E52" w:rsidP="001B6E52"/>
    <w:p w:rsidR="00CE2A48" w:rsidRDefault="00E3722A" w:rsidP="00CE2A48">
      <w:r>
        <w:t>16</w:t>
      </w:r>
      <w:r w:rsidR="00FE51FE">
        <w:t>.</w:t>
      </w:r>
      <w:r w:rsidR="00FE51FE">
        <w:tab/>
      </w:r>
      <w:r w:rsidR="00B64847">
        <w:t>No interventions were made under this item.</w:t>
      </w:r>
    </w:p>
    <w:p w:rsidR="00B64847" w:rsidRDefault="00B64847" w:rsidP="00CE2A48"/>
    <w:p w:rsidR="001B6E52" w:rsidRPr="008F6003" w:rsidRDefault="0055702D" w:rsidP="006167E8">
      <w:pPr>
        <w:pStyle w:val="Heading1"/>
      </w:pPr>
      <w:r>
        <w:t>Agenda Item 7</w:t>
      </w:r>
      <w:r w:rsidR="001B6E52" w:rsidRPr="008F6003">
        <w:t xml:space="preserve">:  </w:t>
      </w:r>
      <w:r w:rsidR="001B6E52">
        <w:t xml:space="preserve">adoption of the </w:t>
      </w:r>
      <w:r w:rsidR="001B6E52" w:rsidRPr="008F6003">
        <w:t>Summary by the Chair</w:t>
      </w:r>
    </w:p>
    <w:p w:rsidR="001B6E52" w:rsidRDefault="001B6E52" w:rsidP="001B6E52"/>
    <w:p w:rsidR="008E4651" w:rsidRDefault="00E3722A" w:rsidP="00795CEE">
      <w:pPr>
        <w:tabs>
          <w:tab w:val="left" w:pos="1276"/>
        </w:tabs>
        <w:ind w:left="567"/>
      </w:pPr>
      <w:r>
        <w:t>17</w:t>
      </w:r>
      <w:r w:rsidR="005D255F">
        <w:t>.</w:t>
      </w:r>
      <w:r w:rsidR="005D255F">
        <w:tab/>
      </w:r>
      <w:r w:rsidR="001B6E52">
        <w:t>The Working Group approved the Summary by the Chair</w:t>
      </w:r>
      <w:r w:rsidR="0021543C">
        <w:t>,</w:t>
      </w:r>
      <w:r w:rsidR="001B6E52">
        <w:t xml:space="preserve"> as contained in the present document.</w:t>
      </w:r>
    </w:p>
    <w:p w:rsidR="001B6E52" w:rsidRPr="00AA33D3" w:rsidRDefault="008E4651" w:rsidP="001B6E52">
      <w:pPr>
        <w:tabs>
          <w:tab w:val="left" w:pos="550"/>
        </w:tabs>
      </w:pPr>
      <w:r>
        <w:br w:type="page"/>
      </w:r>
      <w:r w:rsidR="00E3722A">
        <w:t>18</w:t>
      </w:r>
      <w:r w:rsidR="001B6E52">
        <w:t>.</w:t>
      </w:r>
      <w:r w:rsidR="001B6E52">
        <w:tab/>
      </w:r>
      <w:r w:rsidR="00031EF3">
        <w:t>A draft of the full R</w:t>
      </w:r>
      <w:r w:rsidR="001B6E52" w:rsidRPr="00AA33D3">
        <w:t xml:space="preserve">eport of the session of the Working Group will be </w:t>
      </w:r>
      <w:r w:rsidR="001B6E52">
        <w:t xml:space="preserve">made available on the WIPO web site </w:t>
      </w:r>
      <w:r w:rsidR="001B6E52" w:rsidRPr="00AA33D3">
        <w:t>for comment</w:t>
      </w:r>
      <w:r w:rsidR="001B6E52">
        <w:t xml:space="preserve">s by </w:t>
      </w:r>
      <w:r w:rsidR="001B6E52" w:rsidRPr="00AA33D3">
        <w:t>the delegations and representatives that participated in the meeting</w:t>
      </w:r>
      <w:r w:rsidR="001B6E52">
        <w:t>.  Participants w</w:t>
      </w:r>
      <w:r w:rsidR="00031EF3">
        <w:t>ill be informed once the draft R</w:t>
      </w:r>
      <w:r w:rsidR="001B6E52">
        <w:t>eport is available on the WIPO web site</w:t>
      </w:r>
      <w:r w:rsidR="001B6E52" w:rsidRPr="00AA33D3">
        <w:t xml:space="preserve">.  </w:t>
      </w:r>
      <w:r w:rsidR="001B6E52">
        <w:t xml:space="preserve">Participants can submit </w:t>
      </w:r>
      <w:r w:rsidR="001B6E52" w:rsidRPr="00AA33D3">
        <w:t xml:space="preserve">comments within </w:t>
      </w:r>
      <w:r w:rsidR="001B6E52">
        <w:t xml:space="preserve">one </w:t>
      </w:r>
      <w:r w:rsidR="001B6E52" w:rsidRPr="00AA33D3">
        <w:t xml:space="preserve">month from </w:t>
      </w:r>
      <w:r w:rsidR="001B6E52">
        <w:t xml:space="preserve">its publication </w:t>
      </w:r>
      <w:r w:rsidR="001B6E52" w:rsidRPr="00AA33D3">
        <w:t xml:space="preserve">date, after which </w:t>
      </w:r>
      <w:r w:rsidR="001B6E52">
        <w:t>a track-changes version of the document</w:t>
      </w:r>
      <w:r w:rsidR="001B6E52" w:rsidRPr="00AA33D3">
        <w:t xml:space="preserve">, </w:t>
      </w:r>
      <w:r w:rsidR="001B6E52">
        <w:t xml:space="preserve">taking into account all the comments received from participants, will be made </w:t>
      </w:r>
      <w:r w:rsidR="001B6E52" w:rsidRPr="00AA33D3">
        <w:t>available on the WIPO web</w:t>
      </w:r>
      <w:r w:rsidR="001B6E52">
        <w:t xml:space="preserve"> </w:t>
      </w:r>
      <w:r w:rsidR="001B6E52" w:rsidRPr="00AA33D3">
        <w:t>site.</w:t>
      </w:r>
      <w:r w:rsidR="001B6E52">
        <w:t xml:space="preserve">  The availability of the comments and the track-changes version will also be communicated to participants, together with a deadline for the submission of final comments on that track-cha</w:t>
      </w:r>
      <w:r w:rsidR="00031EF3">
        <w:t>nges version.  Thereafter, the R</w:t>
      </w:r>
      <w:r w:rsidR="001B6E52">
        <w:t xml:space="preserve">eport, taking into account the final comments, as appropriate, will be published on the WIPO web site without track changes, indicating the date of such final publication.  </w:t>
      </w:r>
      <w:r w:rsidR="00CF2EB2">
        <w:t>In the absence of comments within two weeks from that date the Report will be deemed adopted.</w:t>
      </w:r>
    </w:p>
    <w:p w:rsidR="001B6E52" w:rsidRPr="00AA33D3" w:rsidRDefault="001B6E52" w:rsidP="001B6E52">
      <w:pPr>
        <w:ind w:left="1696" w:hanging="675"/>
        <w:rPr>
          <w:u w:val="single"/>
        </w:rPr>
      </w:pPr>
    </w:p>
    <w:p w:rsidR="001B6E52" w:rsidRPr="00AA33D3" w:rsidRDefault="0055702D" w:rsidP="001B6E52">
      <w:pPr>
        <w:pStyle w:val="Heading1"/>
      </w:pPr>
      <w:r>
        <w:t>Agenda Item 8</w:t>
      </w:r>
      <w:r w:rsidR="001B6E52" w:rsidRPr="00AA33D3">
        <w:t>:  Closing of the Session</w:t>
      </w:r>
    </w:p>
    <w:p w:rsidR="001B6E52" w:rsidRPr="00AA33D3" w:rsidRDefault="001B6E52" w:rsidP="001B6E52">
      <w:pPr>
        <w:ind w:left="1696" w:hanging="675"/>
      </w:pPr>
    </w:p>
    <w:p w:rsidR="001B6E52" w:rsidRPr="00AA33D3" w:rsidRDefault="00E3722A" w:rsidP="00795CEE">
      <w:pPr>
        <w:tabs>
          <w:tab w:val="left" w:pos="567"/>
        </w:tabs>
      </w:pPr>
      <w:r>
        <w:t>19</w:t>
      </w:r>
      <w:r w:rsidR="001B6E52">
        <w:t>.</w:t>
      </w:r>
      <w:r w:rsidR="001B6E52">
        <w:tab/>
      </w:r>
      <w:r w:rsidR="001B6E52" w:rsidRPr="00AA33D3">
        <w:t xml:space="preserve">The Chair closed the </w:t>
      </w:r>
      <w:r w:rsidR="001B6E52">
        <w:t>s</w:t>
      </w:r>
      <w:r w:rsidR="001B6E52" w:rsidRPr="00AA33D3">
        <w:t xml:space="preserve">ession on </w:t>
      </w:r>
      <w:r w:rsidR="0055702D">
        <w:t>October 31</w:t>
      </w:r>
      <w:r w:rsidR="001B6E52" w:rsidRPr="00AA33D3">
        <w:t>, 201</w:t>
      </w:r>
      <w:r w:rsidR="006B24D8">
        <w:t>4</w:t>
      </w:r>
      <w:r w:rsidR="001B6E52" w:rsidRPr="00AA33D3">
        <w:t>.</w:t>
      </w:r>
    </w:p>
    <w:p w:rsidR="001B6E52" w:rsidRDefault="001B6E52" w:rsidP="001B6E52">
      <w:pPr>
        <w:ind w:left="1696" w:hanging="675"/>
      </w:pPr>
    </w:p>
    <w:p w:rsidR="001B6E52" w:rsidRDefault="001B6E52" w:rsidP="001B6E52">
      <w:pPr>
        <w:ind w:left="1696" w:hanging="675"/>
      </w:pPr>
    </w:p>
    <w:p w:rsidR="001B6E52" w:rsidRPr="005467DE" w:rsidRDefault="001B6E52" w:rsidP="001B6E52">
      <w:pPr>
        <w:pStyle w:val="Endofdocument"/>
        <w:rPr>
          <w:sz w:val="22"/>
          <w:szCs w:val="22"/>
        </w:rPr>
      </w:pPr>
    </w:p>
    <w:p w:rsidR="002B41E1" w:rsidRPr="00235258" w:rsidRDefault="002B41E1" w:rsidP="002B41E1">
      <w:pPr>
        <w:pStyle w:val="Endofdocument"/>
        <w:ind w:left="4536" w:firstLine="567"/>
        <w:rPr>
          <w:sz w:val="22"/>
          <w:szCs w:val="22"/>
        </w:rPr>
      </w:pPr>
      <w:r w:rsidRPr="00235258">
        <w:rPr>
          <w:sz w:val="22"/>
          <w:szCs w:val="22"/>
        </w:rPr>
        <w:t>[End of document]</w:t>
      </w:r>
    </w:p>
    <w:p w:rsidR="009E059F" w:rsidRDefault="009E059F" w:rsidP="00F85E88">
      <w:pPr>
        <w:pStyle w:val="Endofdocument"/>
        <w:ind w:left="0"/>
        <w:rPr>
          <w:sz w:val="22"/>
          <w:szCs w:val="22"/>
        </w:rPr>
      </w:pPr>
    </w:p>
    <w:sectPr w:rsidR="009E059F" w:rsidSect="007D43E5">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4E0" w:rsidRDefault="003764E0">
      <w:r>
        <w:separator/>
      </w:r>
    </w:p>
  </w:endnote>
  <w:endnote w:type="continuationSeparator" w:id="0">
    <w:p w:rsidR="003764E0" w:rsidRDefault="003764E0" w:rsidP="003B38C1">
      <w:r>
        <w:separator/>
      </w:r>
    </w:p>
    <w:p w:rsidR="003764E0" w:rsidRPr="003B38C1" w:rsidRDefault="003764E0" w:rsidP="003B38C1">
      <w:pPr>
        <w:spacing w:after="60"/>
        <w:rPr>
          <w:sz w:val="17"/>
        </w:rPr>
      </w:pPr>
      <w:r>
        <w:rPr>
          <w:sz w:val="17"/>
        </w:rPr>
        <w:t>[Endnote continued from previous page]</w:t>
      </w:r>
    </w:p>
  </w:endnote>
  <w:endnote w:type="continuationNotice" w:id="1">
    <w:p w:rsidR="003764E0" w:rsidRPr="003B38C1" w:rsidRDefault="003764E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4E0" w:rsidRDefault="003764E0">
      <w:r>
        <w:separator/>
      </w:r>
    </w:p>
  </w:footnote>
  <w:footnote w:type="continuationSeparator" w:id="0">
    <w:p w:rsidR="003764E0" w:rsidRDefault="003764E0" w:rsidP="008B60B2">
      <w:r>
        <w:separator/>
      </w:r>
    </w:p>
    <w:p w:rsidR="003764E0" w:rsidRPr="00ED77FB" w:rsidRDefault="003764E0" w:rsidP="008B60B2">
      <w:pPr>
        <w:spacing w:after="60"/>
        <w:rPr>
          <w:sz w:val="17"/>
          <w:szCs w:val="17"/>
        </w:rPr>
      </w:pPr>
      <w:r w:rsidRPr="00ED77FB">
        <w:rPr>
          <w:sz w:val="17"/>
          <w:szCs w:val="17"/>
        </w:rPr>
        <w:t>[Footnote continued from previous page]</w:t>
      </w:r>
    </w:p>
  </w:footnote>
  <w:footnote w:type="continuationNotice" w:id="1">
    <w:p w:rsidR="003764E0" w:rsidRPr="00ED77FB" w:rsidRDefault="003764E0" w:rsidP="008B60B2">
      <w:pPr>
        <w:spacing w:before="60"/>
        <w:jc w:val="right"/>
        <w:rPr>
          <w:sz w:val="17"/>
          <w:szCs w:val="17"/>
        </w:rPr>
      </w:pPr>
      <w:r w:rsidRPr="00ED77FB">
        <w:rPr>
          <w:sz w:val="17"/>
          <w:szCs w:val="17"/>
        </w:rPr>
        <w:t>[Footnote continued on next page]</w:t>
      </w:r>
    </w:p>
  </w:footnote>
  <w:footnote w:id="2">
    <w:p w:rsidR="007A0ECB" w:rsidRDefault="007A0ECB" w:rsidP="00C621A2">
      <w:pPr>
        <w:pStyle w:val="FootnoteText"/>
        <w:tabs>
          <w:tab w:val="left" w:pos="550"/>
        </w:tabs>
        <w:rPr>
          <w:szCs w:val="18"/>
        </w:rPr>
      </w:pPr>
      <w:r w:rsidRPr="000C3B1E">
        <w:rPr>
          <w:rStyle w:val="FootnoteReference"/>
          <w:szCs w:val="18"/>
        </w:rPr>
        <w:t>*</w:t>
      </w:r>
      <w:r w:rsidRPr="000C3B1E">
        <w:rPr>
          <w:szCs w:val="18"/>
        </w:rPr>
        <w:t xml:space="preserve"> </w:t>
      </w:r>
      <w:r w:rsidRPr="000C3B1E">
        <w:rPr>
          <w:szCs w:val="18"/>
        </w:rPr>
        <w:tab/>
        <w:t xml:space="preserve">The final list of participants will be made available as an </w:t>
      </w:r>
      <w:r>
        <w:rPr>
          <w:szCs w:val="18"/>
        </w:rPr>
        <w:t>Annex to the R</w:t>
      </w:r>
      <w:r w:rsidRPr="000C3B1E">
        <w:rPr>
          <w:szCs w:val="18"/>
        </w:rPr>
        <w:t xml:space="preserve">eport of the session.  </w:t>
      </w:r>
    </w:p>
    <w:p w:rsidR="002E7F90" w:rsidRPr="000C3B1E" w:rsidRDefault="002E7F90" w:rsidP="00C621A2">
      <w:pPr>
        <w:pStyle w:val="FootnoteText"/>
        <w:tabs>
          <w:tab w:val="left" w:pos="550"/>
        </w:tabs>
        <w:rPr>
          <w:szCs w:val="18"/>
        </w:rPr>
      </w:pPr>
    </w:p>
  </w:footnote>
  <w:footnote w:id="3">
    <w:p w:rsidR="002E7F90" w:rsidRPr="002E7F90" w:rsidRDefault="002E7F90" w:rsidP="00821A81">
      <w:pPr>
        <w:pStyle w:val="FootnoteText"/>
        <w:tabs>
          <w:tab w:val="left" w:pos="540"/>
        </w:tabs>
      </w:pPr>
      <w:r>
        <w:rPr>
          <w:rStyle w:val="FootnoteReference"/>
        </w:rPr>
        <w:footnoteRef/>
      </w:r>
      <w:r>
        <w:t xml:space="preserve"> </w:t>
      </w:r>
      <w:r w:rsidR="00F74266">
        <w:tab/>
      </w:r>
      <w:r w:rsidRPr="002E7F90">
        <w:t xml:space="preserve">For ease of reference, the numbering of the issues </w:t>
      </w:r>
      <w:r w:rsidR="005420A3">
        <w:t>does not reproduce</w:t>
      </w:r>
      <w:r w:rsidRPr="002E7F90">
        <w:t xml:space="preserve"> the numbering used in paragraph 5 of document LI/WG/DEV/10/2.</w:t>
      </w:r>
      <w:r w:rsidR="005420A3">
        <w:t xml:space="preserve">  Instead</w:t>
      </w:r>
      <w:r w:rsidR="00E36DB7">
        <w:t>,</w:t>
      </w:r>
      <w:r w:rsidR="005420A3">
        <w:t xml:space="preserve"> the numbering reproduces the numbering of </w:t>
      </w:r>
      <w:r w:rsidR="005420A3" w:rsidRPr="005420A3">
        <w:t>the Articles and Rules</w:t>
      </w:r>
      <w:r w:rsidR="005420A3">
        <w:t xml:space="preserve"> used in the Annex</w:t>
      </w:r>
      <w:r w:rsidR="00EA7BDE">
        <w:t>es</w:t>
      </w:r>
      <w:r w:rsidR="005420A3">
        <w:t xml:space="preserve"> to documents</w:t>
      </w:r>
      <w:r w:rsidR="005420A3" w:rsidRPr="005420A3">
        <w:t xml:space="preserve"> LI/WG/DEV/10/2</w:t>
      </w:r>
      <w:r w:rsidR="005420A3">
        <w:t xml:space="preserve"> and LI/WG/DEV/10/</w:t>
      </w:r>
      <w:r w:rsidR="00882AB8">
        <w:t>3</w:t>
      </w:r>
      <w:r w:rsidR="005420A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156" w:rsidRDefault="00321891" w:rsidP="007D43E5">
    <w:pPr>
      <w:jc w:val="right"/>
      <w:rPr>
        <w:lang w:val="fr-FR"/>
      </w:rPr>
    </w:pPr>
    <w:r>
      <w:rPr>
        <w:lang w:val="fr-FR"/>
      </w:rPr>
      <w:t>LI/WG/DEV/10/6</w:t>
    </w:r>
  </w:p>
  <w:p w:rsidR="00993156" w:rsidRPr="007D43E5" w:rsidRDefault="00993156">
    <w:pPr>
      <w:pStyle w:val="Header"/>
      <w:jc w:val="right"/>
      <w:rPr>
        <w:lang w:val="fr-CH"/>
      </w:rPr>
    </w:pPr>
    <w:proofErr w:type="gramStart"/>
    <w:r w:rsidRPr="007D43E5">
      <w:rPr>
        <w:lang w:val="fr-CH"/>
      </w:rPr>
      <w:t>page</w:t>
    </w:r>
    <w:proofErr w:type="gramEnd"/>
    <w:r w:rsidRPr="007D43E5">
      <w:rPr>
        <w:lang w:val="fr-CH"/>
      </w:rPr>
      <w:t xml:space="preserve"> </w:t>
    </w:r>
    <w:r>
      <w:fldChar w:fldCharType="begin"/>
    </w:r>
    <w:r w:rsidRPr="007D43E5">
      <w:rPr>
        <w:lang w:val="fr-CH"/>
      </w:rPr>
      <w:instrText xml:space="preserve"> PAGE   \* MERGEFORMAT </w:instrText>
    </w:r>
    <w:r>
      <w:fldChar w:fldCharType="separate"/>
    </w:r>
    <w:r w:rsidR="00F63204">
      <w:rPr>
        <w:noProof/>
        <w:lang w:val="fr-CH"/>
      </w:rPr>
      <w:t>2</w:t>
    </w:r>
    <w:r>
      <w:rPr>
        <w:noProof/>
      </w:rPr>
      <w:fldChar w:fldCharType="end"/>
    </w:r>
  </w:p>
  <w:p w:rsidR="00993156" w:rsidRDefault="00993156" w:rsidP="00477D6B">
    <w:pPr>
      <w:jc w:val="right"/>
      <w:rPr>
        <w:lang w:val="fr-FR"/>
      </w:rPr>
    </w:pPr>
  </w:p>
  <w:p w:rsidR="00993156" w:rsidRPr="0093554A" w:rsidRDefault="00993156" w:rsidP="00477D6B">
    <w:pP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720"/>
        </w:tabs>
        <w:ind w:left="720" w:hanging="360"/>
      </w:pPr>
    </w:lvl>
  </w:abstractNum>
  <w:abstractNum w:abstractNumId="1">
    <w:nsid w:val="00FF7221"/>
    <w:multiLevelType w:val="hybridMultilevel"/>
    <w:tmpl w:val="9FBA4846"/>
    <w:lvl w:ilvl="0" w:tplc="0C463618">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nsid w:val="04D76271"/>
    <w:multiLevelType w:val="hybridMultilevel"/>
    <w:tmpl w:val="F7C85A34"/>
    <w:lvl w:ilvl="0" w:tplc="2A0EE1CC">
      <w:start w:val="1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73C636A"/>
    <w:multiLevelType w:val="hybridMultilevel"/>
    <w:tmpl w:val="D2DE1BCC"/>
    <w:lvl w:ilvl="0" w:tplc="23AAAF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2A4507"/>
    <w:multiLevelType w:val="hybridMultilevel"/>
    <w:tmpl w:val="E5AA539C"/>
    <w:lvl w:ilvl="0" w:tplc="E0B6663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59670E"/>
    <w:multiLevelType w:val="hybridMultilevel"/>
    <w:tmpl w:val="750CEAFE"/>
    <w:lvl w:ilvl="0" w:tplc="8500E59E">
      <w:start w:val="1"/>
      <w:numFmt w:val="lowerRoman"/>
      <w:lvlText w:val="(%1)"/>
      <w:lvlJc w:val="left"/>
      <w:pPr>
        <w:ind w:left="1440"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0492C4C"/>
    <w:multiLevelType w:val="hybridMultilevel"/>
    <w:tmpl w:val="06F09A7C"/>
    <w:lvl w:ilvl="0" w:tplc="CA803C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5E77B9A"/>
    <w:multiLevelType w:val="hybridMultilevel"/>
    <w:tmpl w:val="CBF6463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D9C1879"/>
    <w:multiLevelType w:val="hybridMultilevel"/>
    <w:tmpl w:val="8182F646"/>
    <w:lvl w:ilvl="0" w:tplc="40C8AF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150BBA"/>
    <w:multiLevelType w:val="hybridMultilevel"/>
    <w:tmpl w:val="BEC66396"/>
    <w:lvl w:ilvl="0" w:tplc="BD609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78547E5"/>
    <w:multiLevelType w:val="hybridMultilevel"/>
    <w:tmpl w:val="43C2C1F6"/>
    <w:lvl w:ilvl="0" w:tplc="18605F0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5D490473"/>
    <w:multiLevelType w:val="hybridMultilevel"/>
    <w:tmpl w:val="A69AE4BC"/>
    <w:lvl w:ilvl="0" w:tplc="A308DD4E">
      <w:start w:val="1"/>
      <w:numFmt w:val="decimal"/>
      <w:lvlText w:val="%1."/>
      <w:lvlJc w:val="left"/>
      <w:pPr>
        <w:ind w:left="720" w:hanging="360"/>
      </w:pPr>
      <w:rPr>
        <w:rFonts w:hint="default"/>
        <w:i/>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A443D7"/>
    <w:multiLevelType w:val="hybridMultilevel"/>
    <w:tmpl w:val="569AB690"/>
    <w:lvl w:ilvl="0" w:tplc="DCC86B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D95D47"/>
    <w:multiLevelType w:val="hybridMultilevel"/>
    <w:tmpl w:val="A446B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CB0642"/>
    <w:multiLevelType w:val="hybridMultilevel"/>
    <w:tmpl w:val="79D2E2E4"/>
    <w:lvl w:ilvl="0" w:tplc="A0AA0F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47713B"/>
    <w:multiLevelType w:val="hybridMultilevel"/>
    <w:tmpl w:val="7F6E0152"/>
    <w:lvl w:ilvl="0" w:tplc="7348FF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91094F"/>
    <w:multiLevelType w:val="hybridMultilevel"/>
    <w:tmpl w:val="B98471F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7B6E76"/>
    <w:multiLevelType w:val="hybridMultilevel"/>
    <w:tmpl w:val="6DA495C4"/>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12"/>
  </w:num>
  <w:num w:numId="5">
    <w:abstractNumId w:val="3"/>
  </w:num>
  <w:num w:numId="6">
    <w:abstractNumId w:val="5"/>
  </w:num>
  <w:num w:numId="7">
    <w:abstractNumId w:val="2"/>
  </w:num>
  <w:num w:numId="8">
    <w:abstractNumId w:val="9"/>
  </w:num>
  <w:num w:numId="9">
    <w:abstractNumId w:val="11"/>
  </w:num>
  <w:num w:numId="10">
    <w:abstractNumId w:val="22"/>
  </w:num>
  <w:num w:numId="11">
    <w:abstractNumId w:val="21"/>
  </w:num>
  <w:num w:numId="12">
    <w:abstractNumId w:val="19"/>
  </w:num>
  <w:num w:numId="13">
    <w:abstractNumId w:val="17"/>
  </w:num>
  <w:num w:numId="14">
    <w:abstractNumId w:val="20"/>
  </w:num>
  <w:num w:numId="15">
    <w:abstractNumId w:val="6"/>
  </w:num>
  <w:num w:numId="16">
    <w:abstractNumId w:val="13"/>
  </w:num>
  <w:num w:numId="17">
    <w:abstractNumId w:val="8"/>
  </w:num>
  <w:num w:numId="18">
    <w:abstractNumId w:val="1"/>
  </w:num>
  <w:num w:numId="19">
    <w:abstractNumId w:val="7"/>
  </w:num>
  <w:num w:numId="20">
    <w:abstractNumId w:val="14"/>
  </w:num>
  <w:num w:numId="21">
    <w:abstractNumId w:val="18"/>
  </w:num>
  <w:num w:numId="22">
    <w:abstractNumId w:val="1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12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CD1"/>
    <w:rsid w:val="0000100D"/>
    <w:rsid w:val="000017AE"/>
    <w:rsid w:val="00003815"/>
    <w:rsid w:val="00005970"/>
    <w:rsid w:val="0000784C"/>
    <w:rsid w:val="00014546"/>
    <w:rsid w:val="000173D8"/>
    <w:rsid w:val="0001753C"/>
    <w:rsid w:val="00020CBB"/>
    <w:rsid w:val="00022E13"/>
    <w:rsid w:val="00025642"/>
    <w:rsid w:val="0002582E"/>
    <w:rsid w:val="00025B8C"/>
    <w:rsid w:val="0003088E"/>
    <w:rsid w:val="00031EF3"/>
    <w:rsid w:val="000353EF"/>
    <w:rsid w:val="00035FDE"/>
    <w:rsid w:val="0003612D"/>
    <w:rsid w:val="00037810"/>
    <w:rsid w:val="000379AF"/>
    <w:rsid w:val="000418A6"/>
    <w:rsid w:val="00043CAA"/>
    <w:rsid w:val="00046F11"/>
    <w:rsid w:val="00054EAB"/>
    <w:rsid w:val="00057484"/>
    <w:rsid w:val="00061F82"/>
    <w:rsid w:val="000633A1"/>
    <w:rsid w:val="00064810"/>
    <w:rsid w:val="00066CB8"/>
    <w:rsid w:val="00067670"/>
    <w:rsid w:val="00075432"/>
    <w:rsid w:val="0007590B"/>
    <w:rsid w:val="00076288"/>
    <w:rsid w:val="0008103E"/>
    <w:rsid w:val="00081EF0"/>
    <w:rsid w:val="0008332C"/>
    <w:rsid w:val="00084A80"/>
    <w:rsid w:val="000903CD"/>
    <w:rsid w:val="0009408B"/>
    <w:rsid w:val="000968ED"/>
    <w:rsid w:val="000A0B34"/>
    <w:rsid w:val="000A0B5D"/>
    <w:rsid w:val="000A358F"/>
    <w:rsid w:val="000A674E"/>
    <w:rsid w:val="000B1057"/>
    <w:rsid w:val="000B3D88"/>
    <w:rsid w:val="000B42F5"/>
    <w:rsid w:val="000B568B"/>
    <w:rsid w:val="000B7680"/>
    <w:rsid w:val="000C3AD5"/>
    <w:rsid w:val="000C3B1E"/>
    <w:rsid w:val="000D6DF0"/>
    <w:rsid w:val="000E022A"/>
    <w:rsid w:val="000E0FA7"/>
    <w:rsid w:val="000E2CA4"/>
    <w:rsid w:val="000E5533"/>
    <w:rsid w:val="000F5A0E"/>
    <w:rsid w:val="000F5E56"/>
    <w:rsid w:val="000F6F4D"/>
    <w:rsid w:val="0010143C"/>
    <w:rsid w:val="00103E44"/>
    <w:rsid w:val="001041DC"/>
    <w:rsid w:val="00104268"/>
    <w:rsid w:val="0010614B"/>
    <w:rsid w:val="00111383"/>
    <w:rsid w:val="00114C3D"/>
    <w:rsid w:val="00115929"/>
    <w:rsid w:val="001170B5"/>
    <w:rsid w:val="00117B54"/>
    <w:rsid w:val="0012426A"/>
    <w:rsid w:val="00130497"/>
    <w:rsid w:val="001362EE"/>
    <w:rsid w:val="0014296E"/>
    <w:rsid w:val="00144528"/>
    <w:rsid w:val="00147CF6"/>
    <w:rsid w:val="00147F15"/>
    <w:rsid w:val="0015065D"/>
    <w:rsid w:val="00151ADA"/>
    <w:rsid w:val="00152B5F"/>
    <w:rsid w:val="00155816"/>
    <w:rsid w:val="0016115B"/>
    <w:rsid w:val="00162779"/>
    <w:rsid w:val="00163B1C"/>
    <w:rsid w:val="00164CF3"/>
    <w:rsid w:val="00166716"/>
    <w:rsid w:val="00167D0F"/>
    <w:rsid w:val="0017001E"/>
    <w:rsid w:val="00170535"/>
    <w:rsid w:val="00170A0C"/>
    <w:rsid w:val="00171132"/>
    <w:rsid w:val="00172CC8"/>
    <w:rsid w:val="00173BB9"/>
    <w:rsid w:val="00174FEC"/>
    <w:rsid w:val="00176B07"/>
    <w:rsid w:val="00176D86"/>
    <w:rsid w:val="001812C4"/>
    <w:rsid w:val="001832A6"/>
    <w:rsid w:val="001836BB"/>
    <w:rsid w:val="0018393A"/>
    <w:rsid w:val="00183CDA"/>
    <w:rsid w:val="00190D81"/>
    <w:rsid w:val="00191638"/>
    <w:rsid w:val="001A008C"/>
    <w:rsid w:val="001A47BD"/>
    <w:rsid w:val="001A5DFD"/>
    <w:rsid w:val="001A61F0"/>
    <w:rsid w:val="001A767C"/>
    <w:rsid w:val="001B152F"/>
    <w:rsid w:val="001B48DE"/>
    <w:rsid w:val="001B60CD"/>
    <w:rsid w:val="001B6DBA"/>
    <w:rsid w:val="001B6E52"/>
    <w:rsid w:val="001C1204"/>
    <w:rsid w:val="001D31A4"/>
    <w:rsid w:val="001D4D29"/>
    <w:rsid w:val="001E1C0A"/>
    <w:rsid w:val="001E3438"/>
    <w:rsid w:val="001E450D"/>
    <w:rsid w:val="001E511E"/>
    <w:rsid w:val="001E7449"/>
    <w:rsid w:val="001E79A4"/>
    <w:rsid w:val="001F0E92"/>
    <w:rsid w:val="001F3142"/>
    <w:rsid w:val="001F7A7C"/>
    <w:rsid w:val="0020057A"/>
    <w:rsid w:val="002025FD"/>
    <w:rsid w:val="002037F6"/>
    <w:rsid w:val="00203ACD"/>
    <w:rsid w:val="00204497"/>
    <w:rsid w:val="00205306"/>
    <w:rsid w:val="00206719"/>
    <w:rsid w:val="002105B5"/>
    <w:rsid w:val="00210E40"/>
    <w:rsid w:val="00213A81"/>
    <w:rsid w:val="00214237"/>
    <w:rsid w:val="0021543C"/>
    <w:rsid w:val="0021557A"/>
    <w:rsid w:val="002225A1"/>
    <w:rsid w:val="002240CD"/>
    <w:rsid w:val="00224F80"/>
    <w:rsid w:val="0022731F"/>
    <w:rsid w:val="00227CB6"/>
    <w:rsid w:val="00231309"/>
    <w:rsid w:val="002344C1"/>
    <w:rsid w:val="00235258"/>
    <w:rsid w:val="00240407"/>
    <w:rsid w:val="00240E12"/>
    <w:rsid w:val="00244371"/>
    <w:rsid w:val="00246882"/>
    <w:rsid w:val="00251709"/>
    <w:rsid w:val="00256113"/>
    <w:rsid w:val="00260E9B"/>
    <w:rsid w:val="002634C4"/>
    <w:rsid w:val="002679EE"/>
    <w:rsid w:val="0027290B"/>
    <w:rsid w:val="00273881"/>
    <w:rsid w:val="00274B8B"/>
    <w:rsid w:val="00277152"/>
    <w:rsid w:val="002808D5"/>
    <w:rsid w:val="00281DBD"/>
    <w:rsid w:val="00281E39"/>
    <w:rsid w:val="002828D3"/>
    <w:rsid w:val="00282A2B"/>
    <w:rsid w:val="0028573C"/>
    <w:rsid w:val="00285AB8"/>
    <w:rsid w:val="00286017"/>
    <w:rsid w:val="0029025E"/>
    <w:rsid w:val="00291D0F"/>
    <w:rsid w:val="00292388"/>
    <w:rsid w:val="002928D3"/>
    <w:rsid w:val="0029303B"/>
    <w:rsid w:val="002944BE"/>
    <w:rsid w:val="00296CC8"/>
    <w:rsid w:val="002A0CD0"/>
    <w:rsid w:val="002A10EA"/>
    <w:rsid w:val="002A1166"/>
    <w:rsid w:val="002A11B3"/>
    <w:rsid w:val="002A548B"/>
    <w:rsid w:val="002B0D12"/>
    <w:rsid w:val="002B1EA9"/>
    <w:rsid w:val="002B3408"/>
    <w:rsid w:val="002B3BB9"/>
    <w:rsid w:val="002B41E1"/>
    <w:rsid w:val="002B6565"/>
    <w:rsid w:val="002B65F4"/>
    <w:rsid w:val="002B679B"/>
    <w:rsid w:val="002C16D5"/>
    <w:rsid w:val="002C5545"/>
    <w:rsid w:val="002C71DB"/>
    <w:rsid w:val="002D727C"/>
    <w:rsid w:val="002E3543"/>
    <w:rsid w:val="002E4F79"/>
    <w:rsid w:val="002E53C6"/>
    <w:rsid w:val="002E638C"/>
    <w:rsid w:val="002E7F90"/>
    <w:rsid w:val="002F09A0"/>
    <w:rsid w:val="002F12D6"/>
    <w:rsid w:val="002F1338"/>
    <w:rsid w:val="002F1FE6"/>
    <w:rsid w:val="002F48DE"/>
    <w:rsid w:val="002F4D9C"/>
    <w:rsid w:val="002F4E68"/>
    <w:rsid w:val="002F62DE"/>
    <w:rsid w:val="002F7ABC"/>
    <w:rsid w:val="003011C2"/>
    <w:rsid w:val="0030471F"/>
    <w:rsid w:val="00312F7F"/>
    <w:rsid w:val="00321042"/>
    <w:rsid w:val="00321891"/>
    <w:rsid w:val="003259FB"/>
    <w:rsid w:val="003267E3"/>
    <w:rsid w:val="00326A50"/>
    <w:rsid w:val="003316BB"/>
    <w:rsid w:val="00347053"/>
    <w:rsid w:val="0034727B"/>
    <w:rsid w:val="00351442"/>
    <w:rsid w:val="00352020"/>
    <w:rsid w:val="00361450"/>
    <w:rsid w:val="00362241"/>
    <w:rsid w:val="003627BF"/>
    <w:rsid w:val="00363B49"/>
    <w:rsid w:val="003673CF"/>
    <w:rsid w:val="00367B1D"/>
    <w:rsid w:val="00370A3E"/>
    <w:rsid w:val="00374600"/>
    <w:rsid w:val="003764E0"/>
    <w:rsid w:val="00381C41"/>
    <w:rsid w:val="00381C7A"/>
    <w:rsid w:val="0038281D"/>
    <w:rsid w:val="00383BAC"/>
    <w:rsid w:val="003845C1"/>
    <w:rsid w:val="003846CE"/>
    <w:rsid w:val="00384F7C"/>
    <w:rsid w:val="0038736E"/>
    <w:rsid w:val="0039333F"/>
    <w:rsid w:val="00393B3A"/>
    <w:rsid w:val="003964CF"/>
    <w:rsid w:val="003A04D3"/>
    <w:rsid w:val="003A09C3"/>
    <w:rsid w:val="003A0B90"/>
    <w:rsid w:val="003A21B1"/>
    <w:rsid w:val="003A38AA"/>
    <w:rsid w:val="003A6F89"/>
    <w:rsid w:val="003A7A50"/>
    <w:rsid w:val="003B0D75"/>
    <w:rsid w:val="003B16FB"/>
    <w:rsid w:val="003B2241"/>
    <w:rsid w:val="003B3330"/>
    <w:rsid w:val="003B37B6"/>
    <w:rsid w:val="003B38C1"/>
    <w:rsid w:val="003C09C0"/>
    <w:rsid w:val="003C55A0"/>
    <w:rsid w:val="003C67CA"/>
    <w:rsid w:val="003C750C"/>
    <w:rsid w:val="003D145F"/>
    <w:rsid w:val="003D1CD1"/>
    <w:rsid w:val="003D1E25"/>
    <w:rsid w:val="003D31A2"/>
    <w:rsid w:val="003D596F"/>
    <w:rsid w:val="003D5E19"/>
    <w:rsid w:val="003E062A"/>
    <w:rsid w:val="003E0C1A"/>
    <w:rsid w:val="003E17C2"/>
    <w:rsid w:val="003E3B48"/>
    <w:rsid w:val="003F477D"/>
    <w:rsid w:val="003F5174"/>
    <w:rsid w:val="00402B39"/>
    <w:rsid w:val="00404994"/>
    <w:rsid w:val="00405207"/>
    <w:rsid w:val="00412841"/>
    <w:rsid w:val="00413F54"/>
    <w:rsid w:val="0041635C"/>
    <w:rsid w:val="0041662B"/>
    <w:rsid w:val="004168CA"/>
    <w:rsid w:val="004172BE"/>
    <w:rsid w:val="004175D2"/>
    <w:rsid w:val="004207A8"/>
    <w:rsid w:val="0042155D"/>
    <w:rsid w:val="004220FF"/>
    <w:rsid w:val="004223FE"/>
    <w:rsid w:val="00422620"/>
    <w:rsid w:val="00423E3E"/>
    <w:rsid w:val="00423FB1"/>
    <w:rsid w:val="00425BD0"/>
    <w:rsid w:val="004261AF"/>
    <w:rsid w:val="00427AF4"/>
    <w:rsid w:val="004305B5"/>
    <w:rsid w:val="00431AE1"/>
    <w:rsid w:val="0043208C"/>
    <w:rsid w:val="004320BE"/>
    <w:rsid w:val="00432D0A"/>
    <w:rsid w:val="004358B5"/>
    <w:rsid w:val="004376A8"/>
    <w:rsid w:val="00440E8F"/>
    <w:rsid w:val="004418B7"/>
    <w:rsid w:val="00447916"/>
    <w:rsid w:val="004518A8"/>
    <w:rsid w:val="0045791C"/>
    <w:rsid w:val="00460748"/>
    <w:rsid w:val="00461D32"/>
    <w:rsid w:val="00462C9E"/>
    <w:rsid w:val="00463450"/>
    <w:rsid w:val="004647DA"/>
    <w:rsid w:val="00465DB2"/>
    <w:rsid w:val="004664AC"/>
    <w:rsid w:val="004706B6"/>
    <w:rsid w:val="004712C9"/>
    <w:rsid w:val="0047242B"/>
    <w:rsid w:val="0047265B"/>
    <w:rsid w:val="00472A6D"/>
    <w:rsid w:val="00474062"/>
    <w:rsid w:val="004745F3"/>
    <w:rsid w:val="00474B7A"/>
    <w:rsid w:val="00476CFF"/>
    <w:rsid w:val="004776AC"/>
    <w:rsid w:val="00477D15"/>
    <w:rsid w:val="00477D6B"/>
    <w:rsid w:val="0048581D"/>
    <w:rsid w:val="0048612D"/>
    <w:rsid w:val="00494949"/>
    <w:rsid w:val="004959A7"/>
    <w:rsid w:val="004A303A"/>
    <w:rsid w:val="004A375D"/>
    <w:rsid w:val="004A3C36"/>
    <w:rsid w:val="004A51E0"/>
    <w:rsid w:val="004B5555"/>
    <w:rsid w:val="004B64E5"/>
    <w:rsid w:val="004C341F"/>
    <w:rsid w:val="004C46BE"/>
    <w:rsid w:val="004C4A2C"/>
    <w:rsid w:val="004C5DE5"/>
    <w:rsid w:val="004C5F8C"/>
    <w:rsid w:val="004C6070"/>
    <w:rsid w:val="004C617C"/>
    <w:rsid w:val="004D651A"/>
    <w:rsid w:val="004D7049"/>
    <w:rsid w:val="004E0895"/>
    <w:rsid w:val="004E0F07"/>
    <w:rsid w:val="004F438D"/>
    <w:rsid w:val="004F6CAC"/>
    <w:rsid w:val="004F76C5"/>
    <w:rsid w:val="005015A0"/>
    <w:rsid w:val="005019FF"/>
    <w:rsid w:val="00501B56"/>
    <w:rsid w:val="00501DFA"/>
    <w:rsid w:val="0050289C"/>
    <w:rsid w:val="0050372A"/>
    <w:rsid w:val="00503F12"/>
    <w:rsid w:val="0050538B"/>
    <w:rsid w:val="00511E33"/>
    <w:rsid w:val="00513022"/>
    <w:rsid w:val="00515322"/>
    <w:rsid w:val="00515625"/>
    <w:rsid w:val="0052000A"/>
    <w:rsid w:val="005201B1"/>
    <w:rsid w:val="00523C6F"/>
    <w:rsid w:val="00523D42"/>
    <w:rsid w:val="00524403"/>
    <w:rsid w:val="00525ECB"/>
    <w:rsid w:val="00526C70"/>
    <w:rsid w:val="0053057A"/>
    <w:rsid w:val="00532EC0"/>
    <w:rsid w:val="00534ABD"/>
    <w:rsid w:val="005420A3"/>
    <w:rsid w:val="00542412"/>
    <w:rsid w:val="005426E9"/>
    <w:rsid w:val="005433C0"/>
    <w:rsid w:val="005448B7"/>
    <w:rsid w:val="0054491E"/>
    <w:rsid w:val="005467DE"/>
    <w:rsid w:val="00546F56"/>
    <w:rsid w:val="005470F1"/>
    <w:rsid w:val="005472D5"/>
    <w:rsid w:val="005548EF"/>
    <w:rsid w:val="0055542A"/>
    <w:rsid w:val="0055687C"/>
    <w:rsid w:val="0055702D"/>
    <w:rsid w:val="005575EC"/>
    <w:rsid w:val="00560A29"/>
    <w:rsid w:val="00563008"/>
    <w:rsid w:val="00563B7F"/>
    <w:rsid w:val="005667E2"/>
    <w:rsid w:val="0056798E"/>
    <w:rsid w:val="00571970"/>
    <w:rsid w:val="00571D22"/>
    <w:rsid w:val="00573C9D"/>
    <w:rsid w:val="005749F0"/>
    <w:rsid w:val="00575955"/>
    <w:rsid w:val="00576B32"/>
    <w:rsid w:val="00580591"/>
    <w:rsid w:val="00580991"/>
    <w:rsid w:val="00584735"/>
    <w:rsid w:val="00584FD2"/>
    <w:rsid w:val="00591836"/>
    <w:rsid w:val="00591E39"/>
    <w:rsid w:val="0059290C"/>
    <w:rsid w:val="005A127A"/>
    <w:rsid w:val="005A21F6"/>
    <w:rsid w:val="005A240E"/>
    <w:rsid w:val="005A268E"/>
    <w:rsid w:val="005A4430"/>
    <w:rsid w:val="005A5CA4"/>
    <w:rsid w:val="005B120A"/>
    <w:rsid w:val="005B30B5"/>
    <w:rsid w:val="005B4AA2"/>
    <w:rsid w:val="005B7B98"/>
    <w:rsid w:val="005C2241"/>
    <w:rsid w:val="005C4064"/>
    <w:rsid w:val="005C5545"/>
    <w:rsid w:val="005C564C"/>
    <w:rsid w:val="005C6649"/>
    <w:rsid w:val="005C7A1F"/>
    <w:rsid w:val="005C7C48"/>
    <w:rsid w:val="005D0962"/>
    <w:rsid w:val="005D255F"/>
    <w:rsid w:val="005D608F"/>
    <w:rsid w:val="005D7B9C"/>
    <w:rsid w:val="005E2189"/>
    <w:rsid w:val="005E298E"/>
    <w:rsid w:val="005E51C3"/>
    <w:rsid w:val="005E641B"/>
    <w:rsid w:val="005F38CF"/>
    <w:rsid w:val="005F3D21"/>
    <w:rsid w:val="005F5A5B"/>
    <w:rsid w:val="005F67A1"/>
    <w:rsid w:val="00604346"/>
    <w:rsid w:val="00604DB1"/>
    <w:rsid w:val="00605827"/>
    <w:rsid w:val="00605F0B"/>
    <w:rsid w:val="006063F7"/>
    <w:rsid w:val="00607D2A"/>
    <w:rsid w:val="00610675"/>
    <w:rsid w:val="00612528"/>
    <w:rsid w:val="00612C71"/>
    <w:rsid w:val="0061331F"/>
    <w:rsid w:val="006138BE"/>
    <w:rsid w:val="006167E8"/>
    <w:rsid w:val="00620BDA"/>
    <w:rsid w:val="006237AD"/>
    <w:rsid w:val="006242D6"/>
    <w:rsid w:val="006271AB"/>
    <w:rsid w:val="00630CD5"/>
    <w:rsid w:val="00631B5E"/>
    <w:rsid w:val="00632A6F"/>
    <w:rsid w:val="00633304"/>
    <w:rsid w:val="006334B0"/>
    <w:rsid w:val="006368DF"/>
    <w:rsid w:val="00646050"/>
    <w:rsid w:val="00650E9F"/>
    <w:rsid w:val="00651C82"/>
    <w:rsid w:val="00653149"/>
    <w:rsid w:val="00654E34"/>
    <w:rsid w:val="0066114B"/>
    <w:rsid w:val="00661AA0"/>
    <w:rsid w:val="00662A98"/>
    <w:rsid w:val="00663082"/>
    <w:rsid w:val="00663F65"/>
    <w:rsid w:val="006669AA"/>
    <w:rsid w:val="006713CA"/>
    <w:rsid w:val="006738A2"/>
    <w:rsid w:val="00674CEA"/>
    <w:rsid w:val="00676C5C"/>
    <w:rsid w:val="0068081A"/>
    <w:rsid w:val="00681D1C"/>
    <w:rsid w:val="00682007"/>
    <w:rsid w:val="00682B8A"/>
    <w:rsid w:val="006869FE"/>
    <w:rsid w:val="00687371"/>
    <w:rsid w:val="00692B98"/>
    <w:rsid w:val="00693147"/>
    <w:rsid w:val="00693BBA"/>
    <w:rsid w:val="0069407A"/>
    <w:rsid w:val="0069516D"/>
    <w:rsid w:val="006952E5"/>
    <w:rsid w:val="0069564C"/>
    <w:rsid w:val="00697D9D"/>
    <w:rsid w:val="006A1CE9"/>
    <w:rsid w:val="006A1D68"/>
    <w:rsid w:val="006A2DFF"/>
    <w:rsid w:val="006A63EC"/>
    <w:rsid w:val="006A6753"/>
    <w:rsid w:val="006B13D2"/>
    <w:rsid w:val="006B24D8"/>
    <w:rsid w:val="006B2F79"/>
    <w:rsid w:val="006B607A"/>
    <w:rsid w:val="006C0405"/>
    <w:rsid w:val="006C0B70"/>
    <w:rsid w:val="006C0BB2"/>
    <w:rsid w:val="006C4A6F"/>
    <w:rsid w:val="006C529D"/>
    <w:rsid w:val="006D0ECC"/>
    <w:rsid w:val="006D1D68"/>
    <w:rsid w:val="006D38D9"/>
    <w:rsid w:val="006D4E13"/>
    <w:rsid w:val="006D6D02"/>
    <w:rsid w:val="006E1B77"/>
    <w:rsid w:val="006E3D4F"/>
    <w:rsid w:val="006F077F"/>
    <w:rsid w:val="006F08DB"/>
    <w:rsid w:val="006F1BEF"/>
    <w:rsid w:val="006F1FC5"/>
    <w:rsid w:val="006F262C"/>
    <w:rsid w:val="006F43EA"/>
    <w:rsid w:val="006F6DBA"/>
    <w:rsid w:val="0070176E"/>
    <w:rsid w:val="00706D3D"/>
    <w:rsid w:val="007075F5"/>
    <w:rsid w:val="00710F77"/>
    <w:rsid w:val="00712D9D"/>
    <w:rsid w:val="007170BB"/>
    <w:rsid w:val="007177B4"/>
    <w:rsid w:val="00720178"/>
    <w:rsid w:val="00721601"/>
    <w:rsid w:val="00722D9E"/>
    <w:rsid w:val="007244FD"/>
    <w:rsid w:val="00724A97"/>
    <w:rsid w:val="00725DF6"/>
    <w:rsid w:val="00727CC7"/>
    <w:rsid w:val="007317E6"/>
    <w:rsid w:val="00732393"/>
    <w:rsid w:val="00734CFD"/>
    <w:rsid w:val="0073576D"/>
    <w:rsid w:val="00743D51"/>
    <w:rsid w:val="0074552D"/>
    <w:rsid w:val="007463B3"/>
    <w:rsid w:val="007471AE"/>
    <w:rsid w:val="00750746"/>
    <w:rsid w:val="0075626E"/>
    <w:rsid w:val="00761D99"/>
    <w:rsid w:val="00763628"/>
    <w:rsid w:val="00764286"/>
    <w:rsid w:val="00764C2D"/>
    <w:rsid w:val="00767A03"/>
    <w:rsid w:val="007733E7"/>
    <w:rsid w:val="00774547"/>
    <w:rsid w:val="00774836"/>
    <w:rsid w:val="007750B4"/>
    <w:rsid w:val="00776277"/>
    <w:rsid w:val="00777AD1"/>
    <w:rsid w:val="00780026"/>
    <w:rsid w:val="00782124"/>
    <w:rsid w:val="00785F3F"/>
    <w:rsid w:val="00786354"/>
    <w:rsid w:val="007926FA"/>
    <w:rsid w:val="0079325B"/>
    <w:rsid w:val="00793BF9"/>
    <w:rsid w:val="00795CEE"/>
    <w:rsid w:val="0079708C"/>
    <w:rsid w:val="007A0ECB"/>
    <w:rsid w:val="007A56ED"/>
    <w:rsid w:val="007A63B9"/>
    <w:rsid w:val="007B14C2"/>
    <w:rsid w:val="007B1793"/>
    <w:rsid w:val="007B353F"/>
    <w:rsid w:val="007B553A"/>
    <w:rsid w:val="007C2FCB"/>
    <w:rsid w:val="007C3987"/>
    <w:rsid w:val="007C55CF"/>
    <w:rsid w:val="007D0AEE"/>
    <w:rsid w:val="007D1215"/>
    <w:rsid w:val="007D1613"/>
    <w:rsid w:val="007D43E5"/>
    <w:rsid w:val="007D4E13"/>
    <w:rsid w:val="007D6148"/>
    <w:rsid w:val="007D61CD"/>
    <w:rsid w:val="007D75BC"/>
    <w:rsid w:val="007E410F"/>
    <w:rsid w:val="007E4EC4"/>
    <w:rsid w:val="007E68E8"/>
    <w:rsid w:val="007E69A4"/>
    <w:rsid w:val="007E7776"/>
    <w:rsid w:val="007E78F0"/>
    <w:rsid w:val="007F0A14"/>
    <w:rsid w:val="007F3813"/>
    <w:rsid w:val="00801776"/>
    <w:rsid w:val="00801D43"/>
    <w:rsid w:val="00803011"/>
    <w:rsid w:val="008040D7"/>
    <w:rsid w:val="00804C71"/>
    <w:rsid w:val="00805861"/>
    <w:rsid w:val="00806E87"/>
    <w:rsid w:val="008122DE"/>
    <w:rsid w:val="00813DE5"/>
    <w:rsid w:val="0081599A"/>
    <w:rsid w:val="00815D0A"/>
    <w:rsid w:val="00816AA0"/>
    <w:rsid w:val="00816E17"/>
    <w:rsid w:val="0082153E"/>
    <w:rsid w:val="00821A81"/>
    <w:rsid w:val="008249BC"/>
    <w:rsid w:val="00824F1B"/>
    <w:rsid w:val="00825816"/>
    <w:rsid w:val="008265F9"/>
    <w:rsid w:val="00830913"/>
    <w:rsid w:val="00832746"/>
    <w:rsid w:val="008335B0"/>
    <w:rsid w:val="0083411E"/>
    <w:rsid w:val="00834E04"/>
    <w:rsid w:val="008358B5"/>
    <w:rsid w:val="00841F1D"/>
    <w:rsid w:val="00842647"/>
    <w:rsid w:val="00842A83"/>
    <w:rsid w:val="00843024"/>
    <w:rsid w:val="00843AE2"/>
    <w:rsid w:val="00844461"/>
    <w:rsid w:val="00845FDE"/>
    <w:rsid w:val="008462B2"/>
    <w:rsid w:val="00852470"/>
    <w:rsid w:val="00853F85"/>
    <w:rsid w:val="0085790C"/>
    <w:rsid w:val="00863B07"/>
    <w:rsid w:val="00863B49"/>
    <w:rsid w:val="00865ED3"/>
    <w:rsid w:val="008700FF"/>
    <w:rsid w:val="008726C2"/>
    <w:rsid w:val="0087292F"/>
    <w:rsid w:val="0087796E"/>
    <w:rsid w:val="00881988"/>
    <w:rsid w:val="00882AB8"/>
    <w:rsid w:val="008840A3"/>
    <w:rsid w:val="008846E7"/>
    <w:rsid w:val="00884F51"/>
    <w:rsid w:val="00885297"/>
    <w:rsid w:val="008854B4"/>
    <w:rsid w:val="0089123B"/>
    <w:rsid w:val="00891BAB"/>
    <w:rsid w:val="008922E3"/>
    <w:rsid w:val="008927BD"/>
    <w:rsid w:val="00893E88"/>
    <w:rsid w:val="008953A7"/>
    <w:rsid w:val="008963E3"/>
    <w:rsid w:val="00896DD0"/>
    <w:rsid w:val="00897636"/>
    <w:rsid w:val="008A02AA"/>
    <w:rsid w:val="008A082F"/>
    <w:rsid w:val="008A43B1"/>
    <w:rsid w:val="008B1802"/>
    <w:rsid w:val="008B2CC1"/>
    <w:rsid w:val="008B2D6E"/>
    <w:rsid w:val="008B60B2"/>
    <w:rsid w:val="008C57C0"/>
    <w:rsid w:val="008C77E0"/>
    <w:rsid w:val="008C793C"/>
    <w:rsid w:val="008D12F8"/>
    <w:rsid w:val="008D4812"/>
    <w:rsid w:val="008D4B5C"/>
    <w:rsid w:val="008D57B4"/>
    <w:rsid w:val="008D6DA0"/>
    <w:rsid w:val="008D785F"/>
    <w:rsid w:val="008E0528"/>
    <w:rsid w:val="008E28EC"/>
    <w:rsid w:val="008E4651"/>
    <w:rsid w:val="008E480C"/>
    <w:rsid w:val="008E69B9"/>
    <w:rsid w:val="008F13FF"/>
    <w:rsid w:val="008F54AA"/>
    <w:rsid w:val="008F6003"/>
    <w:rsid w:val="008F6CD2"/>
    <w:rsid w:val="008F7B86"/>
    <w:rsid w:val="00900745"/>
    <w:rsid w:val="00902DFC"/>
    <w:rsid w:val="00904C13"/>
    <w:rsid w:val="009057F0"/>
    <w:rsid w:val="0090731E"/>
    <w:rsid w:val="00912B32"/>
    <w:rsid w:val="00913AB4"/>
    <w:rsid w:val="00916EE2"/>
    <w:rsid w:val="00917CE1"/>
    <w:rsid w:val="00922112"/>
    <w:rsid w:val="009226F4"/>
    <w:rsid w:val="009271ED"/>
    <w:rsid w:val="009274FC"/>
    <w:rsid w:val="00927BE9"/>
    <w:rsid w:val="0093037C"/>
    <w:rsid w:val="00930418"/>
    <w:rsid w:val="00930733"/>
    <w:rsid w:val="00931B3D"/>
    <w:rsid w:val="009327C0"/>
    <w:rsid w:val="009333AC"/>
    <w:rsid w:val="0093554A"/>
    <w:rsid w:val="00936407"/>
    <w:rsid w:val="00936849"/>
    <w:rsid w:val="00937034"/>
    <w:rsid w:val="009401AE"/>
    <w:rsid w:val="0094171C"/>
    <w:rsid w:val="00942A20"/>
    <w:rsid w:val="00943F55"/>
    <w:rsid w:val="00944833"/>
    <w:rsid w:val="00945658"/>
    <w:rsid w:val="00947FA6"/>
    <w:rsid w:val="0096150B"/>
    <w:rsid w:val="009617B7"/>
    <w:rsid w:val="00961CB0"/>
    <w:rsid w:val="0096211B"/>
    <w:rsid w:val="0096300A"/>
    <w:rsid w:val="00963FE5"/>
    <w:rsid w:val="00966A22"/>
    <w:rsid w:val="0096722F"/>
    <w:rsid w:val="00967E50"/>
    <w:rsid w:val="0097238C"/>
    <w:rsid w:val="009742A4"/>
    <w:rsid w:val="00974ADE"/>
    <w:rsid w:val="00980843"/>
    <w:rsid w:val="00981B88"/>
    <w:rsid w:val="00983CF3"/>
    <w:rsid w:val="009846DA"/>
    <w:rsid w:val="00985EA2"/>
    <w:rsid w:val="00985F98"/>
    <w:rsid w:val="0099136D"/>
    <w:rsid w:val="00993156"/>
    <w:rsid w:val="00996E0F"/>
    <w:rsid w:val="009A2522"/>
    <w:rsid w:val="009A4695"/>
    <w:rsid w:val="009A74F2"/>
    <w:rsid w:val="009A7AD5"/>
    <w:rsid w:val="009B0914"/>
    <w:rsid w:val="009B1F94"/>
    <w:rsid w:val="009B53F4"/>
    <w:rsid w:val="009B7AF8"/>
    <w:rsid w:val="009C3D5B"/>
    <w:rsid w:val="009C3E56"/>
    <w:rsid w:val="009C3FD1"/>
    <w:rsid w:val="009C4DB5"/>
    <w:rsid w:val="009C4E49"/>
    <w:rsid w:val="009C5019"/>
    <w:rsid w:val="009C588D"/>
    <w:rsid w:val="009C6823"/>
    <w:rsid w:val="009C71B8"/>
    <w:rsid w:val="009D524C"/>
    <w:rsid w:val="009D7839"/>
    <w:rsid w:val="009E059F"/>
    <w:rsid w:val="009E2791"/>
    <w:rsid w:val="009E3F6F"/>
    <w:rsid w:val="009E415C"/>
    <w:rsid w:val="009E44F2"/>
    <w:rsid w:val="009F01EF"/>
    <w:rsid w:val="009F1ECF"/>
    <w:rsid w:val="009F257A"/>
    <w:rsid w:val="009F499F"/>
    <w:rsid w:val="009F59F6"/>
    <w:rsid w:val="009F6816"/>
    <w:rsid w:val="009F6FA0"/>
    <w:rsid w:val="009F7D20"/>
    <w:rsid w:val="00A053CB"/>
    <w:rsid w:val="00A0564C"/>
    <w:rsid w:val="00A05C57"/>
    <w:rsid w:val="00A05F77"/>
    <w:rsid w:val="00A07B54"/>
    <w:rsid w:val="00A11761"/>
    <w:rsid w:val="00A11EAB"/>
    <w:rsid w:val="00A121C9"/>
    <w:rsid w:val="00A13BA1"/>
    <w:rsid w:val="00A14C4A"/>
    <w:rsid w:val="00A159A9"/>
    <w:rsid w:val="00A17EFF"/>
    <w:rsid w:val="00A21CC1"/>
    <w:rsid w:val="00A2305B"/>
    <w:rsid w:val="00A2390B"/>
    <w:rsid w:val="00A23DF3"/>
    <w:rsid w:val="00A27FB8"/>
    <w:rsid w:val="00A33850"/>
    <w:rsid w:val="00A42100"/>
    <w:rsid w:val="00A42240"/>
    <w:rsid w:val="00A42DAF"/>
    <w:rsid w:val="00A43BC0"/>
    <w:rsid w:val="00A43F57"/>
    <w:rsid w:val="00A45BD8"/>
    <w:rsid w:val="00A51730"/>
    <w:rsid w:val="00A51AEC"/>
    <w:rsid w:val="00A53147"/>
    <w:rsid w:val="00A56019"/>
    <w:rsid w:val="00A565BE"/>
    <w:rsid w:val="00A60686"/>
    <w:rsid w:val="00A65AD5"/>
    <w:rsid w:val="00A66CD6"/>
    <w:rsid w:val="00A704CC"/>
    <w:rsid w:val="00A71899"/>
    <w:rsid w:val="00A72C29"/>
    <w:rsid w:val="00A776C1"/>
    <w:rsid w:val="00A816DF"/>
    <w:rsid w:val="00A8241A"/>
    <w:rsid w:val="00A82D4D"/>
    <w:rsid w:val="00A869B7"/>
    <w:rsid w:val="00A91D76"/>
    <w:rsid w:val="00AA00BC"/>
    <w:rsid w:val="00AA29E1"/>
    <w:rsid w:val="00AA609A"/>
    <w:rsid w:val="00AA6AA4"/>
    <w:rsid w:val="00AA6B18"/>
    <w:rsid w:val="00AB165B"/>
    <w:rsid w:val="00AB1FED"/>
    <w:rsid w:val="00AB28AE"/>
    <w:rsid w:val="00AB2E13"/>
    <w:rsid w:val="00AB3472"/>
    <w:rsid w:val="00AB53E0"/>
    <w:rsid w:val="00AC205C"/>
    <w:rsid w:val="00AC21A5"/>
    <w:rsid w:val="00AC2E90"/>
    <w:rsid w:val="00AC3F53"/>
    <w:rsid w:val="00AC7BDD"/>
    <w:rsid w:val="00AD0AD9"/>
    <w:rsid w:val="00AD2E76"/>
    <w:rsid w:val="00AD4572"/>
    <w:rsid w:val="00AD6474"/>
    <w:rsid w:val="00AE04B7"/>
    <w:rsid w:val="00AE1829"/>
    <w:rsid w:val="00AE18E9"/>
    <w:rsid w:val="00AE2487"/>
    <w:rsid w:val="00AE407B"/>
    <w:rsid w:val="00AF0A6B"/>
    <w:rsid w:val="00AF36A8"/>
    <w:rsid w:val="00AF397B"/>
    <w:rsid w:val="00AF4577"/>
    <w:rsid w:val="00AF6CBD"/>
    <w:rsid w:val="00AF6EF9"/>
    <w:rsid w:val="00B05A69"/>
    <w:rsid w:val="00B062FE"/>
    <w:rsid w:val="00B20D6F"/>
    <w:rsid w:val="00B21CC4"/>
    <w:rsid w:val="00B245F8"/>
    <w:rsid w:val="00B25091"/>
    <w:rsid w:val="00B262B2"/>
    <w:rsid w:val="00B263EC"/>
    <w:rsid w:val="00B2656B"/>
    <w:rsid w:val="00B277BF"/>
    <w:rsid w:val="00B318F0"/>
    <w:rsid w:val="00B347DB"/>
    <w:rsid w:val="00B359A2"/>
    <w:rsid w:val="00B36189"/>
    <w:rsid w:val="00B37C47"/>
    <w:rsid w:val="00B4012D"/>
    <w:rsid w:val="00B41CCC"/>
    <w:rsid w:val="00B421AB"/>
    <w:rsid w:val="00B4327F"/>
    <w:rsid w:val="00B43D52"/>
    <w:rsid w:val="00B44416"/>
    <w:rsid w:val="00B4629F"/>
    <w:rsid w:val="00B47CFE"/>
    <w:rsid w:val="00B50219"/>
    <w:rsid w:val="00B50831"/>
    <w:rsid w:val="00B50EFA"/>
    <w:rsid w:val="00B516E2"/>
    <w:rsid w:val="00B520F6"/>
    <w:rsid w:val="00B548A4"/>
    <w:rsid w:val="00B57CB3"/>
    <w:rsid w:val="00B64847"/>
    <w:rsid w:val="00B72410"/>
    <w:rsid w:val="00B7384C"/>
    <w:rsid w:val="00B750FC"/>
    <w:rsid w:val="00B75CCD"/>
    <w:rsid w:val="00B7697A"/>
    <w:rsid w:val="00B76F0C"/>
    <w:rsid w:val="00B80246"/>
    <w:rsid w:val="00B81403"/>
    <w:rsid w:val="00B8206D"/>
    <w:rsid w:val="00B824C2"/>
    <w:rsid w:val="00B86034"/>
    <w:rsid w:val="00B8730A"/>
    <w:rsid w:val="00B87E09"/>
    <w:rsid w:val="00B90121"/>
    <w:rsid w:val="00B90896"/>
    <w:rsid w:val="00B9225F"/>
    <w:rsid w:val="00B95BB6"/>
    <w:rsid w:val="00B95E6D"/>
    <w:rsid w:val="00B9734B"/>
    <w:rsid w:val="00BA1E1C"/>
    <w:rsid w:val="00BA2AEB"/>
    <w:rsid w:val="00BA32C5"/>
    <w:rsid w:val="00BA33BF"/>
    <w:rsid w:val="00BA4470"/>
    <w:rsid w:val="00BA4A7D"/>
    <w:rsid w:val="00BB298F"/>
    <w:rsid w:val="00BB32E2"/>
    <w:rsid w:val="00BB33D9"/>
    <w:rsid w:val="00BB44BD"/>
    <w:rsid w:val="00BB4EF4"/>
    <w:rsid w:val="00BB53DD"/>
    <w:rsid w:val="00BB6F74"/>
    <w:rsid w:val="00BC71E7"/>
    <w:rsid w:val="00BC744C"/>
    <w:rsid w:val="00BD1581"/>
    <w:rsid w:val="00BD72B7"/>
    <w:rsid w:val="00BE3115"/>
    <w:rsid w:val="00BE3BBA"/>
    <w:rsid w:val="00BE3C11"/>
    <w:rsid w:val="00BE4717"/>
    <w:rsid w:val="00BF2B12"/>
    <w:rsid w:val="00BF4800"/>
    <w:rsid w:val="00C01273"/>
    <w:rsid w:val="00C03D68"/>
    <w:rsid w:val="00C0497C"/>
    <w:rsid w:val="00C05193"/>
    <w:rsid w:val="00C07355"/>
    <w:rsid w:val="00C07FD9"/>
    <w:rsid w:val="00C116A7"/>
    <w:rsid w:val="00C11BFE"/>
    <w:rsid w:val="00C13B27"/>
    <w:rsid w:val="00C155B2"/>
    <w:rsid w:val="00C202CD"/>
    <w:rsid w:val="00C22348"/>
    <w:rsid w:val="00C22716"/>
    <w:rsid w:val="00C3203B"/>
    <w:rsid w:val="00C330B2"/>
    <w:rsid w:val="00C362F1"/>
    <w:rsid w:val="00C40E43"/>
    <w:rsid w:val="00C42181"/>
    <w:rsid w:val="00C42315"/>
    <w:rsid w:val="00C427D7"/>
    <w:rsid w:val="00C44DEF"/>
    <w:rsid w:val="00C46444"/>
    <w:rsid w:val="00C472CD"/>
    <w:rsid w:val="00C500C8"/>
    <w:rsid w:val="00C515E3"/>
    <w:rsid w:val="00C52060"/>
    <w:rsid w:val="00C52B5E"/>
    <w:rsid w:val="00C550D6"/>
    <w:rsid w:val="00C55517"/>
    <w:rsid w:val="00C56143"/>
    <w:rsid w:val="00C5619A"/>
    <w:rsid w:val="00C566F6"/>
    <w:rsid w:val="00C621A2"/>
    <w:rsid w:val="00C67ADD"/>
    <w:rsid w:val="00C73C30"/>
    <w:rsid w:val="00C73F0D"/>
    <w:rsid w:val="00C7754B"/>
    <w:rsid w:val="00C80997"/>
    <w:rsid w:val="00C81122"/>
    <w:rsid w:val="00C839C8"/>
    <w:rsid w:val="00C90C09"/>
    <w:rsid w:val="00C931F4"/>
    <w:rsid w:val="00C95FA8"/>
    <w:rsid w:val="00C970BE"/>
    <w:rsid w:val="00C9763E"/>
    <w:rsid w:val="00CA07F8"/>
    <w:rsid w:val="00CA2122"/>
    <w:rsid w:val="00CA6868"/>
    <w:rsid w:val="00CB0A69"/>
    <w:rsid w:val="00CB308E"/>
    <w:rsid w:val="00CC1CD2"/>
    <w:rsid w:val="00CC59B5"/>
    <w:rsid w:val="00CC5EC1"/>
    <w:rsid w:val="00CC5F75"/>
    <w:rsid w:val="00CC688C"/>
    <w:rsid w:val="00CD0EBB"/>
    <w:rsid w:val="00CD198B"/>
    <w:rsid w:val="00CD4539"/>
    <w:rsid w:val="00CD4D20"/>
    <w:rsid w:val="00CD5733"/>
    <w:rsid w:val="00CD5919"/>
    <w:rsid w:val="00CD712A"/>
    <w:rsid w:val="00CE2A48"/>
    <w:rsid w:val="00CE6880"/>
    <w:rsid w:val="00CF0D76"/>
    <w:rsid w:val="00CF158B"/>
    <w:rsid w:val="00CF2EB2"/>
    <w:rsid w:val="00CF3962"/>
    <w:rsid w:val="00CF4C5C"/>
    <w:rsid w:val="00CF5D62"/>
    <w:rsid w:val="00D011E3"/>
    <w:rsid w:val="00D04559"/>
    <w:rsid w:val="00D07D3A"/>
    <w:rsid w:val="00D14986"/>
    <w:rsid w:val="00D151FC"/>
    <w:rsid w:val="00D208AD"/>
    <w:rsid w:val="00D20B89"/>
    <w:rsid w:val="00D23D70"/>
    <w:rsid w:val="00D24757"/>
    <w:rsid w:val="00D24E79"/>
    <w:rsid w:val="00D24F80"/>
    <w:rsid w:val="00D25109"/>
    <w:rsid w:val="00D264DF"/>
    <w:rsid w:val="00D3039C"/>
    <w:rsid w:val="00D31221"/>
    <w:rsid w:val="00D31336"/>
    <w:rsid w:val="00D340D8"/>
    <w:rsid w:val="00D34F5A"/>
    <w:rsid w:val="00D351B7"/>
    <w:rsid w:val="00D36385"/>
    <w:rsid w:val="00D41C00"/>
    <w:rsid w:val="00D430D7"/>
    <w:rsid w:val="00D43AA3"/>
    <w:rsid w:val="00D44CFB"/>
    <w:rsid w:val="00D45252"/>
    <w:rsid w:val="00D4546E"/>
    <w:rsid w:val="00D47DE3"/>
    <w:rsid w:val="00D523B6"/>
    <w:rsid w:val="00D55AE1"/>
    <w:rsid w:val="00D562E4"/>
    <w:rsid w:val="00D60E30"/>
    <w:rsid w:val="00D61B21"/>
    <w:rsid w:val="00D624A2"/>
    <w:rsid w:val="00D63CD4"/>
    <w:rsid w:val="00D64403"/>
    <w:rsid w:val="00D71B4D"/>
    <w:rsid w:val="00D73917"/>
    <w:rsid w:val="00D804CE"/>
    <w:rsid w:val="00D84E92"/>
    <w:rsid w:val="00D8593E"/>
    <w:rsid w:val="00D91125"/>
    <w:rsid w:val="00D92193"/>
    <w:rsid w:val="00D93763"/>
    <w:rsid w:val="00D93D55"/>
    <w:rsid w:val="00D94EBC"/>
    <w:rsid w:val="00D97A7E"/>
    <w:rsid w:val="00DA01A9"/>
    <w:rsid w:val="00DA0325"/>
    <w:rsid w:val="00DA3601"/>
    <w:rsid w:val="00DA36A6"/>
    <w:rsid w:val="00DA3F69"/>
    <w:rsid w:val="00DA4671"/>
    <w:rsid w:val="00DA4FF9"/>
    <w:rsid w:val="00DA622E"/>
    <w:rsid w:val="00DA7FD9"/>
    <w:rsid w:val="00DC16B7"/>
    <w:rsid w:val="00DC28AC"/>
    <w:rsid w:val="00DC2E1E"/>
    <w:rsid w:val="00DC3DBE"/>
    <w:rsid w:val="00DC5802"/>
    <w:rsid w:val="00DD2D18"/>
    <w:rsid w:val="00DD4982"/>
    <w:rsid w:val="00DD541B"/>
    <w:rsid w:val="00DD64D4"/>
    <w:rsid w:val="00DE208D"/>
    <w:rsid w:val="00DE5DAE"/>
    <w:rsid w:val="00DF29F6"/>
    <w:rsid w:val="00DF2B32"/>
    <w:rsid w:val="00DF3D9A"/>
    <w:rsid w:val="00DF6015"/>
    <w:rsid w:val="00DF7FEA"/>
    <w:rsid w:val="00E00D37"/>
    <w:rsid w:val="00E03B2E"/>
    <w:rsid w:val="00E07FE5"/>
    <w:rsid w:val="00E103D3"/>
    <w:rsid w:val="00E11F9B"/>
    <w:rsid w:val="00E13078"/>
    <w:rsid w:val="00E13ED1"/>
    <w:rsid w:val="00E14C32"/>
    <w:rsid w:val="00E157AA"/>
    <w:rsid w:val="00E1767B"/>
    <w:rsid w:val="00E213BD"/>
    <w:rsid w:val="00E21786"/>
    <w:rsid w:val="00E22FDB"/>
    <w:rsid w:val="00E24785"/>
    <w:rsid w:val="00E25D6D"/>
    <w:rsid w:val="00E269CF"/>
    <w:rsid w:val="00E31D40"/>
    <w:rsid w:val="00E334DB"/>
    <w:rsid w:val="00E335FE"/>
    <w:rsid w:val="00E36DB7"/>
    <w:rsid w:val="00E3722A"/>
    <w:rsid w:val="00E40711"/>
    <w:rsid w:val="00E42A6F"/>
    <w:rsid w:val="00E4410D"/>
    <w:rsid w:val="00E470BA"/>
    <w:rsid w:val="00E47949"/>
    <w:rsid w:val="00E50A66"/>
    <w:rsid w:val="00E52558"/>
    <w:rsid w:val="00E54299"/>
    <w:rsid w:val="00E55C56"/>
    <w:rsid w:val="00E5634E"/>
    <w:rsid w:val="00E62D2F"/>
    <w:rsid w:val="00E65F8C"/>
    <w:rsid w:val="00E70073"/>
    <w:rsid w:val="00E71CE1"/>
    <w:rsid w:val="00E71E7A"/>
    <w:rsid w:val="00E74C23"/>
    <w:rsid w:val="00E76AE8"/>
    <w:rsid w:val="00E77730"/>
    <w:rsid w:val="00E8569B"/>
    <w:rsid w:val="00E85877"/>
    <w:rsid w:val="00E8612C"/>
    <w:rsid w:val="00E86307"/>
    <w:rsid w:val="00E87F7F"/>
    <w:rsid w:val="00E90788"/>
    <w:rsid w:val="00E9701F"/>
    <w:rsid w:val="00E97BD7"/>
    <w:rsid w:val="00E97E0D"/>
    <w:rsid w:val="00EA081F"/>
    <w:rsid w:val="00EA78A1"/>
    <w:rsid w:val="00EA7A04"/>
    <w:rsid w:val="00EA7BDE"/>
    <w:rsid w:val="00EB72CE"/>
    <w:rsid w:val="00EB7338"/>
    <w:rsid w:val="00EC3948"/>
    <w:rsid w:val="00EC4E49"/>
    <w:rsid w:val="00EC5426"/>
    <w:rsid w:val="00EC7BAD"/>
    <w:rsid w:val="00EC7BF1"/>
    <w:rsid w:val="00EC7EC4"/>
    <w:rsid w:val="00ED05F8"/>
    <w:rsid w:val="00ED078F"/>
    <w:rsid w:val="00ED1064"/>
    <w:rsid w:val="00ED11A1"/>
    <w:rsid w:val="00ED4E5C"/>
    <w:rsid w:val="00ED77FB"/>
    <w:rsid w:val="00ED7C48"/>
    <w:rsid w:val="00ED7D71"/>
    <w:rsid w:val="00EE11D8"/>
    <w:rsid w:val="00EE2638"/>
    <w:rsid w:val="00EE2650"/>
    <w:rsid w:val="00EE45FA"/>
    <w:rsid w:val="00EE59DF"/>
    <w:rsid w:val="00EE65A9"/>
    <w:rsid w:val="00EF3CF7"/>
    <w:rsid w:val="00F01FD3"/>
    <w:rsid w:val="00F02FA4"/>
    <w:rsid w:val="00F0471A"/>
    <w:rsid w:val="00F04A85"/>
    <w:rsid w:val="00F065B3"/>
    <w:rsid w:val="00F07A37"/>
    <w:rsid w:val="00F07B35"/>
    <w:rsid w:val="00F1011A"/>
    <w:rsid w:val="00F1015B"/>
    <w:rsid w:val="00F119CE"/>
    <w:rsid w:val="00F1289B"/>
    <w:rsid w:val="00F12A6B"/>
    <w:rsid w:val="00F13046"/>
    <w:rsid w:val="00F1543E"/>
    <w:rsid w:val="00F15830"/>
    <w:rsid w:val="00F21590"/>
    <w:rsid w:val="00F230D7"/>
    <w:rsid w:val="00F24718"/>
    <w:rsid w:val="00F270CD"/>
    <w:rsid w:val="00F32B00"/>
    <w:rsid w:val="00F415C1"/>
    <w:rsid w:val="00F54ED3"/>
    <w:rsid w:val="00F55B11"/>
    <w:rsid w:val="00F56509"/>
    <w:rsid w:val="00F61142"/>
    <w:rsid w:val="00F63204"/>
    <w:rsid w:val="00F63517"/>
    <w:rsid w:val="00F63ACF"/>
    <w:rsid w:val="00F66152"/>
    <w:rsid w:val="00F74266"/>
    <w:rsid w:val="00F80CD0"/>
    <w:rsid w:val="00F8130F"/>
    <w:rsid w:val="00F82E30"/>
    <w:rsid w:val="00F85E88"/>
    <w:rsid w:val="00F927C0"/>
    <w:rsid w:val="00F93240"/>
    <w:rsid w:val="00F950FA"/>
    <w:rsid w:val="00F9689E"/>
    <w:rsid w:val="00FA34E7"/>
    <w:rsid w:val="00FA7195"/>
    <w:rsid w:val="00FB0AF9"/>
    <w:rsid w:val="00FB244A"/>
    <w:rsid w:val="00FB2E02"/>
    <w:rsid w:val="00FB3DE3"/>
    <w:rsid w:val="00FB4B4A"/>
    <w:rsid w:val="00FB5CB7"/>
    <w:rsid w:val="00FC072F"/>
    <w:rsid w:val="00FC1770"/>
    <w:rsid w:val="00FC7883"/>
    <w:rsid w:val="00FD03AB"/>
    <w:rsid w:val="00FD155F"/>
    <w:rsid w:val="00FD188D"/>
    <w:rsid w:val="00FD31BB"/>
    <w:rsid w:val="00FD636D"/>
    <w:rsid w:val="00FE1335"/>
    <w:rsid w:val="00FE3FD5"/>
    <w:rsid w:val="00FE51FE"/>
    <w:rsid w:val="00FE59D7"/>
    <w:rsid w:val="00FE6ABC"/>
    <w:rsid w:val="00FF2CB0"/>
    <w:rsid w:val="00FF7127"/>
    <w:rsid w:val="00FF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816AA0"/>
    <w:rPr>
      <w:vertAlign w:val="superscript"/>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816AA0"/>
    <w:pPr>
      <w:spacing w:after="120" w:line="260" w:lineRule="atLeast"/>
      <w:ind w:left="5534"/>
      <w:contextualSpacing/>
    </w:pPr>
    <w:rPr>
      <w:rFonts w:eastAsia="Times New Roman" w:cs="Times New Roman"/>
      <w:sz w:val="20"/>
      <w:lang w:eastAsia="en-US"/>
    </w:rPr>
  </w:style>
  <w:style w:type="paragraph" w:styleId="BalloonText">
    <w:name w:val="Balloon Text"/>
    <w:basedOn w:val="Normal"/>
    <w:semiHidden/>
    <w:rsid w:val="00563008"/>
    <w:rPr>
      <w:rFonts w:ascii="Tahoma" w:hAnsi="Tahoma" w:cs="Tahoma"/>
      <w:sz w:val="16"/>
      <w:szCs w:val="16"/>
    </w:rPr>
  </w:style>
  <w:style w:type="character" w:styleId="PageNumber">
    <w:name w:val="page number"/>
    <w:basedOn w:val="DefaultParagraphFont"/>
    <w:rsid w:val="0034727B"/>
  </w:style>
  <w:style w:type="character" w:customStyle="1" w:styleId="Heading1Char">
    <w:name w:val="Heading 1 Char"/>
    <w:link w:val="Heading1"/>
    <w:rsid w:val="00863B49"/>
    <w:rPr>
      <w:rFonts w:ascii="Arial" w:eastAsia="SimSun" w:hAnsi="Arial" w:cs="Arial"/>
      <w:b/>
      <w:bCs/>
      <w:caps/>
      <w:kern w:val="32"/>
      <w:sz w:val="22"/>
      <w:szCs w:val="32"/>
      <w:lang w:eastAsia="zh-CN"/>
    </w:rPr>
  </w:style>
  <w:style w:type="paragraph" w:styleId="ListParagraph">
    <w:name w:val="List Paragraph"/>
    <w:basedOn w:val="Normal"/>
    <w:uiPriority w:val="34"/>
    <w:qFormat/>
    <w:rsid w:val="00A053CB"/>
    <w:pPr>
      <w:ind w:left="720"/>
    </w:pPr>
  </w:style>
  <w:style w:type="character" w:customStyle="1" w:styleId="HeaderChar">
    <w:name w:val="Header Char"/>
    <w:link w:val="Header"/>
    <w:uiPriority w:val="99"/>
    <w:rsid w:val="007D43E5"/>
    <w:rPr>
      <w:rFonts w:ascii="Arial" w:eastAsia="SimSun" w:hAnsi="Arial" w:cs="Arial"/>
      <w:sz w:val="22"/>
      <w:lang w:eastAsia="zh-CN"/>
    </w:rPr>
  </w:style>
  <w:style w:type="character" w:customStyle="1" w:styleId="Heading3Char">
    <w:name w:val="Heading 3 Char"/>
    <w:link w:val="Heading3"/>
    <w:rsid w:val="00F230D7"/>
    <w:rPr>
      <w:rFonts w:ascii="Arial" w:eastAsia="SimSun" w:hAnsi="Arial" w:cs="Arial"/>
      <w:bCs/>
      <w:sz w:val="22"/>
      <w:szCs w:val="26"/>
      <w:u w:val="single"/>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816AA0"/>
    <w:rPr>
      <w:vertAlign w:val="superscript"/>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816AA0"/>
    <w:pPr>
      <w:spacing w:after="120" w:line="260" w:lineRule="atLeast"/>
      <w:ind w:left="5534"/>
      <w:contextualSpacing/>
    </w:pPr>
    <w:rPr>
      <w:rFonts w:eastAsia="Times New Roman" w:cs="Times New Roman"/>
      <w:sz w:val="20"/>
      <w:lang w:eastAsia="en-US"/>
    </w:rPr>
  </w:style>
  <w:style w:type="paragraph" w:styleId="BalloonText">
    <w:name w:val="Balloon Text"/>
    <w:basedOn w:val="Normal"/>
    <w:semiHidden/>
    <w:rsid w:val="00563008"/>
    <w:rPr>
      <w:rFonts w:ascii="Tahoma" w:hAnsi="Tahoma" w:cs="Tahoma"/>
      <w:sz w:val="16"/>
      <w:szCs w:val="16"/>
    </w:rPr>
  </w:style>
  <w:style w:type="character" w:styleId="PageNumber">
    <w:name w:val="page number"/>
    <w:basedOn w:val="DefaultParagraphFont"/>
    <w:rsid w:val="0034727B"/>
  </w:style>
  <w:style w:type="character" w:customStyle="1" w:styleId="Heading1Char">
    <w:name w:val="Heading 1 Char"/>
    <w:link w:val="Heading1"/>
    <w:rsid w:val="00863B49"/>
    <w:rPr>
      <w:rFonts w:ascii="Arial" w:eastAsia="SimSun" w:hAnsi="Arial" w:cs="Arial"/>
      <w:b/>
      <w:bCs/>
      <w:caps/>
      <w:kern w:val="32"/>
      <w:sz w:val="22"/>
      <w:szCs w:val="32"/>
      <w:lang w:eastAsia="zh-CN"/>
    </w:rPr>
  </w:style>
  <w:style w:type="paragraph" w:styleId="ListParagraph">
    <w:name w:val="List Paragraph"/>
    <w:basedOn w:val="Normal"/>
    <w:uiPriority w:val="34"/>
    <w:qFormat/>
    <w:rsid w:val="00A053CB"/>
    <w:pPr>
      <w:ind w:left="720"/>
    </w:pPr>
  </w:style>
  <w:style w:type="character" w:customStyle="1" w:styleId="HeaderChar">
    <w:name w:val="Header Char"/>
    <w:link w:val="Header"/>
    <w:uiPriority w:val="99"/>
    <w:rsid w:val="007D43E5"/>
    <w:rPr>
      <w:rFonts w:ascii="Arial" w:eastAsia="SimSun" w:hAnsi="Arial" w:cs="Arial"/>
      <w:sz w:val="22"/>
      <w:lang w:eastAsia="zh-CN"/>
    </w:rPr>
  </w:style>
  <w:style w:type="character" w:customStyle="1" w:styleId="Heading3Char">
    <w:name w:val="Heading 3 Char"/>
    <w:link w:val="Heading3"/>
    <w:rsid w:val="00F230D7"/>
    <w:rPr>
      <w:rFonts w:ascii="Arial" w:eastAsia="SimSun" w:hAnsi="Arial" w:cs="Arial"/>
      <w:bCs/>
      <w:sz w:val="22"/>
      <w:szCs w:val="26"/>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C2B8F-497F-465D-AF0F-8379C93A9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1410</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LI/WG/DEV/4/</vt:lpstr>
    </vt:vector>
  </TitlesOfParts>
  <Company>WIPO</Company>
  <LinksUpToDate>false</LinksUpToDate>
  <CharactersWithSpaces>9271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LI/WG/DEV/4/</dc:title>
  <dc:creator>Vincent</dc:creator>
  <cp:lastModifiedBy>LUGRIN Aurélie</cp:lastModifiedBy>
  <cp:revision>5</cp:revision>
  <cp:lastPrinted>2014-11-03T10:44:00Z</cp:lastPrinted>
  <dcterms:created xsi:type="dcterms:W3CDTF">2014-11-03T09:57:00Z</dcterms:created>
  <dcterms:modified xsi:type="dcterms:W3CDTF">2014-11-03T13:15:00Z</dcterms:modified>
</cp:coreProperties>
</file>