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059F" w:rsidP="003A5AEA">
            <w:pPr>
              <w:pStyle w:val="DocumentCodeAR"/>
              <w:bidi/>
              <w:rPr>
                <w:rtl/>
              </w:rPr>
            </w:pPr>
            <w:r w:rsidRPr="008A059F">
              <w:t>LI/</w:t>
            </w:r>
            <w:proofErr w:type="spellStart"/>
            <w:r w:rsidRPr="008A059F">
              <w:t>WG</w:t>
            </w:r>
            <w:proofErr w:type="spellEnd"/>
            <w:r w:rsidRPr="008A059F">
              <w:t>/DEV/10</w:t>
            </w:r>
            <w:r>
              <w:t>/</w:t>
            </w:r>
            <w:r w:rsidR="00A80269">
              <w:t>6</w:t>
            </w:r>
          </w:p>
        </w:tc>
      </w:tr>
      <w:tr w:rsidR="001667B6" w:rsidTr="00BF164F">
        <w:tc>
          <w:tcPr>
            <w:tcW w:w="9571" w:type="dxa"/>
            <w:gridSpan w:val="3"/>
          </w:tcPr>
          <w:p w:rsidR="001667B6" w:rsidRPr="00B6101C" w:rsidRDefault="00B6101C" w:rsidP="00A80269">
            <w:pPr>
              <w:pStyle w:val="DocumentLanguageAR"/>
              <w:bidi/>
              <w:rPr>
                <w:rtl/>
              </w:rPr>
            </w:pPr>
            <w:r w:rsidRPr="00B6101C">
              <w:rPr>
                <w:rFonts w:hint="cs"/>
                <w:rtl/>
              </w:rPr>
              <w:t xml:space="preserve">الأصل: </w:t>
            </w:r>
            <w:r w:rsidR="00A80269">
              <w:rPr>
                <w:rFonts w:hint="cs"/>
                <w:rtl/>
              </w:rPr>
              <w:t>بالإنكليزية</w:t>
            </w:r>
          </w:p>
        </w:tc>
      </w:tr>
      <w:tr w:rsidR="001667B6" w:rsidTr="00BF164F">
        <w:tc>
          <w:tcPr>
            <w:tcW w:w="9571" w:type="dxa"/>
            <w:gridSpan w:val="3"/>
          </w:tcPr>
          <w:p w:rsidR="001667B6" w:rsidRPr="00B6101C" w:rsidRDefault="00B6101C" w:rsidP="00A80269">
            <w:pPr>
              <w:pStyle w:val="DocumentDateAR"/>
              <w:bidi/>
              <w:rPr>
                <w:rtl/>
              </w:rPr>
            </w:pPr>
            <w:r w:rsidRPr="00B6101C">
              <w:rPr>
                <w:rFonts w:hint="cs"/>
                <w:rtl/>
              </w:rPr>
              <w:t xml:space="preserve">التاريخ: </w:t>
            </w:r>
            <w:r w:rsidR="00A80269">
              <w:rPr>
                <w:rFonts w:hint="cs"/>
                <w:rtl/>
              </w:rPr>
              <w:t>31</w:t>
            </w:r>
            <w:r w:rsidRPr="00B6101C">
              <w:rPr>
                <w:rFonts w:hint="cs"/>
                <w:rtl/>
              </w:rPr>
              <w:t xml:space="preserve"> </w:t>
            </w:r>
            <w:r w:rsidR="00A80269">
              <w:rPr>
                <w:rFonts w:hint="cs"/>
                <w:rtl/>
              </w:rPr>
              <w:t xml:space="preserve">أكتوبر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AB54AE" w:rsidRPr="00AB54AE" w:rsidRDefault="008A059F" w:rsidP="00AB54AE">
      <w:pPr>
        <w:pStyle w:val="MeetingTitleAR"/>
        <w:bidi/>
        <w:ind w:right="550"/>
        <w:rPr>
          <w:rtl/>
          <w:lang w:bidi="ar-EG"/>
        </w:rPr>
      </w:pPr>
      <w:r>
        <w:rPr>
          <w:rFonts w:hint="cs"/>
          <w:rtl/>
          <w:lang w:bidi="ar-EG"/>
        </w:rPr>
        <w:t>(تسميات المنشأ)</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A059F">
      <w:pPr>
        <w:pStyle w:val="MeetingSessionAR"/>
        <w:bidi/>
        <w:rPr>
          <w:rFonts w:ascii="Cambria Math" w:hAnsi="Cambria Math"/>
          <w:rtl/>
        </w:rPr>
      </w:pPr>
      <w:r w:rsidRPr="00783D11">
        <w:rPr>
          <w:rFonts w:ascii="Cambria Math" w:hAnsi="Cambria Math"/>
          <w:rtl/>
        </w:rPr>
        <w:t xml:space="preserve">الدورة </w:t>
      </w:r>
      <w:r w:rsidR="008A059F">
        <w:rPr>
          <w:rFonts w:ascii="Cambria Math" w:hAnsi="Cambria Math" w:hint="cs"/>
          <w:rtl/>
        </w:rPr>
        <w:t>العاشرة</w:t>
      </w:r>
    </w:p>
    <w:p w:rsidR="00D61541" w:rsidRPr="00D61541" w:rsidRDefault="00D61541" w:rsidP="008A059F">
      <w:pPr>
        <w:pStyle w:val="MeetingDatesAR"/>
        <w:bidi/>
        <w:rPr>
          <w:rtl/>
        </w:rPr>
      </w:pPr>
      <w:r w:rsidRPr="00D61541">
        <w:rPr>
          <w:rFonts w:hint="cs"/>
          <w:rtl/>
        </w:rPr>
        <w:t xml:space="preserve">جنيف، من </w:t>
      </w:r>
      <w:r w:rsidR="008A059F">
        <w:rPr>
          <w:rFonts w:hint="cs"/>
          <w:rtl/>
        </w:rPr>
        <w:t>27</w:t>
      </w:r>
      <w:r w:rsidR="00C742C5">
        <w:rPr>
          <w:rFonts w:hint="cs"/>
          <w:rtl/>
        </w:rPr>
        <w:t xml:space="preserve"> إلى </w:t>
      </w:r>
      <w:r w:rsidR="008A059F">
        <w:rPr>
          <w:rFonts w:hint="cs"/>
          <w:rtl/>
        </w:rPr>
        <w:t>31</w:t>
      </w:r>
      <w:r w:rsidR="00C742C5">
        <w:rPr>
          <w:rFonts w:hint="cs"/>
          <w:rtl/>
        </w:rPr>
        <w:t xml:space="preserve"> </w:t>
      </w:r>
      <w:r w:rsidR="008A059F">
        <w:rPr>
          <w:rFonts w:hint="cs"/>
          <w:rtl/>
        </w:rPr>
        <w:t>أكتوبر</w:t>
      </w:r>
      <w:r w:rsidR="00C742C5">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80269" w:rsidP="00FB7EC9">
      <w:pPr>
        <w:pStyle w:val="DocumentTitleAR"/>
        <w:bidi/>
        <w:rPr>
          <w:rtl/>
        </w:rPr>
      </w:pPr>
      <w:r>
        <w:rPr>
          <w:rFonts w:hint="cs"/>
          <w:rtl/>
        </w:rPr>
        <w:t>ملخص الرئيس</w:t>
      </w:r>
    </w:p>
    <w:p w:rsidR="00D61541" w:rsidRPr="00D61541" w:rsidRDefault="003A5AEA" w:rsidP="003A5AEA">
      <w:pPr>
        <w:pStyle w:val="PreparedbyAR"/>
        <w:bidi/>
        <w:spacing w:after="1080"/>
        <w:rPr>
          <w:rtl/>
        </w:rPr>
      </w:pPr>
      <w:r>
        <w:rPr>
          <w:rFonts w:hint="cs"/>
          <w:rtl/>
        </w:rPr>
        <w:t>الذي اعتمده الفريق العامل</w:t>
      </w:r>
    </w:p>
    <w:p w:rsidR="00D61541" w:rsidRDefault="00A80269" w:rsidP="00A80269">
      <w:pPr>
        <w:pStyle w:val="NumberedParaAR"/>
      </w:pPr>
      <w:r>
        <w:rPr>
          <w:rFonts w:hint="cs"/>
          <w:rtl/>
        </w:rPr>
        <w:t>اجتمع الفريق العامل المعني بتطوير نظام لشبونة (تسميات المنشأ) (المشار إليه فيما يلي بمختصر "الفريق العامل") في الفترة من 27 إلى 31 أكتوبر 2014.</w:t>
      </w:r>
    </w:p>
    <w:p w:rsidR="00A80269" w:rsidRPr="00F04875" w:rsidRDefault="00A80269" w:rsidP="003A5AEA">
      <w:pPr>
        <w:pStyle w:val="NumberedParaAR"/>
      </w:pPr>
      <w:r>
        <w:rPr>
          <w:rFonts w:hint="cs"/>
          <w:rtl/>
        </w:rPr>
        <w:t>وكانت الأطراف المتعاقدة لاتحاد لشبونة التالية ممثَّلة في هذه الدورة</w:t>
      </w:r>
      <w:r w:rsidR="00A7659C">
        <w:rPr>
          <w:rFonts w:hint="cs"/>
          <w:rtl/>
        </w:rPr>
        <w:t>:</w:t>
      </w:r>
      <w:r w:rsidR="00A7659C">
        <w:rPr>
          <w:rFonts w:hint="cs"/>
          <w:rtl/>
          <w:lang w:val="fr-CH"/>
        </w:rPr>
        <w:t xml:space="preserve"> الجزائر، البوسنة والهرسك، بلغاريا، الكونغو، كوستا</w:t>
      </w:r>
      <w:r w:rsidR="00A7659C">
        <w:rPr>
          <w:rFonts w:hint="eastAsia"/>
          <w:rtl/>
          <w:lang w:val="fr-CH"/>
        </w:rPr>
        <w:t> </w:t>
      </w:r>
      <w:r w:rsidR="00A7659C">
        <w:rPr>
          <w:rFonts w:hint="cs"/>
          <w:rtl/>
          <w:lang w:val="fr-CH"/>
        </w:rPr>
        <w:t>ريكا، الجمهورية التشيكية، فرنسا، ج</w:t>
      </w:r>
      <w:bookmarkStart w:id="2" w:name="_GoBack"/>
      <w:bookmarkEnd w:id="2"/>
      <w:r w:rsidR="00A7659C">
        <w:rPr>
          <w:rFonts w:hint="cs"/>
          <w:rtl/>
          <w:lang w:val="fr-CH"/>
        </w:rPr>
        <w:t xml:space="preserve">ورجيا، </w:t>
      </w:r>
      <w:r w:rsidR="00803B86">
        <w:rPr>
          <w:rFonts w:hint="cs"/>
          <w:rtl/>
          <w:lang w:val="fr-CH"/>
        </w:rPr>
        <w:t xml:space="preserve">هايتي، </w:t>
      </w:r>
      <w:r w:rsidR="00A7659C">
        <w:rPr>
          <w:rFonts w:hint="cs"/>
          <w:rtl/>
          <w:lang w:val="fr-CH"/>
        </w:rPr>
        <w:t xml:space="preserve">هنغاريا، إيران (جمهورية - الإسلامية)، إسرائيل، إيطاليا، المكسيك، نيكاراغوا، بيرو، البرتغال، جمهورية مولدوفا، </w:t>
      </w:r>
      <w:r w:rsidR="00803B86">
        <w:rPr>
          <w:rFonts w:hint="cs"/>
          <w:rtl/>
          <w:lang w:val="fr-CH"/>
        </w:rPr>
        <w:t xml:space="preserve">سلوفاكيا، </w:t>
      </w:r>
      <w:r w:rsidR="00A7659C">
        <w:rPr>
          <w:rFonts w:hint="cs"/>
          <w:rtl/>
          <w:lang w:val="fr-CH"/>
        </w:rPr>
        <w:t>توغو</w:t>
      </w:r>
      <w:r w:rsidR="003A5AEA">
        <w:rPr>
          <w:rFonts w:hint="cs"/>
          <w:rtl/>
          <w:lang w:val="fr-CH"/>
        </w:rPr>
        <w:t>، تونس</w:t>
      </w:r>
      <w:r w:rsidR="00A7659C">
        <w:rPr>
          <w:rFonts w:hint="cs"/>
          <w:rtl/>
          <w:lang w:val="fr-CH"/>
        </w:rPr>
        <w:t xml:space="preserve"> (</w:t>
      </w:r>
      <w:r w:rsidR="00803B86">
        <w:rPr>
          <w:rFonts w:hint="cs"/>
          <w:rtl/>
          <w:lang w:val="fr-CH"/>
        </w:rPr>
        <w:t>2</w:t>
      </w:r>
      <w:r w:rsidR="003A5AEA">
        <w:rPr>
          <w:rFonts w:hint="cs"/>
          <w:rtl/>
          <w:lang w:val="fr-CH"/>
        </w:rPr>
        <w:t>1</w:t>
      </w:r>
      <w:r w:rsidR="00A7659C">
        <w:rPr>
          <w:rFonts w:hint="cs"/>
          <w:rtl/>
          <w:lang w:val="fr-CH"/>
        </w:rPr>
        <w:t>).</w:t>
      </w:r>
    </w:p>
    <w:p w:rsidR="00F04875" w:rsidRPr="00A7659C" w:rsidRDefault="00F04875" w:rsidP="009B115A">
      <w:pPr>
        <w:pStyle w:val="NumberedParaAR"/>
      </w:pPr>
      <w:r>
        <w:rPr>
          <w:rFonts w:hint="cs"/>
          <w:rtl/>
          <w:lang w:val="fr-CH"/>
        </w:rPr>
        <w:t xml:space="preserve">وكانت الدول التالية ممثَّلة بصفة مراقب: أفغانستان، </w:t>
      </w:r>
      <w:r w:rsidR="00803B86">
        <w:rPr>
          <w:rFonts w:hint="cs"/>
          <w:rtl/>
          <w:lang w:val="fr-CH"/>
        </w:rPr>
        <w:t xml:space="preserve">ألبانيا، </w:t>
      </w:r>
      <w:r>
        <w:rPr>
          <w:rFonts w:hint="cs"/>
          <w:rtl/>
          <w:lang w:val="fr-CH"/>
        </w:rPr>
        <w:t xml:space="preserve">أستراليا، </w:t>
      </w:r>
      <w:r w:rsidR="00803B86">
        <w:rPr>
          <w:rFonts w:hint="cs"/>
          <w:rtl/>
          <w:lang w:val="fr-CH"/>
        </w:rPr>
        <w:t xml:space="preserve">جزر البهاما، بنن، بوروندي، </w:t>
      </w:r>
      <w:r>
        <w:rPr>
          <w:rFonts w:hint="cs"/>
          <w:rtl/>
          <w:lang w:val="fr-CH"/>
        </w:rPr>
        <w:t xml:space="preserve">الكاميرون، كندا، شيلي، كولومبيا، جزر القمر، قبرص، السلفادور، ألمانيا، </w:t>
      </w:r>
      <w:r w:rsidR="009B115A">
        <w:rPr>
          <w:rFonts w:hint="cs"/>
          <w:rtl/>
          <w:lang w:val="fr-CH"/>
        </w:rPr>
        <w:t xml:space="preserve">اليونان، </w:t>
      </w:r>
      <w:r>
        <w:rPr>
          <w:rFonts w:hint="cs"/>
          <w:rtl/>
          <w:lang w:val="fr-CH"/>
        </w:rPr>
        <w:t xml:space="preserve">العراق، اليابان، الأردن، </w:t>
      </w:r>
      <w:r w:rsidR="009B115A">
        <w:rPr>
          <w:rFonts w:hint="cs"/>
          <w:rtl/>
          <w:lang w:val="fr-CH"/>
        </w:rPr>
        <w:t xml:space="preserve">لاتفيا، </w:t>
      </w:r>
      <w:r>
        <w:rPr>
          <w:rFonts w:hint="cs"/>
          <w:rtl/>
          <w:lang w:val="fr-CH"/>
        </w:rPr>
        <w:t xml:space="preserve">باكستان، بنما، باراغواي، جمهورية كوريا، رومانيا، الاتحاد الروسي، المملكة العربية السعودية، السنغال، </w:t>
      </w:r>
      <w:r w:rsidR="009B115A">
        <w:rPr>
          <w:rFonts w:hint="cs"/>
          <w:rtl/>
          <w:lang w:val="fr-CH"/>
        </w:rPr>
        <w:t xml:space="preserve">جنوب أفريقيا، </w:t>
      </w:r>
      <w:r>
        <w:rPr>
          <w:rFonts w:hint="cs"/>
          <w:rtl/>
          <w:lang w:val="fr-CH"/>
        </w:rPr>
        <w:t xml:space="preserve">إسبانيا، سويسرا، تايلند، تركيا، أوكرانيا، </w:t>
      </w:r>
      <w:r w:rsidR="009B115A">
        <w:rPr>
          <w:rFonts w:hint="cs"/>
          <w:rtl/>
          <w:lang w:val="fr-CH"/>
        </w:rPr>
        <w:t xml:space="preserve">المملكة المتحدة، </w:t>
      </w:r>
      <w:r>
        <w:rPr>
          <w:rFonts w:hint="cs"/>
          <w:rtl/>
          <w:lang w:val="fr-CH"/>
        </w:rPr>
        <w:t>الولايات المتحدة الأمريكية، أوروغواي (</w:t>
      </w:r>
      <w:r w:rsidR="009B115A">
        <w:rPr>
          <w:rFonts w:hint="cs"/>
          <w:rtl/>
          <w:lang w:val="fr-CH"/>
        </w:rPr>
        <w:t>36</w:t>
      </w:r>
      <w:r>
        <w:rPr>
          <w:rFonts w:hint="cs"/>
          <w:rtl/>
          <w:lang w:val="fr-CH"/>
        </w:rPr>
        <w:t>).</w:t>
      </w:r>
    </w:p>
    <w:p w:rsidR="00A7659C" w:rsidRPr="00A7659C" w:rsidRDefault="00A7659C" w:rsidP="00A7659C">
      <w:pPr>
        <w:pStyle w:val="NumberedParaAR"/>
      </w:pPr>
      <w:r>
        <w:rPr>
          <w:rFonts w:hint="cs"/>
          <w:rtl/>
        </w:rPr>
        <w:t>وشارك في هذه الدورة ممثلو المنظمات الحكومية الدولية التالية بصفة مراقب: الاتحاد الأوروبي</w:t>
      </w:r>
      <w:r w:rsidR="00953C0E">
        <w:rPr>
          <w:rFonts w:hint="cs"/>
          <w:rtl/>
        </w:rPr>
        <w:t xml:space="preserve"> </w:t>
      </w:r>
      <w:r w:rsidR="00953C0E">
        <w:t>(EU)</w:t>
      </w:r>
      <w:r>
        <w:rPr>
          <w:rFonts w:hint="cs"/>
          <w:rtl/>
        </w:rPr>
        <w:t xml:space="preserve">، </w:t>
      </w:r>
      <w:r>
        <w:rPr>
          <w:rtl/>
        </w:rPr>
        <w:t>المنظمة الدولية للكروم والنبيذ (</w:t>
      </w:r>
      <w:r>
        <w:t>OIV</w:t>
      </w:r>
      <w:r>
        <w:rPr>
          <w:rtl/>
        </w:rPr>
        <w:t>)</w:t>
      </w:r>
      <w:r>
        <w:rPr>
          <w:rFonts w:hint="cs"/>
          <w:rtl/>
        </w:rPr>
        <w:t xml:space="preserve">، </w:t>
      </w:r>
      <w:r>
        <w:rPr>
          <w:rtl/>
        </w:rPr>
        <w:t>مركز التجارة الدولي (</w:t>
      </w:r>
      <w:r>
        <w:t>ITC</w:t>
      </w:r>
      <w:r>
        <w:rPr>
          <w:rtl/>
        </w:rPr>
        <w:t>)</w:t>
      </w:r>
      <w:r>
        <w:rPr>
          <w:rFonts w:hint="cs"/>
          <w:rtl/>
        </w:rPr>
        <w:t xml:space="preserve">، </w:t>
      </w:r>
      <w:r>
        <w:rPr>
          <w:rtl/>
        </w:rPr>
        <w:t>الاتحاد الاقتصادي والنقدي لغرب أفريقيا (</w:t>
      </w:r>
      <w:r>
        <w:t>WAEMU</w:t>
      </w:r>
      <w:r>
        <w:rPr>
          <w:rtl/>
        </w:rPr>
        <w:t>)</w:t>
      </w:r>
      <w:r>
        <w:rPr>
          <w:rFonts w:hint="cs"/>
          <w:rtl/>
        </w:rPr>
        <w:t xml:space="preserve">، منظمة التجارة العالمية </w:t>
      </w:r>
      <w:r>
        <w:t>(WTO)</w:t>
      </w:r>
      <w:r w:rsidR="002C0A61">
        <w:rPr>
          <w:rFonts w:hint="cs"/>
          <w:rtl/>
        </w:rPr>
        <w:t xml:space="preserve"> (5)</w:t>
      </w:r>
      <w:r>
        <w:rPr>
          <w:rFonts w:hint="cs"/>
          <w:rtl/>
        </w:rPr>
        <w:t>.</w:t>
      </w:r>
    </w:p>
    <w:p w:rsidR="00A7659C" w:rsidRDefault="002C0A61" w:rsidP="00FA73B6">
      <w:pPr>
        <w:pStyle w:val="NumberedParaAR"/>
      </w:pPr>
      <w:r>
        <w:rPr>
          <w:rFonts w:hint="cs"/>
          <w:rtl/>
        </w:rPr>
        <w:t>وشارك في هذه الدورة ممثلو المنظمات الدولية غير الحكومية التالية بصفة مراقب:</w:t>
      </w:r>
      <w:r w:rsidR="00FA73B6">
        <w:rPr>
          <w:rFonts w:hint="cs"/>
          <w:rtl/>
        </w:rPr>
        <w:t xml:space="preserve"> </w:t>
      </w:r>
      <w:r w:rsidR="00FA73B6" w:rsidRPr="00FA73B6">
        <w:rPr>
          <w:rtl/>
        </w:rPr>
        <w:t>جمعية مالكي العلامات التجارية الأوروبيين</w:t>
      </w:r>
      <w:r w:rsidR="00FA73B6">
        <w:rPr>
          <w:rFonts w:hint="cs"/>
          <w:rtl/>
        </w:rPr>
        <w:t> </w:t>
      </w:r>
      <w:r w:rsidR="00FA73B6" w:rsidRPr="00FA73B6">
        <w:rPr>
          <w:rtl/>
        </w:rPr>
        <w:t>(</w:t>
      </w:r>
      <w:r w:rsidR="00FA73B6" w:rsidRPr="00FA73B6">
        <w:t>MARQUES</w:t>
      </w:r>
      <w:r w:rsidR="00FA73B6" w:rsidRPr="00FA73B6">
        <w:rPr>
          <w:rtl/>
        </w:rPr>
        <w:t>)</w:t>
      </w:r>
      <w:r w:rsidR="00FA73B6">
        <w:rPr>
          <w:rFonts w:hint="cs"/>
          <w:rtl/>
        </w:rPr>
        <w:t xml:space="preserve">، </w:t>
      </w:r>
      <w:r w:rsidR="00FA73B6">
        <w:rPr>
          <w:rtl/>
        </w:rPr>
        <w:t>الجمعية البرازيلية للملكية الصناعية</w:t>
      </w:r>
      <w:r w:rsidR="00FA73B6">
        <w:rPr>
          <w:rFonts w:hint="cs"/>
          <w:rtl/>
        </w:rPr>
        <w:t> </w:t>
      </w:r>
      <w:r w:rsidR="00FA73B6">
        <w:rPr>
          <w:rtl/>
        </w:rPr>
        <w:t>(</w:t>
      </w:r>
      <w:proofErr w:type="spellStart"/>
      <w:r w:rsidR="00FA73B6">
        <w:t>ABPI</w:t>
      </w:r>
      <w:proofErr w:type="spellEnd"/>
      <w:r w:rsidR="00FA73B6">
        <w:rPr>
          <w:rtl/>
        </w:rPr>
        <w:t>)</w:t>
      </w:r>
      <w:r w:rsidR="00FA73B6">
        <w:rPr>
          <w:rFonts w:hint="cs"/>
          <w:rtl/>
        </w:rPr>
        <w:t>،</w:t>
      </w:r>
      <w:r w:rsidR="00FA73B6" w:rsidRPr="00FA73B6">
        <w:rPr>
          <w:rtl/>
        </w:rPr>
        <w:t xml:space="preserve"> </w:t>
      </w:r>
      <w:r w:rsidR="00FA73B6">
        <w:rPr>
          <w:rtl/>
        </w:rPr>
        <w:t xml:space="preserve">مركز الدراسات الدولية للملكية </w:t>
      </w:r>
      <w:r w:rsidR="00FA73B6">
        <w:rPr>
          <w:rtl/>
        </w:rPr>
        <w:lastRenderedPageBreak/>
        <w:t>الصناعية</w:t>
      </w:r>
      <w:r w:rsidR="00FA73B6">
        <w:rPr>
          <w:rFonts w:hint="cs"/>
          <w:rtl/>
        </w:rPr>
        <w:t> </w:t>
      </w:r>
      <w:r w:rsidR="00FA73B6">
        <w:rPr>
          <w:rtl/>
        </w:rPr>
        <w:t>(</w:t>
      </w:r>
      <w:proofErr w:type="spellStart"/>
      <w:r w:rsidR="00FA73B6">
        <w:t>CEIPI</w:t>
      </w:r>
      <w:proofErr w:type="spellEnd"/>
      <w:r w:rsidR="00FA73B6">
        <w:rPr>
          <w:rtl/>
        </w:rPr>
        <w:t>)</w:t>
      </w:r>
      <w:r w:rsidR="00FA73B6">
        <w:rPr>
          <w:rFonts w:hint="cs"/>
          <w:rtl/>
        </w:rPr>
        <w:t xml:space="preserve">، </w:t>
      </w:r>
      <w:r w:rsidR="00FA73B6">
        <w:rPr>
          <w:rtl/>
        </w:rPr>
        <w:t>الجمعية المعنية بأسماء الأغذية العامة</w:t>
      </w:r>
      <w:r w:rsidR="00FA73B6">
        <w:rPr>
          <w:rFonts w:hint="cs"/>
          <w:rtl/>
        </w:rPr>
        <w:t> </w:t>
      </w:r>
      <w:r w:rsidR="00FA73B6">
        <w:rPr>
          <w:rtl/>
        </w:rPr>
        <w:t>(</w:t>
      </w:r>
      <w:proofErr w:type="spellStart"/>
      <w:r w:rsidR="00FA73B6">
        <w:t>CCFN</w:t>
      </w:r>
      <w:proofErr w:type="spellEnd"/>
      <w:r w:rsidR="00FA73B6">
        <w:rPr>
          <w:rtl/>
        </w:rPr>
        <w:t>)</w:t>
      </w:r>
      <w:r w:rsidR="00FA73B6">
        <w:rPr>
          <w:rFonts w:hint="cs"/>
          <w:rtl/>
        </w:rPr>
        <w:t xml:space="preserve">، </w:t>
      </w:r>
      <w:r w:rsidR="00F04875">
        <w:rPr>
          <w:rtl/>
        </w:rPr>
        <w:t>جمعية الاتحادات الأوروبية للعاملين في مجال العلامات التجارية (</w:t>
      </w:r>
      <w:proofErr w:type="spellStart"/>
      <w:r w:rsidR="00F04875">
        <w:t>ECTA</w:t>
      </w:r>
      <w:proofErr w:type="spellEnd"/>
      <w:r w:rsidR="00F04875">
        <w:rPr>
          <w:rtl/>
        </w:rPr>
        <w:t>)</w:t>
      </w:r>
      <w:r w:rsidR="00F04875">
        <w:rPr>
          <w:rFonts w:hint="cs"/>
          <w:rtl/>
        </w:rPr>
        <w:t xml:space="preserve">، </w:t>
      </w:r>
      <w:r w:rsidR="00F04875">
        <w:rPr>
          <w:rtl/>
        </w:rPr>
        <w:t>الجمعية الدولية لحماية الملكية الصناعية (</w:t>
      </w:r>
      <w:proofErr w:type="spellStart"/>
      <w:r w:rsidR="00F04875">
        <w:t>AIPPI</w:t>
      </w:r>
      <w:proofErr w:type="spellEnd"/>
      <w:r w:rsidR="00F04875">
        <w:rPr>
          <w:rtl/>
        </w:rPr>
        <w:t>)</w:t>
      </w:r>
      <w:r w:rsidR="00F04875">
        <w:rPr>
          <w:rFonts w:hint="cs"/>
          <w:rtl/>
        </w:rPr>
        <w:t xml:space="preserve">، </w:t>
      </w:r>
      <w:r w:rsidR="00F04875">
        <w:rPr>
          <w:rtl/>
        </w:rPr>
        <w:t>الاتحاد الدولي لوكلاء الملكية الصناعية (</w:t>
      </w:r>
      <w:proofErr w:type="spellStart"/>
      <w:r w:rsidR="00F04875">
        <w:t>FICPI</w:t>
      </w:r>
      <w:proofErr w:type="spellEnd"/>
      <w:r w:rsidR="00F04875">
        <w:rPr>
          <w:rtl/>
        </w:rPr>
        <w:t>)</w:t>
      </w:r>
      <w:r w:rsidR="00F04875">
        <w:rPr>
          <w:rFonts w:hint="cs"/>
          <w:rtl/>
        </w:rPr>
        <w:t xml:space="preserve">، </w:t>
      </w:r>
      <w:r w:rsidR="00F04875">
        <w:rPr>
          <w:rtl/>
        </w:rPr>
        <w:t>الرابطة الدولية للعلامات التجارية (</w:t>
      </w:r>
      <w:proofErr w:type="spellStart"/>
      <w:r w:rsidR="00F04875">
        <w:t>INTA</w:t>
      </w:r>
      <w:proofErr w:type="spellEnd"/>
      <w:r w:rsidR="00F04875">
        <w:rPr>
          <w:rtl/>
        </w:rPr>
        <w:t>)</w:t>
      </w:r>
      <w:r w:rsidR="00F04875">
        <w:rPr>
          <w:rFonts w:hint="cs"/>
          <w:rtl/>
        </w:rPr>
        <w:t xml:space="preserve">، </w:t>
      </w:r>
      <w:r w:rsidR="00F04875">
        <w:rPr>
          <w:rtl/>
        </w:rPr>
        <w:t>المؤسسة الدولية لإيكولوجيا المعرفة (</w:t>
      </w:r>
      <w:r w:rsidR="00F04875">
        <w:t>KEI</w:t>
      </w:r>
      <w:r w:rsidR="00F04875">
        <w:rPr>
          <w:rtl/>
        </w:rPr>
        <w:t>)</w:t>
      </w:r>
      <w:r w:rsidR="00F04875">
        <w:rPr>
          <w:rFonts w:hint="cs"/>
          <w:rtl/>
        </w:rPr>
        <w:t xml:space="preserve">، </w:t>
      </w:r>
      <w:r w:rsidR="00F04875">
        <w:rPr>
          <w:rtl/>
        </w:rPr>
        <w:t>منظمة الشبكة الدولية للبيانات الجغرافية (</w:t>
      </w:r>
      <w:proofErr w:type="spellStart"/>
      <w:r w:rsidR="00F04875">
        <w:t>oriGIn</w:t>
      </w:r>
      <w:proofErr w:type="spellEnd"/>
      <w:r w:rsidR="00F04875">
        <w:rPr>
          <w:rtl/>
        </w:rPr>
        <w:t>)</w:t>
      </w:r>
      <w:r w:rsidR="00F04875">
        <w:rPr>
          <w:rFonts w:hint="cs"/>
          <w:rtl/>
        </w:rPr>
        <w:t xml:space="preserve"> (10).</w:t>
      </w:r>
    </w:p>
    <w:p w:rsidR="00F04875" w:rsidRDefault="00F04875" w:rsidP="00FA73B6">
      <w:pPr>
        <w:pStyle w:val="NumberedParaAR"/>
      </w:pPr>
      <w:r>
        <w:rPr>
          <w:rFonts w:hint="cs"/>
          <w:rtl/>
        </w:rPr>
        <w:t>وترد</w:t>
      </w:r>
      <w:r>
        <w:rPr>
          <w:rFonts w:hint="cs"/>
          <w:rtl/>
          <w:lang w:val="fr-CH"/>
        </w:rPr>
        <w:t xml:space="preserve"> قائمة المشاركين في الوثيق</w:t>
      </w:r>
      <w:r w:rsidR="004D55BC">
        <w:rPr>
          <w:rFonts w:hint="cs"/>
          <w:rtl/>
          <w:lang w:val="fr-CH"/>
        </w:rPr>
        <w:t>ة</w:t>
      </w:r>
      <w:r>
        <w:rPr>
          <w:rFonts w:hint="cs"/>
          <w:rtl/>
          <w:lang w:val="fr-CH"/>
        </w:rPr>
        <w:t xml:space="preserve"> </w:t>
      </w:r>
      <w:r>
        <w:t>LI/WG/DEV/10/INF/2 Prov.2</w:t>
      </w:r>
      <w:r>
        <w:rPr>
          <w:rFonts w:hint="cs"/>
          <w:rtl/>
          <w:lang w:val="fr-CH"/>
        </w:rPr>
        <w:t>.</w:t>
      </w:r>
      <w:r w:rsidR="004D55BC">
        <w:rPr>
          <w:rStyle w:val="FootnoteReference"/>
          <w:lang w:val="fr-CH"/>
        </w:rPr>
        <w:footnoteReference w:customMarkFollows="1" w:id="1"/>
        <w:t>*</w:t>
      </w:r>
    </w:p>
    <w:p w:rsidR="00CB79E4" w:rsidRPr="00F04875" w:rsidRDefault="00F04875" w:rsidP="00B02484">
      <w:pPr>
        <w:pStyle w:val="Heading1AR"/>
        <w:spacing w:before="480"/>
        <w:rPr>
          <w:rtl/>
          <w:lang w:val="fr-CH"/>
        </w:rPr>
      </w:pPr>
      <w:r w:rsidRPr="00F04875">
        <w:rPr>
          <w:rFonts w:hint="cs"/>
          <w:rtl/>
          <w:lang w:val="fr-CH"/>
        </w:rPr>
        <w:t xml:space="preserve">البند </w:t>
      </w:r>
      <w:r>
        <w:rPr>
          <w:rFonts w:hint="cs"/>
          <w:rtl/>
          <w:lang w:val="fr-CH"/>
        </w:rPr>
        <w:t xml:space="preserve">1 </w:t>
      </w:r>
      <w:r w:rsidRPr="00F04875">
        <w:rPr>
          <w:rFonts w:hint="cs"/>
          <w:rtl/>
          <w:lang w:val="fr-CH"/>
        </w:rPr>
        <w:t xml:space="preserve">من جدول الأعمال: افتتاح </w:t>
      </w:r>
      <w:r w:rsidR="0024618E">
        <w:rPr>
          <w:rFonts w:hint="cs"/>
          <w:rtl/>
          <w:lang w:val="fr-CH"/>
        </w:rPr>
        <w:t>الدورة</w:t>
      </w:r>
    </w:p>
    <w:p w:rsidR="00F04875" w:rsidRDefault="00F04875" w:rsidP="008E616A">
      <w:pPr>
        <w:pStyle w:val="NumberedParaAR"/>
        <w:rPr>
          <w:lang w:val="fr-CH"/>
        </w:rPr>
      </w:pPr>
      <w:r>
        <w:rPr>
          <w:rFonts w:hint="cs"/>
          <w:rtl/>
          <w:lang w:val="fr-CH"/>
        </w:rPr>
        <w:t xml:space="preserve">افتتحت </w:t>
      </w:r>
      <w:r w:rsidR="008E616A">
        <w:rPr>
          <w:rFonts w:hint="cs"/>
          <w:rtl/>
          <w:lang w:val="fr-CH"/>
        </w:rPr>
        <w:t>الدورة</w:t>
      </w:r>
      <w:r>
        <w:rPr>
          <w:rFonts w:hint="cs"/>
          <w:rtl/>
          <w:lang w:val="fr-CH"/>
        </w:rPr>
        <w:t xml:space="preserve"> نائبة المدير العام للمنظمة العالمية للملكية الفكرية (الويبو)، السيدة وانغ </w:t>
      </w:r>
      <w:proofErr w:type="spellStart"/>
      <w:r>
        <w:rPr>
          <w:rFonts w:hint="cs"/>
          <w:rtl/>
          <w:lang w:val="fr-CH"/>
        </w:rPr>
        <w:t>بينينغ</w:t>
      </w:r>
      <w:proofErr w:type="spellEnd"/>
      <w:r>
        <w:rPr>
          <w:rFonts w:hint="cs"/>
          <w:rtl/>
          <w:lang w:val="fr-CH"/>
        </w:rPr>
        <w:t xml:space="preserve">، وذكّرت بولاية الفريق العامل وقدّمت لجدول الأعمال كما هو وارد في الوثيقة </w:t>
      </w:r>
      <w:r>
        <w:t>LI/WG/DEV/10/1 Prov.</w:t>
      </w:r>
      <w:r>
        <w:rPr>
          <w:rFonts w:hint="cs"/>
          <w:rtl/>
          <w:lang w:val="fr-CH"/>
        </w:rPr>
        <w:t>.</w:t>
      </w:r>
    </w:p>
    <w:p w:rsidR="00F04875" w:rsidRPr="00F04875" w:rsidRDefault="00F04875" w:rsidP="00B02484">
      <w:pPr>
        <w:pStyle w:val="Heading1AR"/>
        <w:spacing w:before="480"/>
        <w:rPr>
          <w:rtl/>
          <w:lang w:val="fr-CH"/>
        </w:rPr>
      </w:pPr>
      <w:r>
        <w:rPr>
          <w:rFonts w:hint="cs"/>
          <w:rtl/>
          <w:lang w:val="fr-CH"/>
        </w:rPr>
        <w:t xml:space="preserve">البند 2 من جدول الأعمال: </w:t>
      </w:r>
      <w:r w:rsidR="0057269D">
        <w:rPr>
          <w:rFonts w:hint="cs"/>
          <w:rtl/>
          <w:lang w:val="fr-CH"/>
        </w:rPr>
        <w:t>انتخاب الرئيس ونائبي الرئيس</w:t>
      </w:r>
    </w:p>
    <w:p w:rsidR="004B357D" w:rsidRDefault="0057269D" w:rsidP="0057269D">
      <w:pPr>
        <w:pStyle w:val="NumberedParaAR"/>
      </w:pPr>
      <w:r>
        <w:rPr>
          <w:rFonts w:hint="cs"/>
          <w:rtl/>
        </w:rPr>
        <w:t xml:space="preserve">انتُخب السيد </w:t>
      </w:r>
      <w:proofErr w:type="spellStart"/>
      <w:r>
        <w:rPr>
          <w:rFonts w:hint="cs"/>
          <w:rtl/>
        </w:rPr>
        <w:t>ميخالي</w:t>
      </w:r>
      <w:proofErr w:type="spellEnd"/>
      <w:r>
        <w:rPr>
          <w:rFonts w:hint="cs"/>
          <w:rtl/>
        </w:rPr>
        <w:t xml:space="preserve"> </w:t>
      </w:r>
      <w:proofErr w:type="spellStart"/>
      <w:r>
        <w:rPr>
          <w:rFonts w:hint="cs"/>
          <w:rtl/>
        </w:rPr>
        <w:t>فيكشور</w:t>
      </w:r>
      <w:proofErr w:type="spellEnd"/>
      <w:r>
        <w:rPr>
          <w:rFonts w:hint="cs"/>
          <w:rtl/>
        </w:rPr>
        <w:t xml:space="preserve"> (هنغاريا) بالإجماع رئيسا للفريق العامل، والسيد ألفريدو </w:t>
      </w:r>
      <w:proofErr w:type="spellStart"/>
      <w:r>
        <w:rPr>
          <w:rFonts w:hint="cs"/>
          <w:rtl/>
        </w:rPr>
        <w:t>رندون</w:t>
      </w:r>
      <w:proofErr w:type="spellEnd"/>
      <w:r>
        <w:rPr>
          <w:rFonts w:hint="cs"/>
          <w:rtl/>
        </w:rPr>
        <w:t xml:space="preserve"> </w:t>
      </w:r>
      <w:proofErr w:type="spellStart"/>
      <w:r>
        <w:rPr>
          <w:rFonts w:hint="cs"/>
          <w:rtl/>
        </w:rPr>
        <w:t>ألغارا</w:t>
      </w:r>
      <w:proofErr w:type="spellEnd"/>
      <w:r>
        <w:rPr>
          <w:rFonts w:hint="cs"/>
          <w:rtl/>
        </w:rPr>
        <w:t xml:space="preserve"> (المكسيك) والسيدة أنا </w:t>
      </w:r>
      <w:proofErr w:type="spellStart"/>
      <w:r>
        <w:rPr>
          <w:rFonts w:hint="cs"/>
          <w:rtl/>
        </w:rPr>
        <w:t>غوبيشيا</w:t>
      </w:r>
      <w:proofErr w:type="spellEnd"/>
      <w:r>
        <w:rPr>
          <w:rFonts w:hint="cs"/>
          <w:rtl/>
        </w:rPr>
        <w:t xml:space="preserve"> (جورجيا) بالإجماع نائبين للرئيس.</w:t>
      </w:r>
    </w:p>
    <w:p w:rsidR="0057269D" w:rsidRDefault="0057269D" w:rsidP="008E616A">
      <w:pPr>
        <w:pStyle w:val="NumberedParaAR"/>
      </w:pPr>
      <w:r>
        <w:rPr>
          <w:rFonts w:hint="cs"/>
          <w:rtl/>
        </w:rPr>
        <w:t xml:space="preserve">وتولى السيد </w:t>
      </w:r>
      <w:proofErr w:type="spellStart"/>
      <w:r>
        <w:rPr>
          <w:rFonts w:hint="cs"/>
          <w:rtl/>
        </w:rPr>
        <w:t>ماتييس</w:t>
      </w:r>
      <w:proofErr w:type="spellEnd"/>
      <w:r>
        <w:rPr>
          <w:rFonts w:hint="cs"/>
          <w:rtl/>
        </w:rPr>
        <w:t xml:space="preserve"> </w:t>
      </w:r>
      <w:proofErr w:type="spellStart"/>
      <w:r>
        <w:rPr>
          <w:rFonts w:hint="cs"/>
          <w:rtl/>
        </w:rPr>
        <w:t>غوز</w:t>
      </w:r>
      <w:proofErr w:type="spellEnd"/>
      <w:r>
        <w:rPr>
          <w:rFonts w:hint="cs"/>
          <w:rtl/>
        </w:rPr>
        <w:t xml:space="preserve"> (الويبو) </w:t>
      </w:r>
      <w:r w:rsidR="008E616A">
        <w:rPr>
          <w:rFonts w:hint="cs"/>
          <w:rtl/>
        </w:rPr>
        <w:t>دور</w:t>
      </w:r>
      <w:r>
        <w:rPr>
          <w:rFonts w:hint="cs"/>
          <w:rtl/>
        </w:rPr>
        <w:t xml:space="preserve"> الأمانة للفريق العامل.</w:t>
      </w:r>
    </w:p>
    <w:p w:rsidR="0057269D" w:rsidRPr="00F04875" w:rsidRDefault="0057269D" w:rsidP="00B02484">
      <w:pPr>
        <w:pStyle w:val="Heading1AR"/>
        <w:spacing w:before="480"/>
        <w:rPr>
          <w:rtl/>
          <w:lang w:val="fr-CH"/>
        </w:rPr>
      </w:pPr>
      <w:r>
        <w:rPr>
          <w:rFonts w:hint="cs"/>
          <w:rtl/>
          <w:lang w:val="fr-CH"/>
        </w:rPr>
        <w:t>البند 3 من جدول الأعمال: اعتماد جدول الأعمال</w:t>
      </w:r>
    </w:p>
    <w:p w:rsidR="0057269D" w:rsidRPr="008D3112" w:rsidRDefault="0057269D" w:rsidP="00061BC6">
      <w:pPr>
        <w:pStyle w:val="NumberedParaAR"/>
        <w:ind w:left="566"/>
      </w:pPr>
      <w:r>
        <w:rPr>
          <w:rFonts w:hint="cs"/>
          <w:rtl/>
        </w:rPr>
        <w:t>اعتمد الفريق العامل مشروع جدول الأعمال (</w:t>
      </w:r>
      <w:r>
        <w:rPr>
          <w:rFonts w:hint="cs"/>
          <w:rtl/>
          <w:lang w:val="fr-CH"/>
        </w:rPr>
        <w:t xml:space="preserve">الوثيقة </w:t>
      </w:r>
      <w:r>
        <w:t>LI/WG/DEV/10/1 Prov.</w:t>
      </w:r>
      <w:r>
        <w:rPr>
          <w:rFonts w:hint="cs"/>
          <w:rtl/>
        </w:rPr>
        <w:t>) دون تعديل.</w:t>
      </w:r>
    </w:p>
    <w:p w:rsidR="008D3112" w:rsidRDefault="008D3112" w:rsidP="00B02484">
      <w:pPr>
        <w:pStyle w:val="Heading1AR"/>
        <w:spacing w:before="480"/>
      </w:pPr>
      <w:r>
        <w:rPr>
          <w:rFonts w:hint="cs"/>
          <w:rtl/>
          <w:lang w:val="fr-CH"/>
        </w:rPr>
        <w:t xml:space="preserve">البند 4 من جدول الأعمال: </w:t>
      </w:r>
      <w:r w:rsidRPr="008D3112">
        <w:rPr>
          <w:rtl/>
        </w:rPr>
        <w:t>تقرير الدورة التاسعة للفريق العامل المعني بتطوير نظام لشبونة (تسميات المنشأ)</w:t>
      </w:r>
    </w:p>
    <w:p w:rsidR="008D3112" w:rsidRDefault="008D3112" w:rsidP="00061BC6">
      <w:pPr>
        <w:pStyle w:val="NumberedParaAR"/>
        <w:ind w:left="566"/>
        <w:rPr>
          <w:rtl/>
        </w:rPr>
      </w:pPr>
      <w:r>
        <w:rPr>
          <w:rFonts w:hint="cs"/>
          <w:rtl/>
        </w:rPr>
        <w:t xml:space="preserve">أحاط الفريق العامل علما بأن تقرير الدورة التاسعة للفريق العامل، كما هو وارد في </w:t>
      </w:r>
      <w:r>
        <w:rPr>
          <w:rtl/>
        </w:rPr>
        <w:t xml:space="preserve">الوثيقة </w:t>
      </w:r>
      <w:r>
        <w:t>LI/WG/DEV/9/8</w:t>
      </w:r>
      <w:r>
        <w:rPr>
          <w:rFonts w:hint="cs"/>
          <w:rtl/>
        </w:rPr>
        <w:t>، قد اعتُمد في 17 أكتوبر 2014، عملا بالإجراء الذي وُضع لذلك الغرض في الدورة الخامسة للفريق العامل.</w:t>
      </w:r>
    </w:p>
    <w:p w:rsidR="002F77FC" w:rsidRDefault="008D3112" w:rsidP="00B02484">
      <w:pPr>
        <w:pStyle w:val="Heading1AR"/>
        <w:spacing w:before="480"/>
        <w:rPr>
          <w:rtl/>
        </w:rPr>
      </w:pPr>
      <w:r>
        <w:rPr>
          <w:rFonts w:hint="cs"/>
          <w:rtl/>
        </w:rPr>
        <w:t xml:space="preserve">البند 5 من جدول الأعمال: مشروع </w:t>
      </w:r>
      <w:r w:rsidRPr="00A5637B">
        <w:rPr>
          <w:rtl/>
        </w:rPr>
        <w:t>اتفاق لشبونة المراجع بشأن تسميات المنشأ والبيانات الجغرافية</w:t>
      </w:r>
      <w:r>
        <w:rPr>
          <w:rFonts w:hint="cs"/>
          <w:rtl/>
        </w:rPr>
        <w:t>، ومشروع اللائحة التنفيذية لمشروع</w:t>
      </w:r>
      <w:r w:rsidRPr="00A5637B">
        <w:rPr>
          <w:rtl/>
        </w:rPr>
        <w:t xml:space="preserve"> اتفاق لشبونة المراجع</w:t>
      </w:r>
    </w:p>
    <w:p w:rsidR="008D3112" w:rsidRDefault="000112B8" w:rsidP="00334311">
      <w:pPr>
        <w:pStyle w:val="NumberedParaAR"/>
      </w:pPr>
      <w:r>
        <w:rPr>
          <w:rFonts w:hint="cs"/>
          <w:rtl/>
        </w:rPr>
        <w:t xml:space="preserve">ذكّر الرئيس أن جمعية اتحاد لشبونة قد وافقت في دورتها العادية عام 2013 على الدعوة إلى عقد مؤتمر دبلوماسي </w:t>
      </w:r>
      <w:r w:rsidR="00014F7C">
        <w:rPr>
          <w:rFonts w:hint="cs"/>
          <w:rtl/>
        </w:rPr>
        <w:t xml:space="preserve">معني </w:t>
      </w:r>
      <w:r w:rsidR="00014F7C" w:rsidRPr="00014F7C">
        <w:rPr>
          <w:rtl/>
        </w:rPr>
        <w:t>باعتماد نص مراجع لاتفاق لشبونة بشأن تسميات المنشأ والبيانات الجغرافية</w:t>
      </w:r>
      <w:r w:rsidR="00014F7C">
        <w:rPr>
          <w:rFonts w:hint="cs"/>
          <w:rtl/>
        </w:rPr>
        <w:t xml:space="preserve"> (يشار إليه فيما يلي بمختصر "المؤتمر الدبلوماسي") في عام 2015.</w:t>
      </w:r>
    </w:p>
    <w:p w:rsidR="00014F7C" w:rsidRDefault="00014F7C" w:rsidP="00061BC6">
      <w:pPr>
        <w:pStyle w:val="NumberedParaAR"/>
      </w:pPr>
      <w:r>
        <w:rPr>
          <w:rFonts w:hint="cs"/>
          <w:rtl/>
        </w:rPr>
        <w:t xml:space="preserve">واستندت المناقشات إلى الوثائق </w:t>
      </w:r>
      <w:r>
        <w:t>LI/WG/DEV/10/2</w:t>
      </w:r>
      <w:r>
        <w:rPr>
          <w:rFonts w:hint="cs"/>
          <w:rtl/>
          <w:lang w:val="fr-CH"/>
        </w:rPr>
        <w:t xml:space="preserve"> و</w:t>
      </w:r>
      <w:r>
        <w:t>LI/WG/DEV/10/3</w:t>
      </w:r>
      <w:r>
        <w:rPr>
          <w:rFonts w:hint="cs"/>
          <w:rtl/>
          <w:lang w:val="fr-CH"/>
        </w:rPr>
        <w:t xml:space="preserve"> و</w:t>
      </w:r>
      <w:r>
        <w:t>LI/WG/DEV/10/4</w:t>
      </w:r>
      <w:r>
        <w:rPr>
          <w:rFonts w:hint="cs"/>
          <w:rtl/>
        </w:rPr>
        <w:t xml:space="preserve"> </w:t>
      </w:r>
      <w:r>
        <w:rPr>
          <w:rFonts w:hint="cs"/>
          <w:rtl/>
          <w:lang w:val="fr-CH"/>
        </w:rPr>
        <w:t>و</w:t>
      </w:r>
      <w:r>
        <w:t>LI/WG/DEV/10/5</w:t>
      </w:r>
      <w:r>
        <w:rPr>
          <w:rFonts w:hint="cs"/>
          <w:rtl/>
        </w:rPr>
        <w:t>.</w:t>
      </w:r>
      <w:r w:rsidR="00AE0490">
        <w:rPr>
          <w:rFonts w:hint="cs"/>
          <w:rtl/>
        </w:rPr>
        <w:t xml:space="preserve"> وبحث الفريق العامل بتفصيل القضايا العالقة المبيّنة في الفقرة 5 من الوثيقة</w:t>
      </w:r>
      <w:r w:rsidR="00061BC6">
        <w:rPr>
          <w:rFonts w:hint="eastAsia"/>
          <w:rtl/>
        </w:rPr>
        <w:t> </w:t>
      </w:r>
      <w:r w:rsidR="00AE0490">
        <w:t>LI/WG/DEV/10/2</w:t>
      </w:r>
      <w:r w:rsidR="00AE0490">
        <w:rPr>
          <w:rFonts w:hint="cs"/>
          <w:rtl/>
        </w:rPr>
        <w:t xml:space="preserve"> بغية تقليص عددها. ونتيجة لذلك، باتت بعض القضايا محلولة وستحال قضايا أخرى إلى </w:t>
      </w:r>
      <w:r w:rsidR="00AE0490">
        <w:rPr>
          <w:rFonts w:hint="cs"/>
          <w:rtl/>
        </w:rPr>
        <w:lastRenderedPageBreak/>
        <w:t xml:space="preserve">المؤتمر الدبلوماسي، إما بصيغتها المعدّلة أو كما هي واردة في الوثيقة </w:t>
      </w:r>
      <w:r w:rsidR="00AE0490">
        <w:t>LI/WG/DEV/10/2</w:t>
      </w:r>
      <w:r w:rsidR="00AE0490">
        <w:rPr>
          <w:rFonts w:hint="cs"/>
          <w:rtl/>
        </w:rPr>
        <w:t>. وفيما يلي ملخصٌ لحصيلة المناقشات</w:t>
      </w:r>
      <w:r w:rsidR="00AE0490">
        <w:rPr>
          <w:rStyle w:val="FootnoteReference"/>
          <w:rtl/>
        </w:rPr>
        <w:footnoteReference w:id="2"/>
      </w:r>
      <w:r w:rsidR="00AE0490">
        <w:rPr>
          <w:rFonts w:hint="cs"/>
          <w:rtl/>
        </w:rPr>
        <w:t>:</w:t>
      </w:r>
    </w:p>
    <w:p w:rsidR="0051024E" w:rsidRDefault="0051024E" w:rsidP="00036981">
      <w:pPr>
        <w:pStyle w:val="NumberedParaAR"/>
        <w:keepNext/>
        <w:numPr>
          <w:ilvl w:val="0"/>
          <w:numId w:val="0"/>
        </w:numPr>
        <w:rPr>
          <w:rtl/>
        </w:rPr>
      </w:pPr>
      <w:r>
        <w:rPr>
          <w:rFonts w:hint="cs"/>
          <w:rtl/>
        </w:rPr>
        <w:t>ألف</w:t>
      </w:r>
      <w:r>
        <w:rPr>
          <w:rFonts w:hint="cs"/>
          <w:rtl/>
        </w:rPr>
        <w:tab/>
      </w:r>
      <w:r w:rsidRPr="0051024E">
        <w:rPr>
          <w:rFonts w:hint="cs"/>
          <w:u w:val="single"/>
          <w:rtl/>
        </w:rPr>
        <w:t>القضايا المحلولة</w:t>
      </w:r>
    </w:p>
    <w:p w:rsidR="0051024E" w:rsidRPr="00E22D88" w:rsidRDefault="0051024E" w:rsidP="00036981">
      <w:pPr>
        <w:pStyle w:val="NumberedParaAR"/>
        <w:numPr>
          <w:ilvl w:val="0"/>
          <w:numId w:val="0"/>
        </w:numPr>
        <w:ind w:firstLine="566"/>
        <w:rPr>
          <w:rtl/>
        </w:rPr>
      </w:pPr>
      <w:r w:rsidRPr="00E22D88">
        <w:rPr>
          <w:rFonts w:hint="cs"/>
          <w:rtl/>
        </w:rPr>
        <w:t>"1"</w:t>
      </w:r>
      <w:r w:rsidRPr="00E22D88">
        <w:rPr>
          <w:rFonts w:hint="cs"/>
          <w:rtl/>
        </w:rPr>
        <w:tab/>
        <w:t xml:space="preserve">عنوان مشروع اتفاق لشبونة </w:t>
      </w:r>
      <w:r>
        <w:rPr>
          <w:rFonts w:hint="cs"/>
          <w:rtl/>
        </w:rPr>
        <w:t>المراجَع وديباج</w:t>
      </w:r>
      <w:r w:rsidRPr="00E22D88">
        <w:rPr>
          <w:rFonts w:hint="cs"/>
          <w:rtl/>
        </w:rPr>
        <w:t>ته؛</w:t>
      </w:r>
    </w:p>
    <w:p w:rsidR="0051024E" w:rsidRDefault="0051024E" w:rsidP="00036981">
      <w:pPr>
        <w:pStyle w:val="NumberedParaAR"/>
        <w:numPr>
          <w:ilvl w:val="0"/>
          <w:numId w:val="0"/>
        </w:numPr>
        <w:ind w:firstLine="566"/>
        <w:rPr>
          <w:rtl/>
        </w:rPr>
      </w:pPr>
      <w:r w:rsidRPr="00E22D88">
        <w:rPr>
          <w:rFonts w:hint="cs"/>
          <w:rtl/>
        </w:rPr>
        <w:t>"</w:t>
      </w:r>
      <w:r>
        <w:rPr>
          <w:rFonts w:hint="cs"/>
          <w:rtl/>
        </w:rPr>
        <w:t>2</w:t>
      </w:r>
      <w:r w:rsidRPr="00E22D88">
        <w:rPr>
          <w:rFonts w:hint="cs"/>
          <w:rtl/>
        </w:rPr>
        <w:t>"</w:t>
      </w:r>
      <w:r w:rsidRPr="00E22D88">
        <w:rPr>
          <w:rFonts w:hint="cs"/>
          <w:rtl/>
        </w:rPr>
        <w:tab/>
        <w:t xml:space="preserve">مسألتا الحفاظ على </w:t>
      </w:r>
      <w:r>
        <w:rPr>
          <w:rFonts w:hint="cs"/>
          <w:rtl/>
        </w:rPr>
        <w:t>المادة</w:t>
      </w:r>
      <w:r>
        <w:rPr>
          <w:rtl/>
        </w:rPr>
        <w:t> </w:t>
      </w:r>
      <w:r w:rsidRPr="00E22D88">
        <w:rPr>
          <w:rFonts w:hint="cs"/>
          <w:rtl/>
        </w:rPr>
        <w:t xml:space="preserve">9(1) ونقل </w:t>
      </w:r>
      <w:r>
        <w:rPr>
          <w:rFonts w:hint="cs"/>
          <w:rtl/>
        </w:rPr>
        <w:t>المادة</w:t>
      </w:r>
      <w:r>
        <w:rPr>
          <w:rtl/>
        </w:rPr>
        <w:t> </w:t>
      </w:r>
      <w:r w:rsidRPr="00E22D88">
        <w:rPr>
          <w:rFonts w:hint="cs"/>
          <w:rtl/>
        </w:rPr>
        <w:t xml:space="preserve">9(2) إلى </w:t>
      </w:r>
      <w:r>
        <w:rPr>
          <w:rFonts w:hint="cs"/>
          <w:rtl/>
        </w:rPr>
        <w:t>المادة</w:t>
      </w:r>
      <w:r>
        <w:rPr>
          <w:rtl/>
        </w:rPr>
        <w:t> </w:t>
      </w:r>
      <w:r w:rsidRPr="00E22D88">
        <w:rPr>
          <w:rFonts w:hint="cs"/>
          <w:rtl/>
        </w:rPr>
        <w:t>6؛</w:t>
      </w:r>
    </w:p>
    <w:p w:rsidR="0051024E" w:rsidRPr="00E22D88" w:rsidRDefault="0051024E" w:rsidP="00061BC6">
      <w:pPr>
        <w:pStyle w:val="NumberedParaAR"/>
        <w:numPr>
          <w:ilvl w:val="0"/>
          <w:numId w:val="0"/>
        </w:numPr>
        <w:ind w:firstLine="566"/>
        <w:rPr>
          <w:rtl/>
        </w:rPr>
      </w:pPr>
      <w:r w:rsidRPr="00E22D88">
        <w:rPr>
          <w:rFonts w:hint="cs"/>
          <w:rtl/>
        </w:rPr>
        <w:t>"</w:t>
      </w:r>
      <w:r>
        <w:rPr>
          <w:rFonts w:hint="cs"/>
          <w:rtl/>
        </w:rPr>
        <w:t>3</w:t>
      </w:r>
      <w:r w:rsidRPr="00E22D88">
        <w:rPr>
          <w:rFonts w:hint="cs"/>
          <w:rtl/>
        </w:rPr>
        <w:t>"</w:t>
      </w:r>
      <w:r w:rsidRPr="00E22D88">
        <w:rPr>
          <w:rFonts w:hint="cs"/>
          <w:rtl/>
        </w:rPr>
        <w:tab/>
        <w:t xml:space="preserve">مسألة إشارة </w:t>
      </w:r>
      <w:r>
        <w:rPr>
          <w:rFonts w:hint="cs"/>
          <w:rtl/>
        </w:rPr>
        <w:t>المادة</w:t>
      </w:r>
      <w:r>
        <w:rPr>
          <w:rtl/>
        </w:rPr>
        <w:t> </w:t>
      </w:r>
      <w:r w:rsidRPr="00E22D88">
        <w:rPr>
          <w:rFonts w:hint="cs"/>
          <w:rtl/>
        </w:rPr>
        <w:t>10(</w:t>
      </w:r>
      <w:r w:rsidR="00061BC6">
        <w:rPr>
          <w:rFonts w:hint="cs"/>
          <w:rtl/>
        </w:rPr>
        <w:t>2</w:t>
      </w:r>
      <w:r w:rsidRPr="00E22D88">
        <w:rPr>
          <w:rFonts w:hint="cs"/>
          <w:rtl/>
        </w:rPr>
        <w:t>) ، عندما تُقرأ مقترنة ب</w:t>
      </w:r>
      <w:r>
        <w:rPr>
          <w:rFonts w:hint="cs"/>
          <w:rtl/>
        </w:rPr>
        <w:t>المادة</w:t>
      </w:r>
      <w:r>
        <w:rPr>
          <w:rtl/>
        </w:rPr>
        <w:t> </w:t>
      </w:r>
      <w:r w:rsidRPr="00E22D88">
        <w:rPr>
          <w:rFonts w:hint="cs"/>
          <w:rtl/>
        </w:rPr>
        <w:t>15(2) ، إلى نوع آخر من الحماية الموسعة</w:t>
      </w:r>
      <w:r>
        <w:rPr>
          <w:rFonts w:hint="cs"/>
          <w:rtl/>
        </w:rPr>
        <w:t xml:space="preserve"> أو</w:t>
      </w:r>
      <w:r>
        <w:rPr>
          <w:rtl/>
        </w:rPr>
        <w:t> </w:t>
      </w:r>
      <w:r w:rsidRPr="00E22D88">
        <w:rPr>
          <w:rFonts w:hint="cs"/>
          <w:rtl/>
        </w:rPr>
        <w:t>توسيع تلك الحماية؛</w:t>
      </w:r>
    </w:p>
    <w:p w:rsidR="0051024E" w:rsidRPr="00E22D88" w:rsidRDefault="0051024E" w:rsidP="00036981">
      <w:pPr>
        <w:pStyle w:val="NumberedParaAR"/>
        <w:numPr>
          <w:ilvl w:val="0"/>
          <w:numId w:val="0"/>
        </w:numPr>
        <w:ind w:firstLine="566"/>
        <w:rPr>
          <w:rtl/>
        </w:rPr>
      </w:pPr>
      <w:r w:rsidRPr="00E22D88">
        <w:rPr>
          <w:rFonts w:hint="cs"/>
          <w:rtl/>
        </w:rPr>
        <w:t>"</w:t>
      </w:r>
      <w:r>
        <w:rPr>
          <w:rFonts w:hint="cs"/>
          <w:rtl/>
        </w:rPr>
        <w:t>4</w:t>
      </w:r>
      <w:r w:rsidRPr="00E22D88">
        <w:rPr>
          <w:rFonts w:hint="cs"/>
          <w:rtl/>
        </w:rPr>
        <w:t>"</w:t>
      </w:r>
      <w:r w:rsidRPr="00E22D88">
        <w:rPr>
          <w:rFonts w:hint="cs"/>
          <w:rtl/>
        </w:rPr>
        <w:tab/>
        <w:t>مسألت</w:t>
      </w:r>
      <w:r>
        <w:rPr>
          <w:rFonts w:hint="cs"/>
          <w:rtl/>
        </w:rPr>
        <w:t>ا</w:t>
      </w:r>
      <w:r w:rsidRPr="00E22D88">
        <w:rPr>
          <w:rFonts w:hint="cs"/>
          <w:rtl/>
        </w:rPr>
        <w:t xml:space="preserve"> الحفاظ على المواد من 13(2) إلى (4) وإدخال تعديلات لاحقة في </w:t>
      </w:r>
      <w:r>
        <w:rPr>
          <w:rFonts w:hint="cs"/>
          <w:rtl/>
        </w:rPr>
        <w:t>المادة</w:t>
      </w:r>
      <w:r>
        <w:rPr>
          <w:rtl/>
        </w:rPr>
        <w:t> </w:t>
      </w:r>
      <w:r w:rsidRPr="00E22D88">
        <w:rPr>
          <w:rFonts w:hint="cs"/>
          <w:rtl/>
        </w:rPr>
        <w:t xml:space="preserve">17(2) والحاشية </w:t>
      </w:r>
      <w:r>
        <w:rPr>
          <w:rFonts w:hint="cs"/>
          <w:rtl/>
        </w:rPr>
        <w:t>4</w:t>
      </w:r>
      <w:r w:rsidRPr="00E22D88">
        <w:rPr>
          <w:rFonts w:hint="cs"/>
          <w:rtl/>
        </w:rPr>
        <w:t xml:space="preserve"> </w:t>
      </w:r>
      <w:r>
        <w:rPr>
          <w:rFonts w:hint="cs"/>
          <w:rtl/>
        </w:rPr>
        <w:t>لتلك</w:t>
      </w:r>
      <w:r w:rsidR="0024618E">
        <w:rPr>
          <w:rFonts w:hint="eastAsia"/>
          <w:rtl/>
        </w:rPr>
        <w:t> </w:t>
      </w:r>
      <w:r>
        <w:rPr>
          <w:rFonts w:hint="cs"/>
          <w:rtl/>
        </w:rPr>
        <w:t>المادة.</w:t>
      </w:r>
    </w:p>
    <w:p w:rsidR="0051024E" w:rsidRDefault="0051024E" w:rsidP="00036981">
      <w:pPr>
        <w:pStyle w:val="NumberedParaAR"/>
        <w:keepNext/>
        <w:numPr>
          <w:ilvl w:val="0"/>
          <w:numId w:val="0"/>
        </w:numPr>
        <w:rPr>
          <w:rtl/>
        </w:rPr>
      </w:pPr>
      <w:r>
        <w:rPr>
          <w:rFonts w:hint="cs"/>
          <w:rtl/>
        </w:rPr>
        <w:t>باء</w:t>
      </w:r>
      <w:r>
        <w:rPr>
          <w:rFonts w:hint="cs"/>
          <w:rtl/>
        </w:rPr>
        <w:tab/>
      </w:r>
      <w:r w:rsidRPr="0051024E">
        <w:rPr>
          <w:rFonts w:hint="cs"/>
          <w:u w:val="single"/>
          <w:rtl/>
        </w:rPr>
        <w:t xml:space="preserve">القضايا </w:t>
      </w:r>
      <w:r>
        <w:rPr>
          <w:rFonts w:hint="cs"/>
          <w:u w:val="single"/>
          <w:rtl/>
        </w:rPr>
        <w:t>العالقة</w:t>
      </w:r>
    </w:p>
    <w:p w:rsidR="0051024E" w:rsidRPr="00C124FC" w:rsidRDefault="00C124FC" w:rsidP="00061DCD">
      <w:pPr>
        <w:pStyle w:val="NumberedParaAR"/>
        <w:keepNext/>
        <w:numPr>
          <w:ilvl w:val="0"/>
          <w:numId w:val="0"/>
        </w:numPr>
        <w:ind w:left="566"/>
        <w:rPr>
          <w:i/>
          <w:iCs/>
          <w:u w:val="single"/>
          <w:rtl/>
        </w:rPr>
      </w:pPr>
      <w:r w:rsidRPr="00235BC3">
        <w:rPr>
          <w:rFonts w:hint="cs"/>
          <w:i/>
          <w:iCs/>
          <w:rtl/>
        </w:rPr>
        <w:t>1</w:t>
      </w:r>
      <w:r>
        <w:rPr>
          <w:rFonts w:hint="cs"/>
          <w:rtl/>
        </w:rPr>
        <w:t>.</w:t>
      </w:r>
      <w:r>
        <w:rPr>
          <w:rFonts w:hint="cs"/>
          <w:rtl/>
        </w:rPr>
        <w:tab/>
      </w:r>
      <w:r w:rsidRPr="00C124FC">
        <w:rPr>
          <w:rFonts w:hint="cs"/>
          <w:i/>
          <w:iCs/>
          <w:u w:val="single"/>
          <w:rtl/>
        </w:rPr>
        <w:t>كما عُدّلت في الدورة العاشرة ل</w:t>
      </w:r>
      <w:r w:rsidR="00061DCD">
        <w:rPr>
          <w:rFonts w:hint="cs"/>
          <w:i/>
          <w:iCs/>
          <w:u w:val="single"/>
          <w:rtl/>
        </w:rPr>
        <w:t>لفريق</w:t>
      </w:r>
      <w:r w:rsidRPr="00C124FC">
        <w:rPr>
          <w:rFonts w:hint="cs"/>
          <w:i/>
          <w:iCs/>
          <w:u w:val="single"/>
          <w:rtl/>
        </w:rPr>
        <w:t xml:space="preserve"> العامل</w:t>
      </w:r>
      <w:r w:rsidR="00061DCD">
        <w:rPr>
          <w:rFonts w:hint="cs"/>
          <w:i/>
          <w:iCs/>
          <w:u w:val="single"/>
          <w:rtl/>
        </w:rPr>
        <w:t xml:space="preserve"> المعني بتطوير نظام لشبونة</w:t>
      </w:r>
    </w:p>
    <w:p w:rsidR="00C124FC" w:rsidRPr="00E22D88" w:rsidRDefault="00C124FC" w:rsidP="00334311">
      <w:pPr>
        <w:pStyle w:val="NumberedParaAR"/>
        <w:numPr>
          <w:ilvl w:val="0"/>
          <w:numId w:val="0"/>
        </w:numPr>
        <w:ind w:left="566"/>
        <w:rPr>
          <w:rtl/>
        </w:rPr>
      </w:pPr>
      <w:r w:rsidRPr="00E22D88">
        <w:rPr>
          <w:rFonts w:hint="cs"/>
          <w:rtl/>
        </w:rPr>
        <w:t>"5"</w:t>
      </w:r>
      <w:r w:rsidRPr="00E22D88">
        <w:rPr>
          <w:rFonts w:hint="cs"/>
          <w:rtl/>
        </w:rPr>
        <w:tab/>
      </w:r>
      <w:r>
        <w:rPr>
          <w:rFonts w:hint="cs"/>
          <w:rtl/>
        </w:rPr>
        <w:t>المادة</w:t>
      </w:r>
      <w:r>
        <w:rPr>
          <w:rtl/>
        </w:rPr>
        <w:t> </w:t>
      </w:r>
      <w:r w:rsidR="00334311">
        <w:rPr>
          <w:rFonts w:hint="cs"/>
          <w:rtl/>
        </w:rPr>
        <w:t>7(3</w:t>
      </w:r>
      <w:r w:rsidRPr="00E22D88">
        <w:rPr>
          <w:rFonts w:hint="cs"/>
          <w:rtl/>
        </w:rPr>
        <w:t>) و</w:t>
      </w:r>
      <w:r>
        <w:rPr>
          <w:rFonts w:hint="cs"/>
          <w:rtl/>
        </w:rPr>
        <w:t>المادة</w:t>
      </w:r>
      <w:r>
        <w:rPr>
          <w:rtl/>
        </w:rPr>
        <w:t> </w:t>
      </w:r>
      <w:r w:rsidRPr="00E22D88">
        <w:rPr>
          <w:rFonts w:hint="cs"/>
          <w:rtl/>
        </w:rPr>
        <w:t>8(3)، و</w:t>
      </w:r>
      <w:r>
        <w:rPr>
          <w:rFonts w:hint="cs"/>
          <w:rtl/>
        </w:rPr>
        <w:t>المادة</w:t>
      </w:r>
      <w:r>
        <w:rPr>
          <w:rtl/>
        </w:rPr>
        <w:t> </w:t>
      </w:r>
      <w:r w:rsidRPr="00E22D88">
        <w:rPr>
          <w:rFonts w:hint="cs"/>
          <w:rtl/>
        </w:rPr>
        <w:t>24(3)"</w:t>
      </w:r>
      <w:r w:rsidR="00334311">
        <w:rPr>
          <w:rFonts w:hint="cs"/>
          <w:rtl/>
        </w:rPr>
        <w:t>6</w:t>
      </w:r>
      <w:r w:rsidRPr="00E22D88">
        <w:rPr>
          <w:rFonts w:hint="cs"/>
          <w:rtl/>
        </w:rPr>
        <w:t>" وما يتصل بها من أحكام تخص إمكانية إدراج رسوم</w:t>
      </w:r>
      <w:r w:rsidR="00036981">
        <w:rPr>
          <w:rFonts w:hint="eastAsia"/>
          <w:rtl/>
        </w:rPr>
        <w:t> </w:t>
      </w:r>
      <w:r w:rsidRPr="00E22D88">
        <w:rPr>
          <w:rFonts w:hint="cs"/>
          <w:rtl/>
        </w:rPr>
        <w:t>محافظة؛</w:t>
      </w:r>
    </w:p>
    <w:p w:rsidR="00DB2516" w:rsidRPr="00E22D88" w:rsidRDefault="00DB2516" w:rsidP="00036981">
      <w:pPr>
        <w:pStyle w:val="NumberedParaAR"/>
        <w:numPr>
          <w:ilvl w:val="0"/>
          <w:numId w:val="0"/>
        </w:numPr>
        <w:ind w:left="566"/>
        <w:rPr>
          <w:rtl/>
        </w:rPr>
      </w:pPr>
      <w:r w:rsidRPr="00E22D88">
        <w:rPr>
          <w:rFonts w:hint="cs"/>
          <w:rtl/>
        </w:rPr>
        <w:t>"6"</w:t>
      </w:r>
      <w:r w:rsidRPr="00E22D88">
        <w:rPr>
          <w:rFonts w:hint="cs"/>
          <w:rtl/>
        </w:rPr>
        <w:tab/>
        <w:t xml:space="preserve">إمكانية إعادة إدراج أحكام اتفاق لشبونة الحالي </w:t>
      </w:r>
      <w:r w:rsidRPr="00E22D88">
        <w:rPr>
          <w:rtl/>
        </w:rPr>
        <w:t>المتعلقة بمساهمات أعضاء اتحاد لشبونة</w:t>
      </w:r>
      <w:r w:rsidRPr="00E22D88">
        <w:rPr>
          <w:rFonts w:hint="cs"/>
          <w:rtl/>
        </w:rPr>
        <w:t>؛</w:t>
      </w:r>
    </w:p>
    <w:p w:rsidR="00314EE3" w:rsidRDefault="00314EE3" w:rsidP="00036981">
      <w:pPr>
        <w:pStyle w:val="NumberedParaAR"/>
        <w:numPr>
          <w:ilvl w:val="0"/>
          <w:numId w:val="0"/>
        </w:numPr>
        <w:ind w:left="566"/>
        <w:rPr>
          <w:rtl/>
        </w:rPr>
      </w:pPr>
      <w:r w:rsidRPr="00E22D88">
        <w:rPr>
          <w:rFonts w:hint="cs"/>
          <w:rtl/>
        </w:rPr>
        <w:t>"</w:t>
      </w:r>
      <w:r>
        <w:rPr>
          <w:rFonts w:hint="cs"/>
          <w:rtl/>
        </w:rPr>
        <w:t>7</w:t>
      </w:r>
      <w:r w:rsidRPr="00E22D88">
        <w:rPr>
          <w:rFonts w:hint="cs"/>
          <w:rtl/>
        </w:rPr>
        <w:t>"</w:t>
      </w:r>
      <w:r w:rsidRPr="00E22D88">
        <w:rPr>
          <w:rFonts w:hint="cs"/>
          <w:rtl/>
        </w:rPr>
        <w:tab/>
        <w:t>الخيارات العديدة المتعلقة ب</w:t>
      </w:r>
      <w:r>
        <w:rPr>
          <w:rFonts w:hint="cs"/>
          <w:rtl/>
        </w:rPr>
        <w:t>المادة</w:t>
      </w:r>
      <w:r>
        <w:rPr>
          <w:rtl/>
        </w:rPr>
        <w:t> </w:t>
      </w:r>
      <w:r w:rsidRPr="00E22D88">
        <w:rPr>
          <w:rFonts w:hint="cs"/>
          <w:rtl/>
        </w:rPr>
        <w:t>11(1)(أ) و</w:t>
      </w:r>
      <w:r>
        <w:rPr>
          <w:rFonts w:hint="cs"/>
          <w:rtl/>
        </w:rPr>
        <w:t>المادة</w:t>
      </w:r>
      <w:r>
        <w:rPr>
          <w:rtl/>
        </w:rPr>
        <w:t> </w:t>
      </w:r>
      <w:r>
        <w:rPr>
          <w:rFonts w:hint="cs"/>
          <w:rtl/>
        </w:rPr>
        <w:t>11(3)</w:t>
      </w:r>
      <w:r w:rsidRPr="00E22D88">
        <w:rPr>
          <w:rFonts w:hint="cs"/>
          <w:rtl/>
        </w:rPr>
        <w:t>؛</w:t>
      </w:r>
    </w:p>
    <w:p w:rsidR="00314EE3" w:rsidRDefault="00314EE3" w:rsidP="00036981">
      <w:pPr>
        <w:pStyle w:val="NumberedParaAR"/>
        <w:numPr>
          <w:ilvl w:val="0"/>
          <w:numId w:val="0"/>
        </w:numPr>
        <w:ind w:left="566"/>
        <w:rPr>
          <w:rtl/>
        </w:rPr>
      </w:pPr>
      <w:r w:rsidRPr="00E22D88">
        <w:rPr>
          <w:rFonts w:hint="cs"/>
          <w:rtl/>
        </w:rPr>
        <w:t>"</w:t>
      </w:r>
      <w:r>
        <w:rPr>
          <w:rFonts w:hint="cs"/>
          <w:rtl/>
        </w:rPr>
        <w:t>8</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12 المتعلقة بالحماية من اكتساب طابع التسميات العامة؛</w:t>
      </w:r>
    </w:p>
    <w:p w:rsidR="00314EE3" w:rsidRDefault="00314EE3" w:rsidP="00036981">
      <w:pPr>
        <w:pStyle w:val="NumberedParaAR"/>
        <w:numPr>
          <w:ilvl w:val="0"/>
          <w:numId w:val="0"/>
        </w:numPr>
        <w:ind w:left="566"/>
        <w:rPr>
          <w:rtl/>
        </w:rPr>
      </w:pPr>
      <w:r w:rsidRPr="00E22D88">
        <w:rPr>
          <w:rFonts w:hint="cs"/>
          <w:rtl/>
        </w:rPr>
        <w:t>"</w:t>
      </w:r>
      <w:r>
        <w:rPr>
          <w:rFonts w:hint="cs"/>
          <w:rtl/>
        </w:rPr>
        <w:t>9</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13(1) المتعلقة بضمانات </w:t>
      </w:r>
      <w:r>
        <w:rPr>
          <w:rFonts w:hint="cs"/>
          <w:rtl/>
        </w:rPr>
        <w:t>ال</w:t>
      </w:r>
      <w:r w:rsidRPr="00E22D88">
        <w:rPr>
          <w:rFonts w:hint="cs"/>
          <w:rtl/>
        </w:rPr>
        <w:t>حقوق</w:t>
      </w:r>
      <w:r>
        <w:rPr>
          <w:rFonts w:hint="cs"/>
          <w:rtl/>
        </w:rPr>
        <w:t xml:space="preserve"> السابقة</w:t>
      </w:r>
      <w:r w:rsidRPr="00E22D88">
        <w:rPr>
          <w:rFonts w:hint="cs"/>
          <w:rtl/>
        </w:rPr>
        <w:t xml:space="preserve"> </w:t>
      </w:r>
      <w:r>
        <w:rPr>
          <w:rFonts w:hint="cs"/>
          <w:rtl/>
        </w:rPr>
        <w:t>ل</w:t>
      </w:r>
      <w:r w:rsidRPr="00E22D88">
        <w:rPr>
          <w:rFonts w:hint="cs"/>
          <w:rtl/>
        </w:rPr>
        <w:t>لعلامات التجارية؛</w:t>
      </w:r>
    </w:p>
    <w:p w:rsidR="00DB2516" w:rsidRDefault="00DB2516" w:rsidP="00036981">
      <w:pPr>
        <w:pStyle w:val="NumberedParaAR"/>
        <w:numPr>
          <w:ilvl w:val="0"/>
          <w:numId w:val="0"/>
        </w:numPr>
        <w:ind w:left="566"/>
        <w:rPr>
          <w:rtl/>
        </w:rPr>
      </w:pPr>
      <w:r w:rsidRPr="00E22D88">
        <w:rPr>
          <w:rFonts w:hint="cs"/>
          <w:rtl/>
        </w:rPr>
        <w:t>"</w:t>
      </w:r>
      <w:r>
        <w:rPr>
          <w:rFonts w:hint="cs"/>
          <w:rtl/>
        </w:rPr>
        <w:t>10</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16(2) المتعلقة بالتفاوض إثر الرفض؛</w:t>
      </w:r>
    </w:p>
    <w:p w:rsidR="00DB2516" w:rsidRPr="00E22D88" w:rsidRDefault="00DB2516" w:rsidP="00036981">
      <w:pPr>
        <w:pStyle w:val="NumberedParaAR"/>
        <w:numPr>
          <w:ilvl w:val="0"/>
          <w:numId w:val="0"/>
        </w:numPr>
        <w:ind w:left="566"/>
        <w:rPr>
          <w:rtl/>
        </w:rPr>
      </w:pPr>
      <w:r w:rsidRPr="00E22D88">
        <w:rPr>
          <w:rFonts w:hint="cs"/>
          <w:rtl/>
        </w:rPr>
        <w:t>"</w:t>
      </w:r>
      <w:r>
        <w:rPr>
          <w:rFonts w:hint="cs"/>
          <w:rtl/>
        </w:rPr>
        <w:t>11</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17 المتعلقة بضرورة وضع فترة </w:t>
      </w:r>
      <w:r>
        <w:rPr>
          <w:rFonts w:hint="cs"/>
          <w:rtl/>
        </w:rPr>
        <w:t>إنهاء تدريجية</w:t>
      </w:r>
      <w:r w:rsidRPr="00E22D88">
        <w:rPr>
          <w:rFonts w:hint="cs"/>
          <w:rtl/>
        </w:rPr>
        <w:t>؛</w:t>
      </w:r>
    </w:p>
    <w:p w:rsidR="00DB2516" w:rsidRPr="00E22D88" w:rsidRDefault="00DB2516" w:rsidP="00036981">
      <w:pPr>
        <w:pStyle w:val="NumberedParaAR"/>
        <w:numPr>
          <w:ilvl w:val="0"/>
          <w:numId w:val="0"/>
        </w:numPr>
        <w:ind w:left="566"/>
        <w:rPr>
          <w:rtl/>
        </w:rPr>
      </w:pPr>
      <w:r w:rsidRPr="00E22D88">
        <w:rPr>
          <w:rFonts w:hint="cs"/>
          <w:rtl/>
        </w:rPr>
        <w:t>"</w:t>
      </w:r>
      <w:r>
        <w:rPr>
          <w:rFonts w:hint="cs"/>
          <w:rtl/>
        </w:rPr>
        <w:t>12</w:t>
      </w:r>
      <w:r w:rsidRPr="00E22D88">
        <w:rPr>
          <w:rFonts w:hint="cs"/>
          <w:rtl/>
        </w:rPr>
        <w:t>"</w:t>
      </w:r>
      <w:r w:rsidRPr="00E22D88">
        <w:rPr>
          <w:rFonts w:hint="cs"/>
          <w:rtl/>
        </w:rPr>
        <w:tab/>
        <w:t xml:space="preserve">مسألة إضفاء طابع خياري أم إلزامي على </w:t>
      </w:r>
      <w:r>
        <w:rPr>
          <w:rFonts w:hint="cs"/>
          <w:rtl/>
        </w:rPr>
        <w:t>القاعدة</w:t>
      </w:r>
      <w:r>
        <w:rPr>
          <w:rtl/>
        </w:rPr>
        <w:t> </w:t>
      </w:r>
      <w:r w:rsidRPr="00E22D88">
        <w:rPr>
          <w:rFonts w:hint="cs"/>
          <w:rtl/>
        </w:rPr>
        <w:t>5(3)؛</w:t>
      </w:r>
    </w:p>
    <w:p w:rsidR="00DB2516" w:rsidRPr="00E22D88" w:rsidRDefault="00DB2516" w:rsidP="00036981">
      <w:pPr>
        <w:pStyle w:val="NumberedParaAR"/>
        <w:numPr>
          <w:ilvl w:val="0"/>
          <w:numId w:val="0"/>
        </w:numPr>
        <w:ind w:left="566"/>
        <w:rPr>
          <w:rtl/>
        </w:rPr>
      </w:pPr>
      <w:r w:rsidRPr="00E22D88">
        <w:rPr>
          <w:rFonts w:hint="cs"/>
          <w:rtl/>
        </w:rPr>
        <w:t>"</w:t>
      </w:r>
      <w:r>
        <w:rPr>
          <w:rFonts w:hint="cs"/>
          <w:rtl/>
        </w:rPr>
        <w:t>13</w:t>
      </w:r>
      <w:r w:rsidRPr="00E22D88">
        <w:rPr>
          <w:rFonts w:hint="cs"/>
          <w:rtl/>
        </w:rPr>
        <w:t>"</w:t>
      </w:r>
      <w:r w:rsidRPr="00E22D88">
        <w:rPr>
          <w:rFonts w:hint="cs"/>
          <w:rtl/>
        </w:rPr>
        <w:tab/>
        <w:t xml:space="preserve">مسألة تعزيز الشفافية بموجب </w:t>
      </w:r>
      <w:r>
        <w:rPr>
          <w:rFonts w:hint="cs"/>
          <w:rtl/>
        </w:rPr>
        <w:t>القاعدة</w:t>
      </w:r>
      <w:r>
        <w:rPr>
          <w:rtl/>
        </w:rPr>
        <w:t> </w:t>
      </w:r>
      <w:r w:rsidRPr="00E22D88">
        <w:rPr>
          <w:rFonts w:hint="cs"/>
          <w:rtl/>
        </w:rPr>
        <w:t>5(5)"3"؛</w:t>
      </w:r>
    </w:p>
    <w:p w:rsidR="00036981" w:rsidRDefault="00036981">
      <w:pPr>
        <w:rPr>
          <w:rFonts w:ascii="Arabic Typesetting" w:hAnsi="Arabic Typesetting" w:cs="Arabic Typesetting"/>
          <w:sz w:val="36"/>
          <w:szCs w:val="36"/>
          <w:rtl/>
        </w:rPr>
      </w:pPr>
      <w:r>
        <w:rPr>
          <w:rtl/>
        </w:rPr>
        <w:br w:type="page"/>
      </w:r>
    </w:p>
    <w:p w:rsidR="00DB2516" w:rsidRPr="00C124FC" w:rsidRDefault="00DB2516" w:rsidP="00036981">
      <w:pPr>
        <w:pStyle w:val="NumberedParaAR"/>
        <w:keepNext/>
        <w:numPr>
          <w:ilvl w:val="0"/>
          <w:numId w:val="0"/>
        </w:numPr>
        <w:ind w:left="566"/>
        <w:rPr>
          <w:i/>
          <w:iCs/>
          <w:u w:val="single"/>
        </w:rPr>
      </w:pPr>
      <w:r w:rsidRPr="00235BC3">
        <w:rPr>
          <w:rFonts w:hint="cs"/>
          <w:i/>
          <w:iCs/>
          <w:rtl/>
        </w:rPr>
        <w:lastRenderedPageBreak/>
        <w:t>2</w:t>
      </w:r>
      <w:r>
        <w:rPr>
          <w:rFonts w:hint="cs"/>
          <w:rtl/>
        </w:rPr>
        <w:t>.</w:t>
      </w:r>
      <w:r>
        <w:rPr>
          <w:rFonts w:hint="cs"/>
          <w:rtl/>
        </w:rPr>
        <w:tab/>
      </w:r>
      <w:r w:rsidRPr="00C124FC">
        <w:rPr>
          <w:rFonts w:hint="cs"/>
          <w:i/>
          <w:iCs/>
          <w:u w:val="single"/>
          <w:rtl/>
        </w:rPr>
        <w:t xml:space="preserve">كما </w:t>
      </w:r>
      <w:r>
        <w:rPr>
          <w:rFonts w:hint="cs"/>
          <w:i/>
          <w:iCs/>
          <w:u w:val="single"/>
          <w:rtl/>
        </w:rPr>
        <w:t xml:space="preserve">وردت في الوثيقة </w:t>
      </w:r>
      <w:r>
        <w:rPr>
          <w:i/>
          <w:iCs/>
          <w:u w:val="single"/>
        </w:rPr>
        <w:t>LI/WG/DEV/10/2</w:t>
      </w:r>
    </w:p>
    <w:p w:rsidR="00DB2516" w:rsidRPr="00E22D88" w:rsidRDefault="00DB2516" w:rsidP="00036981">
      <w:pPr>
        <w:pStyle w:val="NumberedParaAR"/>
        <w:numPr>
          <w:ilvl w:val="0"/>
          <w:numId w:val="0"/>
        </w:numPr>
        <w:ind w:left="566"/>
        <w:rPr>
          <w:rtl/>
        </w:rPr>
      </w:pPr>
      <w:r w:rsidRPr="00E22D88">
        <w:rPr>
          <w:rFonts w:hint="cs"/>
          <w:rtl/>
        </w:rPr>
        <w:t>"</w:t>
      </w:r>
      <w:r>
        <w:t>14</w:t>
      </w:r>
      <w:r w:rsidRPr="00E22D88">
        <w:rPr>
          <w:rFonts w:hint="cs"/>
          <w:rtl/>
        </w:rPr>
        <w:t>"</w:t>
      </w:r>
      <w:r w:rsidRPr="00E22D88">
        <w:rPr>
          <w:rFonts w:hint="cs"/>
          <w:rtl/>
        </w:rPr>
        <w:tab/>
        <w:t xml:space="preserve">أوجه تطبيق </w:t>
      </w:r>
      <w:r>
        <w:rPr>
          <w:rFonts w:hint="cs"/>
          <w:rtl/>
        </w:rPr>
        <w:t>المادة</w:t>
      </w:r>
      <w:r>
        <w:rPr>
          <w:rtl/>
        </w:rPr>
        <w:t> </w:t>
      </w:r>
      <w:r w:rsidRPr="00E22D88">
        <w:rPr>
          <w:rFonts w:hint="cs"/>
          <w:rtl/>
        </w:rPr>
        <w:t>1"</w:t>
      </w:r>
      <w:r>
        <w:t>14</w:t>
      </w:r>
      <w:r w:rsidRPr="00E22D88">
        <w:rPr>
          <w:rFonts w:hint="cs"/>
          <w:rtl/>
        </w:rPr>
        <w:t>"؛</w:t>
      </w:r>
    </w:p>
    <w:p w:rsidR="00DB2516" w:rsidRPr="00E22D88" w:rsidRDefault="00DB2516" w:rsidP="00036981">
      <w:pPr>
        <w:pStyle w:val="NumberedParaAR"/>
        <w:numPr>
          <w:ilvl w:val="0"/>
          <w:numId w:val="0"/>
        </w:numPr>
        <w:ind w:left="566"/>
        <w:rPr>
          <w:rtl/>
        </w:rPr>
      </w:pPr>
      <w:r w:rsidRPr="00E22D88">
        <w:rPr>
          <w:rFonts w:hint="cs"/>
          <w:rtl/>
        </w:rPr>
        <w:t>"</w:t>
      </w:r>
      <w:r>
        <w:t>15</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2(2) و</w:t>
      </w:r>
      <w:r>
        <w:rPr>
          <w:rFonts w:hint="cs"/>
          <w:rtl/>
        </w:rPr>
        <w:t>المادة</w:t>
      </w:r>
      <w:r>
        <w:rPr>
          <w:rtl/>
        </w:rPr>
        <w:t> </w:t>
      </w:r>
      <w:r w:rsidRPr="00E22D88">
        <w:rPr>
          <w:rFonts w:hint="cs"/>
          <w:rtl/>
        </w:rPr>
        <w:t>5(4) المتعلقتين بمناطق المنشأ الجغرافية العابرة للحدود؛</w:t>
      </w:r>
    </w:p>
    <w:p w:rsidR="00DB2516" w:rsidRPr="00E22D88" w:rsidRDefault="00DB2516" w:rsidP="00036981">
      <w:pPr>
        <w:pStyle w:val="NumberedParaAR"/>
        <w:numPr>
          <w:ilvl w:val="0"/>
          <w:numId w:val="0"/>
        </w:numPr>
        <w:ind w:left="566"/>
        <w:rPr>
          <w:rtl/>
        </w:rPr>
      </w:pPr>
      <w:r w:rsidRPr="00E22D88">
        <w:rPr>
          <w:rFonts w:hint="cs"/>
          <w:rtl/>
        </w:rPr>
        <w:t>"</w:t>
      </w:r>
      <w:r>
        <w:t>16</w:t>
      </w:r>
      <w:r w:rsidRPr="00E22D88">
        <w:rPr>
          <w:rFonts w:hint="cs"/>
          <w:rtl/>
        </w:rPr>
        <w:t>"</w:t>
      </w:r>
      <w:r w:rsidRPr="00E22D88">
        <w:rPr>
          <w:rFonts w:hint="cs"/>
          <w:rtl/>
        </w:rPr>
        <w:tab/>
        <w:t xml:space="preserve">مسألة الحق في إيداع طلب بموجب </w:t>
      </w:r>
      <w:r>
        <w:rPr>
          <w:rFonts w:hint="cs"/>
          <w:rtl/>
        </w:rPr>
        <w:t>المادة</w:t>
      </w:r>
      <w:r>
        <w:rPr>
          <w:rtl/>
        </w:rPr>
        <w:t> </w:t>
      </w:r>
      <w:r w:rsidRPr="00E22D88">
        <w:rPr>
          <w:rFonts w:hint="cs"/>
          <w:rtl/>
        </w:rPr>
        <w:t>5(2)؛</w:t>
      </w:r>
    </w:p>
    <w:p w:rsidR="00DB2516" w:rsidRPr="00E22D88" w:rsidRDefault="00DB2516" w:rsidP="00036981">
      <w:pPr>
        <w:pStyle w:val="NumberedParaAR"/>
        <w:numPr>
          <w:ilvl w:val="0"/>
          <w:numId w:val="0"/>
        </w:numPr>
        <w:ind w:left="566"/>
        <w:rPr>
          <w:rtl/>
        </w:rPr>
      </w:pPr>
      <w:r w:rsidRPr="00E22D88">
        <w:rPr>
          <w:rFonts w:hint="cs"/>
          <w:rtl/>
        </w:rPr>
        <w:t>"</w:t>
      </w:r>
      <w:r>
        <w:rPr>
          <w:rFonts w:hint="cs"/>
          <w:rtl/>
        </w:rPr>
        <w:t>17</w:t>
      </w:r>
      <w:r w:rsidRPr="00E22D88">
        <w:rPr>
          <w:rFonts w:hint="cs"/>
          <w:rtl/>
        </w:rPr>
        <w:t>"</w:t>
      </w:r>
      <w:r w:rsidRPr="00E22D88">
        <w:rPr>
          <w:rFonts w:hint="cs"/>
          <w:rtl/>
        </w:rPr>
        <w:tab/>
      </w:r>
      <w:r>
        <w:rPr>
          <w:rFonts w:hint="cs"/>
          <w:rtl/>
        </w:rPr>
        <w:t>المادة</w:t>
      </w:r>
      <w:r>
        <w:rPr>
          <w:rtl/>
        </w:rPr>
        <w:t> </w:t>
      </w:r>
      <w:r w:rsidRPr="00E22D88">
        <w:rPr>
          <w:rFonts w:hint="cs"/>
          <w:rtl/>
        </w:rPr>
        <w:t>7(</w:t>
      </w:r>
      <w:r>
        <w:rPr>
          <w:rFonts w:hint="cs"/>
          <w:rtl/>
        </w:rPr>
        <w:t>5</w:t>
      </w:r>
      <w:r w:rsidRPr="00E22D88">
        <w:rPr>
          <w:rFonts w:hint="cs"/>
          <w:rtl/>
        </w:rPr>
        <w:t>)</w:t>
      </w:r>
      <w:r>
        <w:rPr>
          <w:rFonts w:hint="cs"/>
          <w:rtl/>
        </w:rPr>
        <w:t xml:space="preserve"> و(6)</w:t>
      </w:r>
      <w:r w:rsidRPr="00E22D88">
        <w:rPr>
          <w:rFonts w:hint="cs"/>
          <w:rtl/>
        </w:rPr>
        <w:t xml:space="preserve"> وما يتصل بها من أحكام تخص إمكانية إدراج رسوم فردية؛</w:t>
      </w:r>
    </w:p>
    <w:p w:rsidR="00DB2516" w:rsidRDefault="00DB2516" w:rsidP="00036981">
      <w:pPr>
        <w:pStyle w:val="NumberedParaAR"/>
        <w:numPr>
          <w:ilvl w:val="0"/>
          <w:numId w:val="0"/>
        </w:numPr>
        <w:ind w:left="566"/>
        <w:rPr>
          <w:rtl/>
        </w:rPr>
      </w:pPr>
      <w:r w:rsidRPr="00E22D88">
        <w:rPr>
          <w:rFonts w:hint="cs"/>
          <w:rtl/>
        </w:rPr>
        <w:t>"</w:t>
      </w:r>
      <w:r>
        <w:rPr>
          <w:rFonts w:hint="cs"/>
          <w:rtl/>
        </w:rPr>
        <w:t>18</w:t>
      </w:r>
      <w:r w:rsidRPr="00E22D88">
        <w:rPr>
          <w:rFonts w:hint="cs"/>
          <w:rtl/>
        </w:rPr>
        <w:t>"</w:t>
      </w:r>
      <w:r w:rsidRPr="00E22D88">
        <w:rPr>
          <w:rFonts w:hint="cs"/>
          <w:rtl/>
        </w:rPr>
        <w:tab/>
        <w:t xml:space="preserve">مسألة مشروع البيان المتفق عليه والوارد في الحاشية </w:t>
      </w:r>
      <w:r>
        <w:rPr>
          <w:rFonts w:hint="cs"/>
          <w:rtl/>
        </w:rPr>
        <w:t>1</w:t>
      </w:r>
      <w:r w:rsidRPr="00E22D88">
        <w:rPr>
          <w:rFonts w:hint="cs"/>
          <w:rtl/>
        </w:rPr>
        <w:t xml:space="preserve"> من </w:t>
      </w:r>
      <w:r>
        <w:rPr>
          <w:rFonts w:hint="cs"/>
          <w:rtl/>
        </w:rPr>
        <w:t>المادة</w:t>
      </w:r>
      <w:r>
        <w:rPr>
          <w:rtl/>
        </w:rPr>
        <w:t> </w:t>
      </w:r>
      <w:r w:rsidRPr="00E22D88">
        <w:rPr>
          <w:rFonts w:hint="cs"/>
          <w:rtl/>
        </w:rPr>
        <w:t>11 والأحكام المتعلقة بتلك المسألة؛</w:t>
      </w:r>
    </w:p>
    <w:p w:rsidR="00DB2516" w:rsidRDefault="00DB2516" w:rsidP="00036981">
      <w:pPr>
        <w:pStyle w:val="NumberedParaAR"/>
        <w:numPr>
          <w:ilvl w:val="0"/>
          <w:numId w:val="0"/>
        </w:numPr>
        <w:ind w:left="566"/>
        <w:rPr>
          <w:rtl/>
        </w:rPr>
      </w:pPr>
      <w:r w:rsidRPr="00E22D88">
        <w:rPr>
          <w:rFonts w:hint="cs"/>
          <w:rtl/>
        </w:rPr>
        <w:t>"</w:t>
      </w:r>
      <w:r>
        <w:rPr>
          <w:rFonts w:hint="cs"/>
          <w:rtl/>
        </w:rPr>
        <w:t>19</w:t>
      </w:r>
      <w:r w:rsidRPr="00E22D88">
        <w:rPr>
          <w:rFonts w:hint="cs"/>
          <w:rtl/>
        </w:rPr>
        <w:t>"</w:t>
      </w:r>
      <w:r w:rsidRPr="00E22D88">
        <w:rPr>
          <w:rFonts w:hint="cs"/>
          <w:rtl/>
        </w:rPr>
        <w:tab/>
        <w:t xml:space="preserve">مسألة ترسيخ </w:t>
      </w:r>
      <w:r>
        <w:rPr>
          <w:rFonts w:hint="cs"/>
          <w:rtl/>
        </w:rPr>
        <w:t>المادة</w:t>
      </w:r>
      <w:r>
        <w:rPr>
          <w:rtl/>
        </w:rPr>
        <w:t> </w:t>
      </w:r>
      <w:r w:rsidRPr="00E22D88">
        <w:rPr>
          <w:rFonts w:hint="cs"/>
          <w:rtl/>
        </w:rPr>
        <w:t>19(</w:t>
      </w:r>
      <w:r>
        <w:rPr>
          <w:rFonts w:hint="cs"/>
          <w:rtl/>
        </w:rPr>
        <w:t>1</w:t>
      </w:r>
      <w:r w:rsidRPr="00E22D88">
        <w:rPr>
          <w:rFonts w:hint="cs"/>
          <w:rtl/>
        </w:rPr>
        <w:t>) قائمة حصرية أم غير حصرية لأسباب الإبطال؛</w:t>
      </w:r>
    </w:p>
    <w:p w:rsidR="00DB2516" w:rsidRPr="00E22D88" w:rsidRDefault="00DB2516" w:rsidP="00036981">
      <w:pPr>
        <w:pStyle w:val="NumberedParaAR"/>
        <w:numPr>
          <w:ilvl w:val="0"/>
          <w:numId w:val="0"/>
        </w:numPr>
        <w:ind w:left="566"/>
        <w:rPr>
          <w:rtl/>
        </w:rPr>
      </w:pPr>
      <w:r w:rsidRPr="00E22D88">
        <w:rPr>
          <w:rFonts w:hint="cs"/>
          <w:rtl/>
        </w:rPr>
        <w:t>"</w:t>
      </w:r>
      <w:r>
        <w:rPr>
          <w:rFonts w:hint="cs"/>
          <w:rtl/>
        </w:rPr>
        <w:t>20</w:t>
      </w:r>
      <w:r w:rsidRPr="00E22D88">
        <w:rPr>
          <w:rFonts w:hint="cs"/>
          <w:rtl/>
        </w:rPr>
        <w:t>"</w:t>
      </w:r>
      <w:r w:rsidRPr="00E22D88">
        <w:rPr>
          <w:rFonts w:hint="cs"/>
          <w:rtl/>
        </w:rPr>
        <w:tab/>
        <w:t xml:space="preserve">مسألة إدراج </w:t>
      </w:r>
      <w:r>
        <w:rPr>
          <w:rFonts w:hint="cs"/>
          <w:rtl/>
        </w:rPr>
        <w:t>القاعدة</w:t>
      </w:r>
      <w:r>
        <w:rPr>
          <w:rtl/>
        </w:rPr>
        <w:t> </w:t>
      </w:r>
      <w:r w:rsidRPr="00E22D88">
        <w:rPr>
          <w:rFonts w:hint="cs"/>
          <w:rtl/>
        </w:rPr>
        <w:t>5(4) التي تأذن لطرف متعاقد طلب إعلان نية الانتفاع فيما يخص تسمية منشأ مسجلة</w:t>
      </w:r>
      <w:r>
        <w:rPr>
          <w:rFonts w:hint="cs"/>
          <w:rtl/>
        </w:rPr>
        <w:t xml:space="preserve"> أو</w:t>
      </w:r>
      <w:r>
        <w:rPr>
          <w:rtl/>
        </w:rPr>
        <w:t> </w:t>
      </w:r>
      <w:r w:rsidRPr="00E22D88">
        <w:rPr>
          <w:rFonts w:hint="cs"/>
          <w:rtl/>
        </w:rPr>
        <w:t>بيان جغرافي مسجل؛</w:t>
      </w:r>
    </w:p>
    <w:p w:rsidR="00DB2516" w:rsidRPr="00E22D88" w:rsidRDefault="00DB2516" w:rsidP="00036981">
      <w:pPr>
        <w:pStyle w:val="NumberedParaAR"/>
        <w:numPr>
          <w:ilvl w:val="0"/>
          <w:numId w:val="0"/>
        </w:numPr>
        <w:ind w:left="566"/>
        <w:rPr>
          <w:rtl/>
        </w:rPr>
      </w:pPr>
      <w:r w:rsidRPr="00E22D88">
        <w:rPr>
          <w:rFonts w:hint="cs"/>
          <w:rtl/>
        </w:rPr>
        <w:t>"21"</w:t>
      </w:r>
      <w:r w:rsidRPr="00E22D88">
        <w:rPr>
          <w:rFonts w:hint="cs"/>
          <w:rtl/>
        </w:rPr>
        <w:tab/>
        <w:t xml:space="preserve">مبلغ الرسوم في </w:t>
      </w:r>
      <w:r>
        <w:rPr>
          <w:rFonts w:hint="cs"/>
          <w:rtl/>
        </w:rPr>
        <w:t>القاعدة</w:t>
      </w:r>
      <w:r>
        <w:rPr>
          <w:rtl/>
        </w:rPr>
        <w:t> </w:t>
      </w:r>
      <w:r w:rsidRPr="00E22D88">
        <w:rPr>
          <w:rFonts w:hint="cs"/>
          <w:rtl/>
        </w:rPr>
        <w:t>8(1).</w:t>
      </w:r>
    </w:p>
    <w:p w:rsidR="00DB2516" w:rsidRDefault="0001412F" w:rsidP="00F07699">
      <w:pPr>
        <w:pStyle w:val="NumberedParaAR"/>
      </w:pPr>
      <w:r>
        <w:rPr>
          <w:rFonts w:hint="cs"/>
          <w:rtl/>
        </w:rPr>
        <w:t xml:space="preserve">وأوضح </w:t>
      </w:r>
      <w:r w:rsidR="00334311">
        <w:rPr>
          <w:rFonts w:hint="cs"/>
          <w:rtl/>
        </w:rPr>
        <w:t>الرئيس أن تقرير الدورة الح</w:t>
      </w:r>
      <w:r>
        <w:rPr>
          <w:rFonts w:hint="cs"/>
          <w:rtl/>
        </w:rPr>
        <w:t xml:space="preserve">الية </w:t>
      </w:r>
      <w:r w:rsidR="00334311">
        <w:rPr>
          <w:rFonts w:hint="cs"/>
          <w:rtl/>
        </w:rPr>
        <w:t>سيصف</w:t>
      </w:r>
      <w:r>
        <w:rPr>
          <w:rFonts w:hint="cs"/>
          <w:rtl/>
        </w:rPr>
        <w:t xml:space="preserve"> بشكل كامل ودقيق كيف استطاع الفريق العامل تسوية بعض القضايا العالقة بالإضافة إلى التعديلات المتفق عليها بشأن الأحكام الخاصة بسائر القضايا العالقة. وعلى ذلك الأساس، فإن الاقتراح الأساسي الذي سيرفعه المدير العام إلى المؤتمر الدبلوماسي </w:t>
      </w:r>
      <w:r w:rsidR="00F07699">
        <w:rPr>
          <w:rFonts w:hint="cs"/>
          <w:rtl/>
        </w:rPr>
        <w:t>سيعبّر</w:t>
      </w:r>
      <w:r>
        <w:rPr>
          <w:rFonts w:hint="cs"/>
          <w:rtl/>
        </w:rPr>
        <w:t xml:space="preserve"> بشكل كامل ودقيق </w:t>
      </w:r>
      <w:r w:rsidR="00F07699">
        <w:rPr>
          <w:rFonts w:hint="cs"/>
          <w:rtl/>
        </w:rPr>
        <w:t xml:space="preserve">عن </w:t>
      </w:r>
      <w:r>
        <w:rPr>
          <w:rFonts w:hint="cs"/>
          <w:rtl/>
        </w:rPr>
        <w:t xml:space="preserve">حصيلة المناقشات حول القضايا العالقة في الدورة الجارية للفريق العامل، مع ما قد يلزم من </w:t>
      </w:r>
      <w:r w:rsidR="00640A63">
        <w:rPr>
          <w:rFonts w:hint="cs"/>
          <w:rtl/>
        </w:rPr>
        <w:t>تصويبات</w:t>
      </w:r>
      <w:r>
        <w:rPr>
          <w:rFonts w:hint="cs"/>
          <w:rtl/>
        </w:rPr>
        <w:t xml:space="preserve"> تحريرية.</w:t>
      </w:r>
    </w:p>
    <w:p w:rsidR="00640A63" w:rsidRPr="00640A63" w:rsidRDefault="00640A63" w:rsidP="00C92FF4">
      <w:pPr>
        <w:pStyle w:val="NumberedParaAR"/>
        <w:ind w:left="566"/>
      </w:pPr>
      <w:r>
        <w:rPr>
          <w:rFonts w:hint="cs"/>
          <w:rtl/>
        </w:rPr>
        <w:t xml:space="preserve">وعقب مناقشة الفقرة 7 من الوثيقة </w:t>
      </w:r>
      <w:r>
        <w:t>LI/WG/DEV/10/2</w:t>
      </w:r>
      <w:r>
        <w:rPr>
          <w:rFonts w:hint="cs"/>
          <w:rtl/>
          <w:lang w:val="fr-CH"/>
        </w:rPr>
        <w:t>، خلص الرئيس إلى أن الفريق العامل قد اتفق على</w:t>
      </w:r>
      <w:r w:rsidR="00C92FF4">
        <w:rPr>
          <w:rFonts w:hint="cs"/>
          <w:rtl/>
          <w:lang w:val="fr-CH"/>
        </w:rPr>
        <w:t xml:space="preserve"> ما يلي</w:t>
      </w:r>
      <w:r>
        <w:rPr>
          <w:rFonts w:hint="cs"/>
          <w:rtl/>
          <w:lang w:val="fr-CH"/>
        </w:rPr>
        <w:t>:</w:t>
      </w:r>
    </w:p>
    <w:p w:rsidR="00640A63" w:rsidRPr="00640A63" w:rsidRDefault="008A4469" w:rsidP="00C92FF4">
      <w:pPr>
        <w:pStyle w:val="NormalParaAR"/>
        <w:ind w:left="566" w:firstLine="567"/>
      </w:pPr>
      <w:r>
        <w:rPr>
          <w:rFonts w:hint="cs"/>
          <w:rtl/>
        </w:rPr>
        <w:t>"1"</w:t>
      </w:r>
      <w:r>
        <w:rPr>
          <w:rFonts w:hint="cs"/>
          <w:rtl/>
        </w:rPr>
        <w:tab/>
      </w:r>
      <w:r w:rsidR="00640A63">
        <w:rPr>
          <w:rFonts w:hint="cs"/>
          <w:rtl/>
        </w:rPr>
        <w:t>أن يكون نصّ مشروع اتفاق لشبونة المراجع و</w:t>
      </w:r>
      <w:r w:rsidR="004A6753">
        <w:rPr>
          <w:rFonts w:hint="cs"/>
          <w:rtl/>
        </w:rPr>
        <w:t xml:space="preserve">نصّ </w:t>
      </w:r>
      <w:r w:rsidR="00640A63">
        <w:rPr>
          <w:rFonts w:hint="cs"/>
          <w:rtl/>
        </w:rPr>
        <w:t>مشروع اللائحة التنفيذية اللذ</w:t>
      </w:r>
      <w:r w:rsidR="004A6753">
        <w:rPr>
          <w:rFonts w:hint="cs"/>
          <w:rtl/>
        </w:rPr>
        <w:t>ا</w:t>
      </w:r>
      <w:r w:rsidR="00640A63">
        <w:rPr>
          <w:rFonts w:hint="cs"/>
          <w:rtl/>
        </w:rPr>
        <w:t xml:space="preserve">ن خلص إليهما عقب النظر في القضايا العالقة المبيّنة في الفقرة 5 من الوثيقة </w:t>
      </w:r>
      <w:r w:rsidR="00640A63">
        <w:t>LI/WG/DEV/10/2</w:t>
      </w:r>
      <w:r w:rsidR="00640A63">
        <w:rPr>
          <w:rFonts w:hint="cs"/>
          <w:rtl/>
          <w:lang w:val="fr-CH"/>
        </w:rPr>
        <w:t>، هما الاقتراح الأساسي لأغراض المؤتمر الدبلوماسي؛</w:t>
      </w:r>
    </w:p>
    <w:p w:rsidR="00640A63" w:rsidRDefault="008A4469" w:rsidP="00C92FF4">
      <w:pPr>
        <w:pStyle w:val="NormalParaAR"/>
        <w:ind w:left="566" w:firstLine="567"/>
      </w:pPr>
      <w:r>
        <w:rPr>
          <w:rFonts w:hint="cs"/>
          <w:rtl/>
        </w:rPr>
        <w:t>"2"</w:t>
      </w:r>
      <w:r>
        <w:rPr>
          <w:rFonts w:hint="cs"/>
          <w:rtl/>
        </w:rPr>
        <w:tab/>
      </w:r>
      <w:r w:rsidR="00640A63">
        <w:rPr>
          <w:rFonts w:hint="cs"/>
          <w:rtl/>
        </w:rPr>
        <w:t>وأن يوصي بأن تنظر جمعية اتحاد لشبونة في الحاجة إلى إجراء تعديل، في حدود الإمكان، على اللائحة التنفيذية لاتفاق لشبونة الحالي بالنظر إلى حصيلة المؤتمر الدبلوماسي.</w:t>
      </w:r>
    </w:p>
    <w:p w:rsidR="008A4469" w:rsidRDefault="008A4469" w:rsidP="00B02484">
      <w:pPr>
        <w:pStyle w:val="Heading1AR"/>
        <w:spacing w:before="480"/>
        <w:rPr>
          <w:rtl/>
        </w:rPr>
      </w:pPr>
      <w:r>
        <w:rPr>
          <w:rFonts w:hint="cs"/>
          <w:rtl/>
        </w:rPr>
        <w:t>البند 6 من جدول الأعمال: مسائل أخرى</w:t>
      </w:r>
    </w:p>
    <w:p w:rsidR="00DB2516" w:rsidRPr="00E22D88" w:rsidRDefault="008A4469" w:rsidP="008A4469">
      <w:pPr>
        <w:pStyle w:val="NumberedParaAR"/>
        <w:rPr>
          <w:rtl/>
        </w:rPr>
      </w:pPr>
      <w:r>
        <w:rPr>
          <w:rFonts w:hint="cs"/>
          <w:rtl/>
        </w:rPr>
        <w:t>ما من مداخلة تحت هذا البند.</w:t>
      </w:r>
    </w:p>
    <w:p w:rsidR="00DB2516" w:rsidRPr="00E22D88" w:rsidRDefault="008A4469" w:rsidP="00B02484">
      <w:pPr>
        <w:pStyle w:val="Heading1AR"/>
        <w:spacing w:before="480"/>
        <w:rPr>
          <w:rtl/>
        </w:rPr>
      </w:pPr>
      <w:r>
        <w:rPr>
          <w:rFonts w:hint="cs"/>
          <w:rtl/>
        </w:rPr>
        <w:t>البند 7 من جدول الأعمال: اعتماد ملخص الرئيس</w:t>
      </w:r>
    </w:p>
    <w:p w:rsidR="00314EE3" w:rsidRDefault="00632D44" w:rsidP="00632D44">
      <w:pPr>
        <w:pStyle w:val="NumberedParaAR"/>
        <w:numPr>
          <w:ilvl w:val="0"/>
          <w:numId w:val="0"/>
        </w:numPr>
        <w:ind w:left="566"/>
      </w:pPr>
      <w:r>
        <w:rPr>
          <w:rFonts w:hint="cs"/>
          <w:rtl/>
        </w:rPr>
        <w:t>[17.</w:t>
      </w:r>
      <w:r>
        <w:rPr>
          <w:rFonts w:hint="cs"/>
          <w:rtl/>
        </w:rPr>
        <w:tab/>
      </w:r>
      <w:r w:rsidR="008A4469">
        <w:rPr>
          <w:rFonts w:hint="cs"/>
          <w:rtl/>
        </w:rPr>
        <w:t>اعتمد الفريق العامل ملخص الرئيس، كما هو وارد في هذه الوثيقة.</w:t>
      </w:r>
      <w:r>
        <w:rPr>
          <w:rFonts w:hint="cs"/>
          <w:rtl/>
          <w:lang w:bidi="ar-EG"/>
        </w:rPr>
        <w:t>]</w:t>
      </w:r>
    </w:p>
    <w:p w:rsidR="00036981" w:rsidRDefault="00036981">
      <w:pPr>
        <w:rPr>
          <w:rFonts w:ascii="Arabic Typesetting" w:hAnsi="Arabic Typesetting" w:cs="Arabic Typesetting"/>
          <w:sz w:val="36"/>
          <w:szCs w:val="36"/>
          <w:rtl/>
          <w:lang w:val="fr-CH"/>
        </w:rPr>
      </w:pPr>
      <w:r>
        <w:rPr>
          <w:rtl/>
          <w:lang w:val="fr-CH"/>
        </w:rPr>
        <w:br w:type="page"/>
      </w:r>
    </w:p>
    <w:p w:rsidR="008A4469" w:rsidRPr="00E22D88" w:rsidRDefault="008A4469" w:rsidP="00061DCD">
      <w:pPr>
        <w:pStyle w:val="NumberedParaAR"/>
        <w:numPr>
          <w:ilvl w:val="0"/>
          <w:numId w:val="21"/>
        </w:numPr>
        <w:rPr>
          <w:rtl/>
        </w:rPr>
      </w:pPr>
      <w:r w:rsidRPr="00632D44">
        <w:rPr>
          <w:rFonts w:hint="cs"/>
          <w:rtl/>
          <w:lang w:val="fr-CH"/>
        </w:rPr>
        <w:lastRenderedPageBreak/>
        <w:t xml:space="preserve">سيتاح مشروع التقرير الكامل لدورة الفريق العامل على موقع الويبو كي يعلّق عليه الوفود والممثلون المشاركون في الاجتماع. </w:t>
      </w:r>
      <w:r w:rsidR="0024618E" w:rsidRPr="00632D44">
        <w:rPr>
          <w:rFonts w:hint="cs"/>
          <w:rtl/>
          <w:lang w:val="fr-CH"/>
        </w:rPr>
        <w:t xml:space="preserve">وسيخبَر المشاركون بإتاحة مشروع التقرير فور نشره على موقع الويبو. وبإمكان المشاركين تقديم تعليقاتهم في غضون شهر واحد من تاريخ نشره، ثم ستعدّ صيغة جديدة </w:t>
      </w:r>
      <w:r w:rsidR="004A6753" w:rsidRPr="00632D44">
        <w:rPr>
          <w:rFonts w:hint="cs"/>
          <w:rtl/>
          <w:lang w:val="fr-CH"/>
        </w:rPr>
        <w:t>ل</w:t>
      </w:r>
      <w:r w:rsidR="0024618E" w:rsidRPr="00632D44">
        <w:rPr>
          <w:rFonts w:hint="cs"/>
          <w:rtl/>
          <w:lang w:val="fr-CH"/>
        </w:rPr>
        <w:t xml:space="preserve">لوثيقة تبيّن التعديلات (بالشطب والتسطير) وتأخذ بجميع التعليقات المستلمة من المشاركين، وستتاح على موقع الويبو. وكذلك، سيُخبر المشاركون بإتاحة التعليقات والصيغة الجديدة كما سيخبَرون بآخر أجل لتقديم التعليقات النهائية على الصيغة الجديدة الذي أبرزت فيها التعديلات (بالشطب والتسطير). وبعد ذلك، سيعدّ التقرير الذي يأخذ بالتعليقات النهائية، إن وجدت، وسينشر على الموقع الويبو دون إبراز التعديلات، ولكن مع بيان تاريخ النشر النهائي. </w:t>
      </w:r>
      <w:r w:rsidR="00061DCD">
        <w:rPr>
          <w:rFonts w:hint="cs"/>
          <w:rtl/>
          <w:lang w:val="fr-CH"/>
        </w:rPr>
        <w:t xml:space="preserve">وفي غياب أية تعليقات في غضون أسبوعين </w:t>
      </w:r>
      <w:r w:rsidR="0024618E" w:rsidRPr="00632D44">
        <w:rPr>
          <w:rFonts w:hint="cs"/>
          <w:rtl/>
          <w:lang w:val="fr-CH"/>
        </w:rPr>
        <w:t xml:space="preserve">اعتبارا من ذلك التاريخ، </w:t>
      </w:r>
      <w:r w:rsidR="004A6753" w:rsidRPr="00632D44">
        <w:rPr>
          <w:rFonts w:hint="cs"/>
          <w:rtl/>
          <w:lang w:val="fr-CH"/>
        </w:rPr>
        <w:t>يعتبر</w:t>
      </w:r>
      <w:r w:rsidR="0024618E" w:rsidRPr="00632D44">
        <w:rPr>
          <w:rFonts w:hint="cs"/>
          <w:rtl/>
          <w:lang w:val="fr-CH"/>
        </w:rPr>
        <w:t xml:space="preserve"> التقرير معتمدا.</w:t>
      </w:r>
    </w:p>
    <w:p w:rsidR="00314EE3" w:rsidRPr="00E22D88" w:rsidRDefault="0024618E" w:rsidP="00B02484">
      <w:pPr>
        <w:pStyle w:val="Heading1AR"/>
        <w:spacing w:before="480"/>
        <w:rPr>
          <w:rtl/>
        </w:rPr>
      </w:pPr>
      <w:r>
        <w:rPr>
          <w:rFonts w:hint="cs"/>
          <w:rtl/>
        </w:rPr>
        <w:t>البند 8 من جدول الأعمال: اختتام الدورة</w:t>
      </w:r>
    </w:p>
    <w:p w:rsidR="00C124FC" w:rsidRDefault="0024618E" w:rsidP="0024618E">
      <w:pPr>
        <w:pStyle w:val="NumberedParaAR"/>
        <w:rPr>
          <w:rtl/>
        </w:rPr>
      </w:pPr>
      <w:r>
        <w:rPr>
          <w:rFonts w:hint="cs"/>
          <w:rtl/>
        </w:rPr>
        <w:t>اختتم الرئيس هذه الدورة في 31 أكتوبر 2014.</w:t>
      </w:r>
    </w:p>
    <w:p w:rsidR="00C124FC" w:rsidRDefault="00C124FC" w:rsidP="0051024E">
      <w:pPr>
        <w:pStyle w:val="NumberedParaAR"/>
        <w:numPr>
          <w:ilvl w:val="0"/>
          <w:numId w:val="0"/>
        </w:numPr>
        <w:spacing w:after="180"/>
        <w:rPr>
          <w:rtl/>
        </w:rPr>
      </w:pPr>
    </w:p>
    <w:p w:rsidR="0051024E" w:rsidRDefault="0024618E" w:rsidP="0024618E">
      <w:pPr>
        <w:pStyle w:val="EndofDocumentAR"/>
        <w:rPr>
          <w:rtl/>
        </w:rPr>
      </w:pPr>
      <w:r>
        <w:rPr>
          <w:rFonts w:hint="cs"/>
          <w:rtl/>
        </w:rPr>
        <w:t>[نهاية الوثيقة]</w:t>
      </w:r>
    </w:p>
    <w:p w:rsidR="0051024E" w:rsidRDefault="0051024E" w:rsidP="0051024E">
      <w:pPr>
        <w:pStyle w:val="NumberedParaAR"/>
        <w:numPr>
          <w:ilvl w:val="0"/>
          <w:numId w:val="0"/>
        </w:numPr>
        <w:rPr>
          <w:rtl/>
        </w:rPr>
      </w:pPr>
    </w:p>
    <w:sectPr w:rsidR="0051024E"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269" w:rsidRDefault="00A80269">
      <w:r>
        <w:separator/>
      </w:r>
    </w:p>
  </w:endnote>
  <w:endnote w:type="continuationSeparator" w:id="0">
    <w:p w:rsidR="00A80269" w:rsidRDefault="00A8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269" w:rsidRDefault="00A80269" w:rsidP="009622BF">
      <w:pPr>
        <w:bidi/>
      </w:pPr>
      <w:bookmarkStart w:id="0" w:name="OLE_LINK1"/>
      <w:bookmarkStart w:id="1" w:name="OLE_LINK2"/>
      <w:r>
        <w:separator/>
      </w:r>
      <w:bookmarkEnd w:id="0"/>
      <w:bookmarkEnd w:id="1"/>
    </w:p>
  </w:footnote>
  <w:footnote w:type="continuationSeparator" w:id="0">
    <w:p w:rsidR="00A80269" w:rsidRDefault="00A80269" w:rsidP="009622BF">
      <w:pPr>
        <w:bidi/>
      </w:pPr>
      <w:r>
        <w:separator/>
      </w:r>
    </w:p>
  </w:footnote>
  <w:footnote w:id="1">
    <w:p w:rsidR="004D55BC" w:rsidRDefault="004D55BC" w:rsidP="004D55BC">
      <w:pPr>
        <w:pStyle w:val="FootnoteText"/>
      </w:pPr>
      <w:r>
        <w:rPr>
          <w:rStyle w:val="FootnoteReference"/>
        </w:rPr>
        <w:t>*</w:t>
      </w:r>
      <w:r>
        <w:rPr>
          <w:rFonts w:hint="cs"/>
          <w:rtl/>
        </w:rPr>
        <w:tab/>
        <w:t>ستكون قائمة المشاركين متاحة في صيغتها النهائية كمرفق لتقرير الدورة.</w:t>
      </w:r>
    </w:p>
  </w:footnote>
  <w:footnote w:id="2">
    <w:p w:rsidR="00AE0490" w:rsidRDefault="00AE0490" w:rsidP="00061DCD">
      <w:pPr>
        <w:pStyle w:val="FootnoteText"/>
      </w:pPr>
      <w:r>
        <w:rPr>
          <w:rStyle w:val="FootnoteReference"/>
        </w:rPr>
        <w:footnoteRef/>
      </w:r>
      <w:r>
        <w:rPr>
          <w:rtl/>
        </w:rPr>
        <w:t xml:space="preserve"> </w:t>
      </w:r>
      <w:r w:rsidR="00F41648">
        <w:rPr>
          <w:rFonts w:hint="cs"/>
          <w:rtl/>
        </w:rPr>
        <w:tab/>
      </w:r>
      <w:r w:rsidR="00F41648">
        <w:rPr>
          <w:rFonts w:hint="cs"/>
          <w:rtl/>
          <w:lang w:val="fr-CH"/>
        </w:rPr>
        <w:t xml:space="preserve">كي يسهل التعرّف على الفقرات، لم </w:t>
      </w:r>
      <w:r w:rsidR="00CA229C">
        <w:rPr>
          <w:rFonts w:hint="cs"/>
          <w:rtl/>
          <w:lang w:val="fr-CH"/>
        </w:rPr>
        <w:t xml:space="preserve">ترقَّم </w:t>
      </w:r>
      <w:r w:rsidR="00F41648">
        <w:rPr>
          <w:rFonts w:hint="cs"/>
          <w:rtl/>
        </w:rPr>
        <w:t xml:space="preserve">القضايا هنا </w:t>
      </w:r>
      <w:r w:rsidR="00CA229C">
        <w:rPr>
          <w:rFonts w:hint="cs"/>
          <w:rtl/>
        </w:rPr>
        <w:t xml:space="preserve">حسب </w:t>
      </w:r>
      <w:r w:rsidR="00F41648">
        <w:rPr>
          <w:rFonts w:hint="cs"/>
          <w:rtl/>
        </w:rPr>
        <w:t xml:space="preserve">الترقيم الوارد في الفقرة 5 من الوثيقة </w:t>
      </w:r>
      <w:r w:rsidR="00F41648" w:rsidRPr="00F41648">
        <w:t>LI/</w:t>
      </w:r>
      <w:proofErr w:type="spellStart"/>
      <w:r w:rsidR="00F41648" w:rsidRPr="00F41648">
        <w:t>WG</w:t>
      </w:r>
      <w:proofErr w:type="spellEnd"/>
      <w:r w:rsidR="00F41648" w:rsidRPr="00F41648">
        <w:t>/DEV/10/2</w:t>
      </w:r>
      <w:r w:rsidR="00F41648">
        <w:rPr>
          <w:rFonts w:hint="cs"/>
          <w:rtl/>
        </w:rPr>
        <w:t xml:space="preserve">، بل </w:t>
      </w:r>
      <w:r w:rsidR="00CA229C">
        <w:rPr>
          <w:rFonts w:hint="cs"/>
          <w:rtl/>
        </w:rPr>
        <w:t xml:space="preserve">رقِّمت </w:t>
      </w:r>
      <w:r w:rsidR="0051024E">
        <w:rPr>
          <w:rFonts w:hint="cs"/>
          <w:rtl/>
        </w:rPr>
        <w:t xml:space="preserve">بما يطابق </w:t>
      </w:r>
      <w:r w:rsidR="00F41648">
        <w:rPr>
          <w:rFonts w:hint="cs"/>
          <w:rtl/>
        </w:rPr>
        <w:t xml:space="preserve">ترقيم المواد والقواعد كما وردت في مرفقي الوثيقتين </w:t>
      </w:r>
      <w:r w:rsidR="00F41648">
        <w:t>LI/</w:t>
      </w:r>
      <w:proofErr w:type="spellStart"/>
      <w:r w:rsidR="00F41648">
        <w:t>WG</w:t>
      </w:r>
      <w:proofErr w:type="spellEnd"/>
      <w:r w:rsidR="00F41648">
        <w:t>/DEV/10/2</w:t>
      </w:r>
      <w:r w:rsidR="00F41648">
        <w:rPr>
          <w:rFonts w:hint="cs"/>
          <w:rtl/>
        </w:rPr>
        <w:t xml:space="preserve"> و</w:t>
      </w:r>
      <w:r w:rsidR="00F41648">
        <w:t>LI/</w:t>
      </w:r>
      <w:proofErr w:type="spellStart"/>
      <w:r w:rsidR="00F41648">
        <w:t>WG</w:t>
      </w:r>
      <w:proofErr w:type="spellEnd"/>
      <w:r w:rsidR="00F41648">
        <w:t>/DEV/10/</w:t>
      </w:r>
      <w:r w:rsidR="00061DCD">
        <w:t>4</w:t>
      </w:r>
      <w:r w:rsidR="00F41648">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F04875" w:rsidP="003A5AEA">
    <w:r>
      <w:t>LI/</w:t>
    </w:r>
    <w:proofErr w:type="spellStart"/>
    <w:r>
      <w:t>WG</w:t>
    </w:r>
    <w:proofErr w:type="spellEnd"/>
    <w:r>
      <w:t>/DEV/10/6</w:t>
    </w:r>
  </w:p>
  <w:p w:rsidR="002F77FC" w:rsidRDefault="002F77FC" w:rsidP="00D61541">
    <w:r>
      <w:fldChar w:fldCharType="begin"/>
    </w:r>
    <w:r>
      <w:instrText xml:space="preserve"> PAGE  \* MERGEFORMAT </w:instrText>
    </w:r>
    <w:r>
      <w:fldChar w:fldCharType="separate"/>
    </w:r>
    <w:r w:rsidR="00662058">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68B442AC"/>
    <w:lvl w:ilvl="0" w:tplc="659C8AB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269"/>
    <w:rsid w:val="00002CBE"/>
    <w:rsid w:val="00003232"/>
    <w:rsid w:val="000033DA"/>
    <w:rsid w:val="0000579F"/>
    <w:rsid w:val="000074D1"/>
    <w:rsid w:val="000076BD"/>
    <w:rsid w:val="00010481"/>
    <w:rsid w:val="00010671"/>
    <w:rsid w:val="000112B8"/>
    <w:rsid w:val="000114E2"/>
    <w:rsid w:val="00013347"/>
    <w:rsid w:val="00013D73"/>
    <w:rsid w:val="0001412F"/>
    <w:rsid w:val="000142E1"/>
    <w:rsid w:val="000146BD"/>
    <w:rsid w:val="00014B68"/>
    <w:rsid w:val="00014F7C"/>
    <w:rsid w:val="0001645D"/>
    <w:rsid w:val="00017A43"/>
    <w:rsid w:val="0002157B"/>
    <w:rsid w:val="00023101"/>
    <w:rsid w:val="0002407C"/>
    <w:rsid w:val="0002476F"/>
    <w:rsid w:val="00024E17"/>
    <w:rsid w:val="000258DB"/>
    <w:rsid w:val="000259E5"/>
    <w:rsid w:val="00031B2C"/>
    <w:rsid w:val="00033D2C"/>
    <w:rsid w:val="00035CE8"/>
    <w:rsid w:val="00036041"/>
    <w:rsid w:val="00036981"/>
    <w:rsid w:val="000371F2"/>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BC6"/>
    <w:rsid w:val="00061DC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525"/>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BC3"/>
    <w:rsid w:val="00235C9D"/>
    <w:rsid w:val="002412D4"/>
    <w:rsid w:val="0024220D"/>
    <w:rsid w:val="00242BD3"/>
    <w:rsid w:val="00242C02"/>
    <w:rsid w:val="00243155"/>
    <w:rsid w:val="0024448D"/>
    <w:rsid w:val="0024618E"/>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A61"/>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4EE3"/>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311"/>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AEA"/>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6753"/>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5BC"/>
    <w:rsid w:val="004D6144"/>
    <w:rsid w:val="004D678F"/>
    <w:rsid w:val="004E1264"/>
    <w:rsid w:val="004E2CBC"/>
    <w:rsid w:val="004E3DD4"/>
    <w:rsid w:val="004E5C1A"/>
    <w:rsid w:val="004E6C8C"/>
    <w:rsid w:val="004E6CC7"/>
    <w:rsid w:val="004E776F"/>
    <w:rsid w:val="004F0F2A"/>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24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69D"/>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B40"/>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D44"/>
    <w:rsid w:val="0063312C"/>
    <w:rsid w:val="00633DBC"/>
    <w:rsid w:val="00634CA3"/>
    <w:rsid w:val="006351AD"/>
    <w:rsid w:val="00635A2A"/>
    <w:rsid w:val="00636A63"/>
    <w:rsid w:val="00636C79"/>
    <w:rsid w:val="00636DCB"/>
    <w:rsid w:val="00636DE3"/>
    <w:rsid w:val="00636F89"/>
    <w:rsid w:val="0063700D"/>
    <w:rsid w:val="00637470"/>
    <w:rsid w:val="00637E13"/>
    <w:rsid w:val="00640A6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058"/>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B85"/>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B86"/>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59F"/>
    <w:rsid w:val="008A1594"/>
    <w:rsid w:val="008A1757"/>
    <w:rsid w:val="008A1CE6"/>
    <w:rsid w:val="008A1F25"/>
    <w:rsid w:val="008A4469"/>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2"/>
    <w:rsid w:val="008D311C"/>
    <w:rsid w:val="008D31D2"/>
    <w:rsid w:val="008D3CC5"/>
    <w:rsid w:val="008D564A"/>
    <w:rsid w:val="008D5E47"/>
    <w:rsid w:val="008D7D8C"/>
    <w:rsid w:val="008E004E"/>
    <w:rsid w:val="008E04FB"/>
    <w:rsid w:val="008E3E79"/>
    <w:rsid w:val="008E5282"/>
    <w:rsid w:val="008E5E2C"/>
    <w:rsid w:val="008E616A"/>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C0E"/>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15A"/>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59C"/>
    <w:rsid w:val="00A76648"/>
    <w:rsid w:val="00A76DF7"/>
    <w:rsid w:val="00A77523"/>
    <w:rsid w:val="00A80269"/>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0490"/>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484"/>
    <w:rsid w:val="00B03B63"/>
    <w:rsid w:val="00B0513A"/>
    <w:rsid w:val="00B0620B"/>
    <w:rsid w:val="00B072A3"/>
    <w:rsid w:val="00B07FCD"/>
    <w:rsid w:val="00B103EC"/>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4FC"/>
    <w:rsid w:val="00C12DAD"/>
    <w:rsid w:val="00C12E17"/>
    <w:rsid w:val="00C14741"/>
    <w:rsid w:val="00C15279"/>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2FF4"/>
    <w:rsid w:val="00C9398D"/>
    <w:rsid w:val="00C939EE"/>
    <w:rsid w:val="00C93C6E"/>
    <w:rsid w:val="00C93F93"/>
    <w:rsid w:val="00C94D44"/>
    <w:rsid w:val="00C95EEE"/>
    <w:rsid w:val="00C974CB"/>
    <w:rsid w:val="00C97929"/>
    <w:rsid w:val="00CA0049"/>
    <w:rsid w:val="00CA0980"/>
    <w:rsid w:val="00CA229C"/>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516"/>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875"/>
    <w:rsid w:val="00F04E62"/>
    <w:rsid w:val="00F050AA"/>
    <w:rsid w:val="00F05E6D"/>
    <w:rsid w:val="00F07699"/>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648"/>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3B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51024E"/>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51024E"/>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WG_DEV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1051-7EB6-41E0-9AC3-189707B7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LI_WG_DEV_10.dotx</Template>
  <TotalTime>130</TotalTime>
  <Pages>5</Pages>
  <Words>1118</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AHMIDOUCH Noureddine</cp:lastModifiedBy>
  <cp:revision>39</cp:revision>
  <cp:lastPrinted>2014-11-04T07:55:00Z</cp:lastPrinted>
  <dcterms:created xsi:type="dcterms:W3CDTF">2014-10-30T08:22:00Z</dcterms:created>
  <dcterms:modified xsi:type="dcterms:W3CDTF">2014-11-04T07:56:00Z</dcterms:modified>
</cp:coreProperties>
</file>