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E90F6B" w:rsidP="00CB09AA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5B3C665A" wp14:editId="372F67FB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81647" w:rsidP="00D25B54">
            <w:pPr>
              <w:pStyle w:val="DocumentCodeAR"/>
              <w:bidi/>
              <w:rPr>
                <w:rtl/>
              </w:rPr>
            </w:pPr>
            <w:r>
              <w:t>LI/</w:t>
            </w:r>
            <w:r w:rsidR="00D25B54">
              <w:t>DC/9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A113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6A113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25B5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25B54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D25B54">
              <w:rPr>
                <w:rFonts w:hint="cs"/>
                <w:rtl/>
              </w:rPr>
              <w:t>مايو</w:t>
            </w:r>
            <w:proofErr w:type="gramEnd"/>
            <w:r w:rsidR="00D25B54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D25B54">
              <w:rPr>
                <w:rFonts w:hint="cs"/>
                <w:rtl/>
              </w:rPr>
              <w:t>5</w:t>
            </w:r>
          </w:p>
        </w:tc>
      </w:tr>
    </w:tbl>
    <w:p w:rsidR="00D25B54" w:rsidRDefault="00D25B54" w:rsidP="00D25B5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25B54" w:rsidRDefault="00D25B54" w:rsidP="00D25B5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25B54" w:rsidRDefault="00D25B54" w:rsidP="00D25B5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25B54" w:rsidRPr="00100F97" w:rsidRDefault="00D25B54" w:rsidP="00D25B54">
      <w:pPr>
        <w:pStyle w:val="MeetingTitleAR"/>
        <w:bidi/>
        <w:ind w:right="2552"/>
      </w:pPr>
      <w:r w:rsidRPr="009061DD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D25B54" w:rsidRDefault="00D25B54" w:rsidP="00D25B5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25B54" w:rsidRPr="00D61541" w:rsidRDefault="00D25B54" w:rsidP="00D25B5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11 إلى 21 مايو 2015</w:t>
      </w:r>
    </w:p>
    <w:p w:rsidR="00D25B54" w:rsidRDefault="00D25B54" w:rsidP="00D25B5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25B54" w:rsidRDefault="00D25B54" w:rsidP="00D25B5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B0F37" w:rsidP="00F2450E">
      <w:pPr>
        <w:pStyle w:val="DocumentTitleAR"/>
        <w:bidi/>
        <w:ind w:right="993"/>
        <w:rPr>
          <w:rtl/>
        </w:rPr>
      </w:pPr>
      <w:r>
        <w:rPr>
          <w:rFonts w:hint="cs"/>
          <w:rtl/>
        </w:rPr>
        <w:t>اقتراح من وفود</w:t>
      </w:r>
      <w:r w:rsidR="00326439">
        <w:rPr>
          <w:rFonts w:hint="cs"/>
          <w:rtl/>
        </w:rPr>
        <w:t xml:space="preserve"> الأرجنتين</w:t>
      </w:r>
      <w:r>
        <w:rPr>
          <w:rFonts w:hint="cs"/>
          <w:rtl/>
        </w:rPr>
        <w:t xml:space="preserve"> </w:t>
      </w:r>
      <w:r w:rsidR="00326439">
        <w:rPr>
          <w:rFonts w:hint="cs"/>
          <w:rtl/>
        </w:rPr>
        <w:t>و</w:t>
      </w:r>
      <w:r>
        <w:rPr>
          <w:rFonts w:hint="cs"/>
          <w:rtl/>
        </w:rPr>
        <w:t xml:space="preserve">أستراليا </w:t>
      </w:r>
      <w:r w:rsidR="003C26C6">
        <w:rPr>
          <w:rFonts w:hint="cs"/>
          <w:rtl/>
        </w:rPr>
        <w:t xml:space="preserve">وكندا </w:t>
      </w:r>
      <w:r>
        <w:rPr>
          <w:rFonts w:hint="cs"/>
          <w:rtl/>
        </w:rPr>
        <w:t xml:space="preserve">وشيلي </w:t>
      </w:r>
      <w:r w:rsidR="008A3488">
        <w:rPr>
          <w:rFonts w:hint="cs"/>
          <w:rtl/>
        </w:rPr>
        <w:t xml:space="preserve">واليابان </w:t>
      </w:r>
      <w:r w:rsidR="00F2450E">
        <w:rPr>
          <w:rFonts w:hint="cs"/>
          <w:rtl/>
        </w:rPr>
        <w:t xml:space="preserve">ونيوزيلندا وبنما </w:t>
      </w:r>
      <w:r>
        <w:rPr>
          <w:rFonts w:hint="cs"/>
          <w:rtl/>
        </w:rPr>
        <w:t xml:space="preserve">وجمهورية كوريا </w:t>
      </w:r>
      <w:r w:rsidR="00D25B54">
        <w:rPr>
          <w:rFonts w:hint="cs"/>
          <w:rtl/>
        </w:rPr>
        <w:t xml:space="preserve">والمملكة العربية السعودية </w:t>
      </w:r>
      <w:r>
        <w:rPr>
          <w:rFonts w:hint="cs"/>
          <w:rtl/>
        </w:rPr>
        <w:t>وسنغافورة والولايات المتحدة الأمريكية وأوروغواي</w:t>
      </w:r>
    </w:p>
    <w:p w:rsidR="00D61541" w:rsidRPr="00D61541" w:rsidRDefault="00D61541" w:rsidP="00931859">
      <w:pPr>
        <w:pStyle w:val="PreparedbyAR"/>
        <w:bidi/>
        <w:rPr>
          <w:rtl/>
        </w:rPr>
      </w:pPr>
    </w:p>
    <w:p w:rsidR="00CB0F37" w:rsidRDefault="00CB0F37" w:rsidP="00D25B54">
      <w:pPr>
        <w:pStyle w:val="NumberedParaAR"/>
      </w:pPr>
      <w:r>
        <w:rPr>
          <w:rFonts w:hint="cs"/>
          <w:rtl/>
        </w:rPr>
        <w:t>ف</w:t>
      </w:r>
      <w:r w:rsidRPr="00CB0F37">
        <w:rPr>
          <w:rtl/>
        </w:rPr>
        <w:t xml:space="preserve">ي تبليغ </w:t>
      </w:r>
      <w:r>
        <w:rPr>
          <w:rFonts w:hint="cs"/>
          <w:rtl/>
        </w:rPr>
        <w:t>مؤرخ</w:t>
      </w:r>
      <w:r w:rsidRPr="00CB0F37">
        <w:rPr>
          <w:rtl/>
        </w:rPr>
        <w:t xml:space="preserve"> </w:t>
      </w:r>
      <w:r w:rsidR="00D25B54">
        <w:rPr>
          <w:rFonts w:hint="cs"/>
          <w:rtl/>
        </w:rPr>
        <w:t>8</w:t>
      </w:r>
      <w:r w:rsidRPr="00CB0F37">
        <w:rPr>
          <w:rtl/>
        </w:rPr>
        <w:t xml:space="preserve"> </w:t>
      </w:r>
      <w:r w:rsidR="00D25B54">
        <w:rPr>
          <w:rFonts w:hint="cs"/>
          <w:rtl/>
        </w:rPr>
        <w:t xml:space="preserve">مايو </w:t>
      </w:r>
      <w:r>
        <w:rPr>
          <w:rFonts w:hint="cs"/>
          <w:rtl/>
        </w:rPr>
        <w:t>201</w:t>
      </w:r>
      <w:r w:rsidR="00D25B54">
        <w:rPr>
          <w:rFonts w:hint="cs"/>
          <w:rtl/>
        </w:rPr>
        <w:t>5</w:t>
      </w:r>
      <w:r w:rsidRPr="00CB0F37">
        <w:rPr>
          <w:rtl/>
        </w:rPr>
        <w:t>، أرسل</w:t>
      </w:r>
      <w:r>
        <w:rPr>
          <w:rFonts w:hint="cs"/>
          <w:rtl/>
        </w:rPr>
        <w:t>ت</w:t>
      </w:r>
      <w:r w:rsidRPr="00CB0F37">
        <w:rPr>
          <w:rtl/>
        </w:rPr>
        <w:t xml:space="preserve"> وف</w:t>
      </w:r>
      <w:r>
        <w:rPr>
          <w:rFonts w:hint="cs"/>
          <w:rtl/>
        </w:rPr>
        <w:t>و</w:t>
      </w:r>
      <w:r w:rsidRPr="00CB0F37">
        <w:rPr>
          <w:rtl/>
        </w:rPr>
        <w:t xml:space="preserve">د </w:t>
      </w:r>
      <w:r w:rsidR="00D25B54">
        <w:rPr>
          <w:rFonts w:hint="cs"/>
          <w:rtl/>
        </w:rPr>
        <w:t>الأرجنتين و</w:t>
      </w:r>
      <w:r w:rsidR="00326439">
        <w:rPr>
          <w:rtl/>
        </w:rPr>
        <w:t xml:space="preserve">أستراليا </w:t>
      </w:r>
      <w:r w:rsidR="00D25B54">
        <w:rPr>
          <w:rFonts w:hint="cs"/>
          <w:rtl/>
        </w:rPr>
        <w:t xml:space="preserve">وكندا </w:t>
      </w:r>
      <w:r w:rsidR="00326439">
        <w:rPr>
          <w:rtl/>
        </w:rPr>
        <w:t xml:space="preserve">وشيلي </w:t>
      </w:r>
      <w:r w:rsidR="00D25B54">
        <w:rPr>
          <w:rFonts w:hint="cs"/>
          <w:rtl/>
        </w:rPr>
        <w:t xml:space="preserve">واليابان </w:t>
      </w:r>
      <w:r>
        <w:rPr>
          <w:rtl/>
        </w:rPr>
        <w:t xml:space="preserve">ونيوزيلندا وبنما وجمهورية كوريا </w:t>
      </w:r>
      <w:r w:rsidR="00181A4E">
        <w:rPr>
          <w:rFonts w:hint="cs"/>
          <w:rtl/>
        </w:rPr>
        <w:t>والمملكة العربية السعود</w:t>
      </w:r>
      <w:r w:rsidR="00D25B54">
        <w:rPr>
          <w:rFonts w:hint="cs"/>
          <w:rtl/>
        </w:rPr>
        <w:t xml:space="preserve">ية </w:t>
      </w:r>
      <w:r>
        <w:rPr>
          <w:rtl/>
        </w:rPr>
        <w:t>وسنغافورة</w:t>
      </w:r>
      <w:r>
        <w:rPr>
          <w:rFonts w:hint="cs"/>
          <w:rtl/>
        </w:rPr>
        <w:t xml:space="preserve"> </w:t>
      </w:r>
      <w:r>
        <w:rPr>
          <w:rtl/>
        </w:rPr>
        <w:t>والولايات المتحدة الأمريكية وأوروغواي</w:t>
      </w:r>
      <w:r w:rsidRPr="00CB0F37">
        <w:rPr>
          <w:rtl/>
        </w:rPr>
        <w:t xml:space="preserve"> إلى المكتب الدولي للمنظمة العالمية للملكية الفكرية (الويبو) الاقتراح الوارد في مرفق هذه الوثيقة.</w:t>
      </w:r>
    </w:p>
    <w:p w:rsidR="006E1F93" w:rsidRPr="00CB0F37" w:rsidRDefault="00CB0F37" w:rsidP="00D25B54">
      <w:pPr>
        <w:pStyle w:val="NormalParaAR"/>
        <w:keepNext/>
        <w:rPr>
          <w:sz w:val="40"/>
          <w:szCs w:val="40"/>
          <w:rtl/>
        </w:rPr>
      </w:pPr>
      <w:proofErr w:type="gramStart"/>
      <w:r w:rsidRPr="00CB0F37">
        <w:rPr>
          <w:rFonts w:hint="cs"/>
          <w:sz w:val="40"/>
          <w:szCs w:val="40"/>
          <w:rtl/>
        </w:rPr>
        <w:t>اقتراح</w:t>
      </w:r>
      <w:proofErr w:type="gramEnd"/>
      <w:r w:rsidRPr="00CB0F37">
        <w:rPr>
          <w:rFonts w:hint="cs"/>
          <w:sz w:val="40"/>
          <w:szCs w:val="40"/>
          <w:rtl/>
        </w:rPr>
        <w:t xml:space="preserve"> لتحسين مشروع النظام الداخلي للمؤتمر الدبلوماسي</w:t>
      </w:r>
    </w:p>
    <w:p w:rsidR="002A5337" w:rsidRPr="00F2450E" w:rsidRDefault="00D85A51" w:rsidP="00F2450E">
      <w:pPr>
        <w:pStyle w:val="NumberedParaAR"/>
      </w:pPr>
      <w:r w:rsidRPr="00F2450E">
        <w:rPr>
          <w:rFonts w:hint="cs"/>
          <w:rtl/>
        </w:rPr>
        <w:t xml:space="preserve">يشار في هذا الصدد </w:t>
      </w:r>
      <w:proofErr w:type="gramStart"/>
      <w:r w:rsidR="00A23B60" w:rsidRPr="00F2450E">
        <w:rPr>
          <w:rFonts w:hint="cs"/>
          <w:rtl/>
        </w:rPr>
        <w:t>إلى</w:t>
      </w:r>
      <w:proofErr w:type="gramEnd"/>
      <w:r w:rsidR="00A23B60" w:rsidRPr="00F2450E">
        <w:rPr>
          <w:rFonts w:hint="cs"/>
          <w:rtl/>
        </w:rPr>
        <w:t xml:space="preserve"> "مشروع النظام الداخلي للمؤتمر الدبلوماسي" (الوثيقة</w:t>
      </w:r>
      <w:r w:rsidR="00A23B60" w:rsidRPr="00F2450E">
        <w:rPr>
          <w:rFonts w:hint="eastAsia"/>
          <w:rtl/>
        </w:rPr>
        <w:t> </w:t>
      </w:r>
      <w:r w:rsidR="00A23B60" w:rsidRPr="00F2450E">
        <w:t>LI/</w:t>
      </w:r>
      <w:r w:rsidRPr="00F2450E">
        <w:t>DC</w:t>
      </w:r>
      <w:r w:rsidR="00A23B60" w:rsidRPr="00F2450E">
        <w:t>/2</w:t>
      </w:r>
      <w:r w:rsidRPr="00F2450E">
        <w:t> Prov.</w:t>
      </w:r>
      <w:r w:rsidR="00A23B60" w:rsidRPr="00F2450E">
        <w:rPr>
          <w:rFonts w:hint="cs"/>
          <w:rtl/>
        </w:rPr>
        <w:t xml:space="preserve">) </w:t>
      </w:r>
      <w:r w:rsidRPr="00F2450E">
        <w:rPr>
          <w:rFonts w:hint="cs"/>
          <w:rtl/>
        </w:rPr>
        <w:t xml:space="preserve">لأغراض </w:t>
      </w:r>
      <w:r w:rsidRPr="00F2450E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  <w:r w:rsidR="00AE59F9" w:rsidRPr="00F2450E">
        <w:rPr>
          <w:rFonts w:hint="cs"/>
          <w:rtl/>
        </w:rPr>
        <w:t>.</w:t>
      </w:r>
      <w:r w:rsidRPr="00F2450E">
        <w:rPr>
          <w:rFonts w:hint="cs"/>
          <w:rtl/>
        </w:rPr>
        <w:t xml:space="preserve"> </w:t>
      </w:r>
      <w:proofErr w:type="gramStart"/>
      <w:r w:rsidRPr="00F2450E">
        <w:rPr>
          <w:rFonts w:hint="cs"/>
          <w:rtl/>
        </w:rPr>
        <w:t>وينص</w:t>
      </w:r>
      <w:proofErr w:type="gramEnd"/>
      <w:r w:rsidRPr="00F2450E">
        <w:rPr>
          <w:rFonts w:hint="cs"/>
          <w:rtl/>
        </w:rPr>
        <w:t xml:space="preserve"> مشروع النظام الداخلي في مادته 1(2) على أن تكون من اختصاصات المؤتمر، المنعقد في جلس</w:t>
      </w:r>
      <w:r w:rsidR="00A75594" w:rsidRPr="00F2450E">
        <w:rPr>
          <w:rFonts w:hint="cs"/>
          <w:rtl/>
        </w:rPr>
        <w:t>ة عامة، اعتماد النظام الداخلي وإ</w:t>
      </w:r>
      <w:r w:rsidRPr="00F2450E">
        <w:rPr>
          <w:rFonts w:hint="cs"/>
          <w:rtl/>
        </w:rPr>
        <w:t xml:space="preserve">دخال أي تعديل عليه. وبالإضافة إلى ذلك، يعرّف مشروع النظام الداخلي (المادة 2) </w:t>
      </w:r>
      <w:r w:rsidR="00F2450E" w:rsidRPr="00F2450E">
        <w:rPr>
          <w:rFonts w:hint="cs"/>
          <w:rtl/>
        </w:rPr>
        <w:t xml:space="preserve">المؤتمر </w:t>
      </w:r>
      <w:r w:rsidRPr="00F2450E">
        <w:rPr>
          <w:rFonts w:hint="cs"/>
          <w:rtl/>
        </w:rPr>
        <w:t xml:space="preserve">على أنه يتكون من أعضاء لشبونة والمكتب الأفريقي للملكية الفكرية والاتحاد الأوروبي والأعضاء في الويبو والأعضاء في الأمم المتحدة غير الأعضاء في الويبو وغيرها من المدعوين إلى </w:t>
      </w:r>
      <w:r w:rsidR="00C8685A" w:rsidRPr="00F2450E">
        <w:rPr>
          <w:rFonts w:hint="cs"/>
          <w:rtl/>
        </w:rPr>
        <w:t xml:space="preserve">الحضور بصفة مراقب. </w:t>
      </w:r>
      <w:proofErr w:type="gramStart"/>
      <w:r w:rsidR="00F2450E" w:rsidRPr="00F2450E">
        <w:rPr>
          <w:rFonts w:hint="cs"/>
          <w:rtl/>
        </w:rPr>
        <w:t>وتنص</w:t>
      </w:r>
      <w:proofErr w:type="gramEnd"/>
      <w:r w:rsidR="00F2450E" w:rsidRPr="00F2450E">
        <w:rPr>
          <w:rFonts w:hint="cs"/>
          <w:rtl/>
        </w:rPr>
        <w:t xml:space="preserve"> </w:t>
      </w:r>
      <w:r w:rsidR="00C8685A" w:rsidRPr="00F2450E">
        <w:rPr>
          <w:rFonts w:hint="cs"/>
          <w:rtl/>
        </w:rPr>
        <w:t xml:space="preserve">المادة 29 </w:t>
      </w:r>
      <w:r w:rsidR="00F2450E" w:rsidRPr="00F2450E">
        <w:rPr>
          <w:rFonts w:hint="cs"/>
          <w:rtl/>
        </w:rPr>
        <w:t>على أنه يجوز ل</w:t>
      </w:r>
      <w:r w:rsidR="00C8685A" w:rsidRPr="00F2450E">
        <w:rPr>
          <w:rFonts w:hint="cs"/>
          <w:rtl/>
        </w:rPr>
        <w:t xml:space="preserve">لوفود الأعضاء </w:t>
      </w:r>
      <w:r w:rsidR="00C8685A" w:rsidRPr="00F2450E">
        <w:rPr>
          <w:rtl/>
        </w:rPr>
        <w:t xml:space="preserve">أن </w:t>
      </w:r>
      <w:r w:rsidR="00C8685A" w:rsidRPr="00F2450E">
        <w:rPr>
          <w:rFonts w:hint="cs"/>
          <w:rtl/>
        </w:rPr>
        <w:t>ت</w:t>
      </w:r>
      <w:r w:rsidR="00C8685A" w:rsidRPr="00F2450E">
        <w:rPr>
          <w:rtl/>
        </w:rPr>
        <w:t>قترح تعديل الاقتراح الأساسي</w:t>
      </w:r>
      <w:r w:rsidR="00C8685A" w:rsidRPr="00F2450E">
        <w:rPr>
          <w:rFonts w:hint="cs"/>
          <w:rtl/>
        </w:rPr>
        <w:t xml:space="preserve">، بيد أن مشروع النظام الداخلي صامت إزاء من يقترح التعديلات على النظام الداخلي. وعليه، </w:t>
      </w:r>
      <w:proofErr w:type="gramStart"/>
      <w:r w:rsidR="00C8685A" w:rsidRPr="00F2450E">
        <w:rPr>
          <w:rFonts w:hint="cs"/>
          <w:rtl/>
        </w:rPr>
        <w:t>فإنه</w:t>
      </w:r>
      <w:proofErr w:type="gramEnd"/>
      <w:r w:rsidR="00C8685A" w:rsidRPr="00F2450E">
        <w:rPr>
          <w:rFonts w:hint="cs"/>
          <w:rtl/>
        </w:rPr>
        <w:t xml:space="preserve"> يجوز لجميع المشاركين اقتراح تعديلات على مشروع النظام الداخلي. وتؤكّد المادة 46 أنه يجوز للوفود المراقبة وللمراقين حضور الجلسات العامة للمؤتمر. وأخيرا، تنص المادة 34(1) على أن </w:t>
      </w:r>
      <w:r w:rsidR="00C8685A" w:rsidRPr="00F2450E">
        <w:rPr>
          <w:rtl/>
        </w:rPr>
        <w:t xml:space="preserve">كل قرارات الهيئات كافة </w:t>
      </w:r>
      <w:r w:rsidR="00C8685A" w:rsidRPr="00F2450E">
        <w:rPr>
          <w:rFonts w:hint="cs"/>
          <w:rtl/>
        </w:rPr>
        <w:t xml:space="preserve">تتّخذ </w:t>
      </w:r>
      <w:r w:rsidR="00C8685A" w:rsidRPr="00F2450E">
        <w:rPr>
          <w:rtl/>
        </w:rPr>
        <w:t>بالاتفاق العام كلما أمكن ذلك</w:t>
      </w:r>
      <w:r w:rsidR="00C8685A" w:rsidRPr="00F2450E">
        <w:rPr>
          <w:rFonts w:hint="cs"/>
          <w:rtl/>
        </w:rPr>
        <w:t>.</w:t>
      </w:r>
      <w:r w:rsidR="00A75594" w:rsidRPr="00F2450E">
        <w:rPr>
          <w:rFonts w:hint="cs"/>
          <w:rtl/>
        </w:rPr>
        <w:t xml:space="preserve"> </w:t>
      </w:r>
      <w:proofErr w:type="gramStart"/>
      <w:r w:rsidR="00A75594" w:rsidRPr="00F2450E">
        <w:rPr>
          <w:rFonts w:hint="cs"/>
          <w:rtl/>
        </w:rPr>
        <w:t>وإ</w:t>
      </w:r>
      <w:r w:rsidR="00585091" w:rsidRPr="00F2450E">
        <w:rPr>
          <w:rFonts w:hint="cs"/>
          <w:rtl/>
        </w:rPr>
        <w:t>ننا</w:t>
      </w:r>
      <w:proofErr w:type="gramEnd"/>
      <w:r w:rsidR="00585091" w:rsidRPr="00F2450E">
        <w:rPr>
          <w:rFonts w:hint="cs"/>
          <w:rtl/>
        </w:rPr>
        <w:t xml:space="preserve"> نعتقد أن هذا التعديل المقترح إدخاله على مشروع النظام الداخلي من شأنه أن يحقّق </w:t>
      </w:r>
      <w:r w:rsidR="002A5337" w:rsidRPr="00F2450E">
        <w:rPr>
          <w:rFonts w:hint="cs"/>
          <w:rtl/>
        </w:rPr>
        <w:t xml:space="preserve">إجراء </w:t>
      </w:r>
      <w:r w:rsidR="00585091" w:rsidRPr="00F2450E">
        <w:rPr>
          <w:rFonts w:hint="cs"/>
          <w:rtl/>
        </w:rPr>
        <w:t>الموافقة بتوافق الآراء في هذا المؤتمر.</w:t>
      </w:r>
    </w:p>
    <w:p w:rsidR="00F00264" w:rsidRDefault="002A5337" w:rsidP="009C2CA3">
      <w:pPr>
        <w:pStyle w:val="NumberedParaAR"/>
      </w:pPr>
      <w:proofErr w:type="gramStart"/>
      <w:r>
        <w:rPr>
          <w:rFonts w:hint="cs"/>
          <w:rtl/>
        </w:rPr>
        <w:lastRenderedPageBreak/>
        <w:t>وكما</w:t>
      </w:r>
      <w:proofErr w:type="gramEnd"/>
      <w:r>
        <w:rPr>
          <w:rFonts w:hint="cs"/>
          <w:rtl/>
        </w:rPr>
        <w:t xml:space="preserve"> هو سبق شرحه في الوثيقة </w:t>
      </w:r>
      <w:r>
        <w:t>LI/R/PM/5/Rev.3</w:t>
      </w:r>
      <w:r>
        <w:rPr>
          <w:rFonts w:hint="cs"/>
          <w:rtl/>
          <w:lang w:val="fr-CH"/>
        </w:rPr>
        <w:t xml:space="preserve">، وتمت مناقشته في اللجنة التحضيرية للمؤتمر، تتيح </w:t>
      </w:r>
      <w:r w:rsidR="00AE59F9">
        <w:rPr>
          <w:rFonts w:hint="cs"/>
          <w:rtl/>
        </w:rPr>
        <w:t xml:space="preserve">مؤتمرات الويبو الدبلوماسية لكل الدول الأعضاء عادة إمكانية المشاركة الكاملة والتصويت فيها. </w:t>
      </w:r>
      <w:proofErr w:type="gramStart"/>
      <w:r w:rsidR="00AE59F9">
        <w:rPr>
          <w:rFonts w:hint="cs"/>
          <w:rtl/>
        </w:rPr>
        <w:t>غير</w:t>
      </w:r>
      <w:proofErr w:type="gramEnd"/>
      <w:r w:rsidR="00AE59F9">
        <w:rPr>
          <w:rFonts w:hint="cs"/>
          <w:rtl/>
        </w:rPr>
        <w:t xml:space="preserve"> أن المشروع </w:t>
      </w:r>
      <w:r>
        <w:rPr>
          <w:rFonts w:hint="cs"/>
          <w:rtl/>
        </w:rPr>
        <w:t xml:space="preserve">الحالي </w:t>
      </w:r>
      <w:r w:rsidR="00AE59F9">
        <w:rPr>
          <w:rFonts w:hint="cs"/>
          <w:rtl/>
        </w:rPr>
        <w:t>الوارد في الوثيقة</w:t>
      </w:r>
      <w:r w:rsidR="00AE59F9">
        <w:rPr>
          <w:rFonts w:hint="eastAsia"/>
          <w:rtl/>
        </w:rPr>
        <w:t> </w:t>
      </w:r>
      <w:r w:rsidR="00AE59F9" w:rsidRPr="00AE59F9">
        <w:t>LI/</w:t>
      </w:r>
      <w:r>
        <w:t>DC</w:t>
      </w:r>
      <w:r w:rsidR="00AE59F9" w:rsidRPr="00AE59F9">
        <w:t>/2</w:t>
      </w:r>
      <w:r>
        <w:t> Prov.</w:t>
      </w:r>
      <w:r w:rsidR="00AE59F9">
        <w:rPr>
          <w:rFonts w:hint="cs"/>
          <w:rtl/>
        </w:rPr>
        <w:t xml:space="preserve"> ي</w:t>
      </w:r>
      <w:r w:rsidR="00C12370">
        <w:rPr>
          <w:rFonts w:hint="cs"/>
          <w:rtl/>
        </w:rPr>
        <w:t>حصر حق المشاركة الكاملة وحق التصويت على الأعضاء الحاليين في نظام لشبونة</w:t>
      </w:r>
      <w:r w:rsidR="00AD5BEE">
        <w:rPr>
          <w:rFonts w:hint="cs"/>
          <w:rtl/>
        </w:rPr>
        <w:t xml:space="preserve"> فقط، في حين أنه يتيح لغير الأعضاء في الويبو التمتع بحقوق في التفاوض أكثر مما </w:t>
      </w:r>
      <w:proofErr w:type="spellStart"/>
      <w:r w:rsidR="00AD5BEE">
        <w:rPr>
          <w:rFonts w:hint="cs"/>
          <w:rtl/>
        </w:rPr>
        <w:t>يتيحه</w:t>
      </w:r>
      <w:proofErr w:type="spellEnd"/>
      <w:r w:rsidR="00AD5BEE">
        <w:rPr>
          <w:rFonts w:hint="cs"/>
          <w:rtl/>
        </w:rPr>
        <w:t xml:space="preserve"> لأعضاء الويبو غير الأعضاء في لشبونة</w:t>
      </w:r>
      <w:r w:rsidR="00C12370">
        <w:rPr>
          <w:rFonts w:hint="cs"/>
          <w:rtl/>
        </w:rPr>
        <w:t xml:space="preserve">. </w:t>
      </w:r>
      <w:r w:rsidR="00AD5BEE">
        <w:rPr>
          <w:rFonts w:hint="cs"/>
          <w:rtl/>
        </w:rPr>
        <w:t xml:space="preserve">وعلى مرّ العشرين سنة الماضية، كانت مؤتمرات الويبو الدبلوماسية، بما فيها مؤتمر دبلوماسي لاعتماد وثيقة جديدة لمعاهدة قائمة (هي اتفاق لاهاي)، تكفل لجميع أعضاء الويبو المشاركة المتساوية (انظر </w:t>
      </w:r>
      <w:r w:rsidR="00C12370">
        <w:rPr>
          <w:rFonts w:hint="cs"/>
          <w:rtl/>
        </w:rPr>
        <w:t xml:space="preserve">المرفق </w:t>
      </w:r>
      <w:r w:rsidR="009C2CA3">
        <w:rPr>
          <w:rFonts w:hint="cs"/>
          <w:rtl/>
        </w:rPr>
        <w:t>لمقتطفات</w:t>
      </w:r>
      <w:r w:rsidR="00C12370">
        <w:rPr>
          <w:rFonts w:hint="cs"/>
          <w:rtl/>
        </w:rPr>
        <w:t xml:space="preserve"> </w:t>
      </w:r>
      <w:r w:rsidR="00AD5BEE">
        <w:rPr>
          <w:rFonts w:hint="cs"/>
          <w:rtl/>
        </w:rPr>
        <w:t xml:space="preserve">من أربعة </w:t>
      </w:r>
      <w:r w:rsidR="00C12370">
        <w:rPr>
          <w:rFonts w:hint="cs"/>
          <w:rtl/>
        </w:rPr>
        <w:t>مؤتمرات دبلوماسية سابقة</w:t>
      </w:r>
      <w:r w:rsidR="00AD5BEE">
        <w:rPr>
          <w:rFonts w:hint="cs"/>
          <w:rtl/>
        </w:rPr>
        <w:t>)</w:t>
      </w:r>
      <w:r w:rsidR="00C12370">
        <w:rPr>
          <w:rFonts w:hint="cs"/>
          <w:rtl/>
        </w:rPr>
        <w:t>.</w:t>
      </w:r>
    </w:p>
    <w:p w:rsidR="00C12370" w:rsidRDefault="00C12370" w:rsidP="00F00264">
      <w:pPr>
        <w:pStyle w:val="NumberedParaAR"/>
        <w:rPr>
          <w:rtl/>
        </w:rPr>
      </w:pPr>
      <w:r>
        <w:rPr>
          <w:rFonts w:hint="cs"/>
          <w:rtl/>
        </w:rPr>
        <w:t xml:space="preserve">ولتمكين مشاركة كل أعضاء الويبو مشاركة كاملة وعلى قدم المساواة، </w:t>
      </w:r>
      <w:r w:rsidR="00F00264">
        <w:rPr>
          <w:rFonts w:hint="cs"/>
          <w:rtl/>
        </w:rPr>
        <w:t xml:space="preserve">لا نزال </w:t>
      </w:r>
      <w:r>
        <w:rPr>
          <w:rFonts w:hint="cs"/>
          <w:rtl/>
        </w:rPr>
        <w:t>نقترح مراجعة الوثيقة</w:t>
      </w:r>
      <w:r>
        <w:rPr>
          <w:rFonts w:hint="eastAsia"/>
          <w:rtl/>
        </w:rPr>
        <w:t> </w:t>
      </w:r>
      <w:r w:rsidRPr="00C12370">
        <w:t>LI/</w:t>
      </w:r>
      <w:r w:rsidR="00F00264">
        <w:t>DC</w:t>
      </w:r>
      <w:r w:rsidRPr="00C12370">
        <w:t>/2</w:t>
      </w:r>
      <w:r w:rsidR="00F00264">
        <w:t> Prov.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كما</w:t>
      </w:r>
      <w:proofErr w:type="gramEnd"/>
      <w:r>
        <w:rPr>
          <w:rFonts w:hint="cs"/>
          <w:rtl/>
        </w:rPr>
        <w:t xml:space="preserve"> يلي:</w:t>
      </w:r>
    </w:p>
    <w:p w:rsidR="00D672CC" w:rsidRPr="00D672CC" w:rsidRDefault="00D672CC" w:rsidP="00D672CC">
      <w:pPr>
        <w:pStyle w:val="NormalParaAR"/>
        <w:keepNext/>
        <w:rPr>
          <w:sz w:val="40"/>
          <w:szCs w:val="40"/>
          <w:rtl/>
        </w:rPr>
      </w:pPr>
      <w:proofErr w:type="gramStart"/>
      <w:r w:rsidRPr="00D672CC">
        <w:rPr>
          <w:rFonts w:hint="cs"/>
          <w:sz w:val="40"/>
          <w:szCs w:val="40"/>
          <w:rtl/>
        </w:rPr>
        <w:t>مشروع</w:t>
      </w:r>
      <w:proofErr w:type="gramEnd"/>
      <w:r w:rsidRPr="00D672CC">
        <w:rPr>
          <w:rFonts w:hint="cs"/>
          <w:sz w:val="40"/>
          <w:szCs w:val="40"/>
          <w:rtl/>
        </w:rPr>
        <w:t xml:space="preserve"> النظام الداخلي للمؤتمر الدبلوماسي</w:t>
      </w:r>
    </w:p>
    <w:p w:rsidR="0085180E" w:rsidRDefault="0085180E" w:rsidP="0085180E">
      <w:pPr>
        <w:pStyle w:val="NormalParaAR"/>
        <w:keepNext/>
        <w:spacing w:before="240"/>
        <w:rPr>
          <w:rtl/>
        </w:rPr>
      </w:pPr>
      <w:r w:rsidRPr="009D7C29">
        <w:rPr>
          <w:u w:val="single"/>
          <w:rtl/>
        </w:rPr>
        <w:t>المادة</w:t>
      </w:r>
      <w:r>
        <w:rPr>
          <w:rFonts w:hint="cs"/>
          <w:u w:val="single"/>
          <w:rtl/>
        </w:rPr>
        <w:t> </w:t>
      </w:r>
      <w:r w:rsidRPr="009D7C29">
        <w:rPr>
          <w:u w:val="single"/>
          <w:rtl/>
        </w:rPr>
        <w:t>2</w:t>
      </w:r>
      <w:r>
        <w:rPr>
          <w:rtl/>
        </w:rPr>
        <w:t>:</w:t>
      </w:r>
      <w:r>
        <w:rPr>
          <w:rtl/>
        </w:rPr>
        <w:tab/>
      </w:r>
      <w:proofErr w:type="gramStart"/>
      <w:r w:rsidRPr="009D7C29">
        <w:rPr>
          <w:u w:val="single"/>
          <w:rtl/>
        </w:rPr>
        <w:t>تكوين</w:t>
      </w:r>
      <w:proofErr w:type="gramEnd"/>
      <w:r w:rsidRPr="009D7C29">
        <w:rPr>
          <w:u w:val="single"/>
          <w:rtl/>
        </w:rPr>
        <w:t xml:space="preserve"> المؤتمر</w:t>
      </w:r>
    </w:p>
    <w:p w:rsidR="0085180E" w:rsidRDefault="0085180E" w:rsidP="0085180E">
      <w:pPr>
        <w:pStyle w:val="NormalParaAR"/>
        <w:rPr>
          <w:rtl/>
        </w:rPr>
      </w:pPr>
      <w:r>
        <w:rPr>
          <w:rtl/>
        </w:rPr>
        <w:t>(1)</w:t>
      </w:r>
      <w:r>
        <w:rPr>
          <w:rtl/>
        </w:rPr>
        <w:tab/>
        <w:t>يتكون المؤتمر مما يأتي:</w:t>
      </w:r>
    </w:p>
    <w:p w:rsidR="0085180E" w:rsidRDefault="0085180E" w:rsidP="00AE16FD">
      <w:pPr>
        <w:pStyle w:val="NormalParaAR"/>
        <w:ind w:firstLine="555"/>
        <w:rPr>
          <w:rtl/>
        </w:rPr>
      </w:pPr>
      <w:r>
        <w:rPr>
          <w:rtl/>
        </w:rPr>
        <w:t>"1"</w:t>
      </w:r>
      <w:r>
        <w:rPr>
          <w:rtl/>
        </w:rPr>
        <w:tab/>
        <w:t xml:space="preserve">وفود الدول </w:t>
      </w:r>
      <w:proofErr w:type="gramStart"/>
      <w:r>
        <w:rPr>
          <w:rtl/>
        </w:rPr>
        <w:t>الأعضاء</w:t>
      </w:r>
      <w:proofErr w:type="gramEnd"/>
      <w:r>
        <w:rPr>
          <w:rtl/>
        </w:rPr>
        <w:t xml:space="preserve"> في</w:t>
      </w:r>
      <w:r>
        <w:rPr>
          <w:rFonts w:hint="cs"/>
          <w:rtl/>
        </w:rPr>
        <w:t xml:space="preserve"> </w:t>
      </w:r>
      <w:r w:rsidRPr="00AE16FD">
        <w:rPr>
          <w:rFonts w:hint="cs"/>
          <w:rtl/>
        </w:rPr>
        <w:t>المنظمة العالمية للملكية الفكرية</w:t>
      </w:r>
      <w:r w:rsidR="00780B4A">
        <w:rPr>
          <w:rFonts w:hint="cs"/>
          <w:color w:val="0000FF"/>
          <w:rtl/>
        </w:rPr>
        <w:t xml:space="preserve"> </w:t>
      </w:r>
      <w:r>
        <w:rPr>
          <w:rtl/>
        </w:rPr>
        <w:t xml:space="preserve">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بعبارة "الوفود الأعضاء")،</w:t>
      </w:r>
    </w:p>
    <w:p w:rsidR="0085180E" w:rsidRDefault="0085180E" w:rsidP="0085180E">
      <w:pPr>
        <w:pStyle w:val="NormalParaAR"/>
        <w:ind w:firstLine="555"/>
        <w:rPr>
          <w:rtl/>
        </w:rPr>
      </w:pPr>
      <w:r>
        <w:rPr>
          <w:rtl/>
        </w:rPr>
        <w:t>"2"</w:t>
      </w:r>
      <w:r>
        <w:rPr>
          <w:rtl/>
        </w:rPr>
        <w:tab/>
        <w:t>ووف</w:t>
      </w:r>
      <w:r>
        <w:rPr>
          <w:rFonts w:hint="cs"/>
          <w:rtl/>
        </w:rPr>
        <w:t>و</w:t>
      </w:r>
      <w:r>
        <w:rPr>
          <w:rtl/>
        </w:rPr>
        <w:t xml:space="preserve">د </w:t>
      </w:r>
      <w:r>
        <w:rPr>
          <w:rFonts w:hint="cs"/>
          <w:rtl/>
        </w:rPr>
        <w:t xml:space="preserve">المنظمة الأفريقية للملكية الفكرية </w:t>
      </w:r>
      <w:proofErr w:type="gramStart"/>
      <w:r>
        <w:rPr>
          <w:rFonts w:hint="cs"/>
          <w:rtl/>
        </w:rPr>
        <w:t>والاتحاد</w:t>
      </w:r>
      <w:proofErr w:type="gramEnd"/>
      <w:r>
        <w:rPr>
          <w:rtl/>
        </w:rPr>
        <w:t xml:space="preserve"> الأوروبي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بعبارة "الوف</w:t>
      </w:r>
      <w:r>
        <w:rPr>
          <w:rFonts w:hint="cs"/>
          <w:rtl/>
        </w:rPr>
        <w:t>و</w:t>
      </w:r>
      <w:r>
        <w:rPr>
          <w:rtl/>
        </w:rPr>
        <w:t>د الخاص</w:t>
      </w:r>
      <w:r>
        <w:rPr>
          <w:rFonts w:hint="cs"/>
          <w:rtl/>
        </w:rPr>
        <w:t>ة</w:t>
      </w:r>
      <w:r>
        <w:rPr>
          <w:rtl/>
        </w:rPr>
        <w:t>")،</w:t>
      </w:r>
    </w:p>
    <w:p w:rsidR="0085180E" w:rsidRDefault="0085180E" w:rsidP="00AE16FD">
      <w:pPr>
        <w:pStyle w:val="NormalParaAR"/>
        <w:ind w:firstLine="555"/>
        <w:rPr>
          <w:rtl/>
        </w:rPr>
      </w:pPr>
      <w:r>
        <w:rPr>
          <w:rtl/>
        </w:rPr>
        <w:t>"3"</w:t>
      </w:r>
      <w:r>
        <w:rPr>
          <w:rtl/>
        </w:rPr>
        <w:tab/>
      </w:r>
      <w:proofErr w:type="gramStart"/>
      <w:r>
        <w:rPr>
          <w:rFonts w:hint="cs"/>
          <w:rtl/>
        </w:rPr>
        <w:t>ووفود</w:t>
      </w:r>
      <w:proofErr w:type="gramEnd"/>
      <w:r>
        <w:rPr>
          <w:rFonts w:hint="cs"/>
          <w:rtl/>
        </w:rPr>
        <w:t xml:space="preserve"> الدول الأعضاء في</w:t>
      </w:r>
      <w:r>
        <w:rPr>
          <w:rtl/>
        </w:rPr>
        <w:t xml:space="preserve"> الأمم المتحدة </w:t>
      </w:r>
      <w:r>
        <w:rPr>
          <w:rFonts w:hint="cs"/>
          <w:rtl/>
        </w:rPr>
        <w:t>غير</w:t>
      </w:r>
      <w:r>
        <w:rPr>
          <w:rtl/>
        </w:rPr>
        <w:t xml:space="preserve"> الأعضاء في المنظمة العالمية للملكية الفكرية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بعبارة "الوفود المراقبة").</w:t>
      </w:r>
    </w:p>
    <w:p w:rsidR="0085180E" w:rsidRDefault="0085180E" w:rsidP="0085180E">
      <w:pPr>
        <w:pStyle w:val="NormalParaAR"/>
        <w:ind w:firstLine="555"/>
        <w:rPr>
          <w:rtl/>
        </w:rPr>
      </w:pPr>
      <w:r>
        <w:rPr>
          <w:rtl/>
        </w:rPr>
        <w:t>"4"</w:t>
      </w:r>
      <w:r>
        <w:rPr>
          <w:rtl/>
        </w:rPr>
        <w:tab/>
      </w:r>
      <w:proofErr w:type="gramStart"/>
      <w:r>
        <w:rPr>
          <w:rtl/>
        </w:rPr>
        <w:t>وممثلو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المنظمات </w:t>
      </w:r>
      <w:r>
        <w:rPr>
          <w:rtl/>
        </w:rPr>
        <w:t xml:space="preserve">الحكومية الدولية </w:t>
      </w:r>
      <w:r>
        <w:rPr>
          <w:rFonts w:hint="cs"/>
          <w:rtl/>
        </w:rPr>
        <w:t xml:space="preserve">والمنظمات </w:t>
      </w:r>
      <w:r>
        <w:rPr>
          <w:rtl/>
        </w:rPr>
        <w:t xml:space="preserve">غير الحكومية </w:t>
      </w:r>
      <w:r>
        <w:rPr>
          <w:rFonts w:hint="cs"/>
          <w:rtl/>
        </w:rPr>
        <w:t>وغيرها من المدعوّين إلى</w:t>
      </w:r>
      <w:r>
        <w:rPr>
          <w:rtl/>
        </w:rPr>
        <w:t xml:space="preserve"> المؤتمر بصفة مراقب (والمشار </w:t>
      </w:r>
      <w:r>
        <w:rPr>
          <w:rFonts w:hint="cs"/>
          <w:rtl/>
        </w:rPr>
        <w:t>إليها</w:t>
      </w:r>
      <w:r>
        <w:rPr>
          <w:rtl/>
        </w:rPr>
        <w:t xml:space="preserve"> فيما بعد </w:t>
      </w:r>
      <w:r>
        <w:rPr>
          <w:rFonts w:hint="cs"/>
          <w:rtl/>
        </w:rPr>
        <w:t>بمصطلح</w:t>
      </w:r>
      <w:r>
        <w:rPr>
          <w:rtl/>
        </w:rPr>
        <w:t xml:space="preserve"> "</w:t>
      </w:r>
      <w:r>
        <w:rPr>
          <w:rFonts w:hint="cs"/>
          <w:rtl/>
        </w:rPr>
        <w:t>المراقبون</w:t>
      </w:r>
      <w:r>
        <w:rPr>
          <w:rtl/>
        </w:rPr>
        <w:t>").</w:t>
      </w:r>
    </w:p>
    <w:p w:rsidR="0085180E" w:rsidRDefault="0085180E" w:rsidP="0085180E">
      <w:pPr>
        <w:pStyle w:val="NormalParaAR"/>
        <w:rPr>
          <w:rtl/>
        </w:rPr>
      </w:pPr>
      <w:r>
        <w:rPr>
          <w:rtl/>
        </w:rPr>
        <w:t>(2)</w:t>
      </w:r>
      <w:r>
        <w:rPr>
          <w:rtl/>
        </w:rPr>
        <w:tab/>
      </w:r>
      <w:proofErr w:type="gramStart"/>
      <w:r>
        <w:rPr>
          <w:rtl/>
        </w:rPr>
        <w:t>تعتبر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الإشارة</w:t>
      </w:r>
      <w:r>
        <w:rPr>
          <w:rtl/>
        </w:rPr>
        <w:t xml:space="preserve"> في هذا النظام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 w:rsidR="000432E7">
        <w:rPr>
          <w:rFonts w:hint="cs"/>
          <w:rtl/>
        </w:rPr>
        <w:t>"</w:t>
      </w:r>
      <w:r>
        <w:rPr>
          <w:rtl/>
        </w:rPr>
        <w:t>الوفود الأعضاء</w:t>
      </w:r>
      <w:r w:rsidR="000432E7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إشارة</w:t>
      </w:r>
      <w:r w:rsidR="0041490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الوف</w:t>
      </w:r>
      <w:r>
        <w:rPr>
          <w:rFonts w:hint="cs"/>
          <w:rtl/>
        </w:rPr>
        <w:t>و</w:t>
      </w:r>
      <w:r>
        <w:rPr>
          <w:rtl/>
        </w:rPr>
        <w:t>د الخاص</w:t>
      </w:r>
      <w:r>
        <w:rPr>
          <w:rFonts w:hint="cs"/>
          <w:rtl/>
        </w:rPr>
        <w:t>ة</w:t>
      </w:r>
      <w:r>
        <w:rPr>
          <w:rtl/>
        </w:rPr>
        <w:t xml:space="preserve"> أيضا</w:t>
      </w:r>
      <w:r>
        <w:rPr>
          <w:rFonts w:hint="cs"/>
          <w:rtl/>
        </w:rPr>
        <w:t>ً</w:t>
      </w:r>
      <w:r>
        <w:rPr>
          <w:rtl/>
        </w:rPr>
        <w:t xml:space="preserve"> ما لم يتم النص على خلاف ذلك (</w:t>
      </w:r>
      <w:r>
        <w:rPr>
          <w:rFonts w:hint="cs"/>
          <w:rtl/>
        </w:rPr>
        <w:t>انظر</w:t>
      </w:r>
      <w:r>
        <w:rPr>
          <w:rtl/>
        </w:rPr>
        <w:t xml:space="preserve"> المواد</w:t>
      </w:r>
      <w:r>
        <w:rPr>
          <w:rFonts w:hint="cs"/>
          <w:rtl/>
        </w:rPr>
        <w:t> </w:t>
      </w:r>
      <w:r>
        <w:rPr>
          <w:rtl/>
        </w:rPr>
        <w:t>11(2) و33 و34).</w:t>
      </w:r>
    </w:p>
    <w:p w:rsidR="00C12370" w:rsidRDefault="0085180E" w:rsidP="0041490A">
      <w:pPr>
        <w:pStyle w:val="NormalParaAR"/>
        <w:rPr>
          <w:rtl/>
        </w:rPr>
      </w:pPr>
      <w:r>
        <w:rPr>
          <w:rtl/>
        </w:rPr>
        <w:t>(3)</w:t>
      </w:r>
      <w:r>
        <w:rPr>
          <w:rtl/>
        </w:rPr>
        <w:tab/>
      </w:r>
      <w:proofErr w:type="gramStart"/>
      <w:r w:rsidR="0041490A">
        <w:rPr>
          <w:rFonts w:hint="cs"/>
          <w:rtl/>
          <w:lang w:val="fr-CH"/>
        </w:rPr>
        <w:t>تعتبر</w:t>
      </w:r>
      <w:proofErr w:type="gramEnd"/>
      <w:r w:rsidR="0041490A">
        <w:rPr>
          <w:rFonts w:hint="cs"/>
          <w:rtl/>
          <w:lang w:val="fr-CH"/>
        </w:rPr>
        <w:t xml:space="preserve"> الإشارة في هذا النظام </w:t>
      </w:r>
      <w:r w:rsidR="0041490A">
        <w:rPr>
          <w:rFonts w:hint="cs"/>
          <w:rtl/>
        </w:rPr>
        <w:t xml:space="preserve">إلى </w:t>
      </w:r>
      <w:r>
        <w:rPr>
          <w:rtl/>
        </w:rPr>
        <w:t xml:space="preserve">"الوفود" </w:t>
      </w:r>
      <w:r w:rsidR="0041490A">
        <w:rPr>
          <w:rFonts w:hint="cs"/>
          <w:rtl/>
        </w:rPr>
        <w:t xml:space="preserve">إشارةً إلى </w:t>
      </w:r>
      <w:r>
        <w:rPr>
          <w:rtl/>
        </w:rPr>
        <w:t>الأنواع الثلاثة من الوفود (الأعضاء والخاص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والمراقبة</w:t>
      </w:r>
      <w:r>
        <w:rPr>
          <w:rtl/>
        </w:rPr>
        <w:t xml:space="preserve">) </w:t>
      </w:r>
      <w:r w:rsidR="0041490A">
        <w:rPr>
          <w:rFonts w:hint="cs"/>
          <w:rtl/>
        </w:rPr>
        <w:t xml:space="preserve">ولكن ليس إلى </w:t>
      </w:r>
      <w:r>
        <w:rPr>
          <w:rFonts w:hint="cs"/>
          <w:rtl/>
        </w:rPr>
        <w:t>المراقبين</w:t>
      </w:r>
      <w:r>
        <w:rPr>
          <w:rtl/>
        </w:rPr>
        <w:t>.</w:t>
      </w:r>
    </w:p>
    <w:p w:rsidR="006A589D" w:rsidRDefault="006A589D" w:rsidP="006A589D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9C2CA3" w:rsidRDefault="009C2CA3" w:rsidP="009C2CA3">
      <w:pPr>
        <w:pStyle w:val="NormalParaAR"/>
        <w:rPr>
          <w:rtl/>
        </w:rPr>
      </w:pPr>
    </w:p>
    <w:p w:rsidR="009C2CA3" w:rsidRPr="009C2CA3" w:rsidRDefault="009C2CA3" w:rsidP="009C2CA3">
      <w:pPr>
        <w:pStyle w:val="NormalParaAR"/>
        <w:rPr>
          <w:rtl/>
        </w:rPr>
      </w:pPr>
    </w:p>
    <w:p w:rsidR="006A589D" w:rsidRDefault="006A589D" w:rsidP="006A589D">
      <w:pPr>
        <w:pStyle w:val="NormalParaAR"/>
        <w:rPr>
          <w:rtl/>
        </w:rPr>
        <w:sectPr w:rsidR="006A589D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356DC2" w:rsidRDefault="000E448F" w:rsidP="00356DC2">
      <w:pPr>
        <w:pStyle w:val="NormalParaAR"/>
        <w:keepNext/>
        <w:spacing w:after="0"/>
        <w:rPr>
          <w:u w:val="single"/>
        </w:rPr>
      </w:pPr>
      <w:r w:rsidRPr="004904CB">
        <w:rPr>
          <w:rFonts w:hint="cs"/>
          <w:u w:val="single"/>
          <w:rtl/>
        </w:rPr>
        <w:lastRenderedPageBreak/>
        <w:t xml:space="preserve">أمثلة على </w:t>
      </w:r>
      <w:r w:rsidR="009C2CA3">
        <w:rPr>
          <w:rFonts w:hint="cs"/>
          <w:u w:val="single"/>
          <w:rtl/>
        </w:rPr>
        <w:t xml:space="preserve">النصوص </w:t>
      </w:r>
      <w:r w:rsidRPr="004904CB">
        <w:rPr>
          <w:rFonts w:hint="cs"/>
          <w:u w:val="single"/>
          <w:rtl/>
        </w:rPr>
        <w:t>النهائية للأنظمة الداخلية الخاصة ب</w:t>
      </w:r>
      <w:bookmarkStart w:id="2" w:name="_GoBack"/>
      <w:r w:rsidRPr="004904CB">
        <w:rPr>
          <w:rFonts w:hint="cs"/>
          <w:u w:val="single"/>
          <w:rtl/>
        </w:rPr>
        <w:t>م</w:t>
      </w:r>
      <w:bookmarkEnd w:id="2"/>
      <w:r w:rsidRPr="004904CB">
        <w:rPr>
          <w:rFonts w:hint="cs"/>
          <w:u w:val="single"/>
          <w:rtl/>
        </w:rPr>
        <w:t>ؤتمرات دبلوماسية سابقة</w:t>
      </w:r>
    </w:p>
    <w:p w:rsidR="006A589D" w:rsidRPr="004904CB" w:rsidRDefault="009C2CA3" w:rsidP="00356DC2">
      <w:pPr>
        <w:pStyle w:val="NormalParaAR"/>
        <w:keepNext/>
        <w:rPr>
          <w:u w:val="single"/>
          <w:rtl/>
        </w:rPr>
      </w:pPr>
      <w:r>
        <w:rPr>
          <w:rFonts w:hint="cs"/>
          <w:u w:val="single"/>
          <w:rtl/>
        </w:rPr>
        <w:t xml:space="preserve">للويبو </w:t>
      </w:r>
      <w:r w:rsidR="000E448F" w:rsidRPr="004904CB">
        <w:rPr>
          <w:u w:val="single"/>
          <w:rtl/>
        </w:rPr>
        <w:t>–</w:t>
      </w:r>
      <w:r w:rsidR="000E448F" w:rsidRPr="004904CB">
        <w:rPr>
          <w:rFonts w:hint="cs"/>
          <w:u w:val="single"/>
          <w:rtl/>
        </w:rPr>
        <w:t xml:space="preserve"> مقتطفات تتعلق بتكوين المؤتمر</w:t>
      </w:r>
    </w:p>
    <w:p w:rsidR="00312A59" w:rsidRDefault="00312A59" w:rsidP="004D6535">
      <w:pPr>
        <w:pStyle w:val="NormalParaAR"/>
        <w:rPr>
          <w:b/>
          <w:bCs/>
          <w:rtl/>
        </w:rPr>
      </w:pPr>
    </w:p>
    <w:p w:rsidR="004904CB" w:rsidRPr="00BB1285" w:rsidRDefault="00BB1285" w:rsidP="004D6535">
      <w:pPr>
        <w:pStyle w:val="NormalParaAR"/>
        <w:rPr>
          <w:b/>
          <w:bCs/>
          <w:rtl/>
        </w:rPr>
      </w:pPr>
      <w:r w:rsidRPr="00BB1285">
        <w:rPr>
          <w:b/>
          <w:bCs/>
          <w:rtl/>
        </w:rPr>
        <w:t>المؤتمر الدبلوماسي</w:t>
      </w:r>
      <w:r w:rsidRPr="00BB1285">
        <w:rPr>
          <w:rFonts w:hint="cs"/>
          <w:b/>
          <w:bCs/>
          <w:rtl/>
        </w:rPr>
        <w:t xml:space="preserve"> </w:t>
      </w:r>
      <w:r w:rsidRPr="00BB1285">
        <w:rPr>
          <w:b/>
          <w:bCs/>
          <w:rtl/>
        </w:rPr>
        <w:t>المعني باعتماد وثيقة جديدة لاتفاق لاهاي</w:t>
      </w:r>
      <w:r w:rsidRPr="00BB1285">
        <w:rPr>
          <w:rFonts w:hint="cs"/>
          <w:b/>
          <w:bCs/>
          <w:rtl/>
        </w:rPr>
        <w:t xml:space="preserve"> </w:t>
      </w:r>
      <w:r w:rsidRPr="00BB1285">
        <w:rPr>
          <w:b/>
          <w:bCs/>
          <w:rtl/>
        </w:rPr>
        <w:t>بشأن الايداع الدولي لل</w:t>
      </w:r>
      <w:r w:rsidRPr="00BB1285">
        <w:rPr>
          <w:rFonts w:hint="cs"/>
          <w:b/>
          <w:bCs/>
          <w:rtl/>
        </w:rPr>
        <w:t>تصاميم</w:t>
      </w:r>
      <w:r w:rsidRPr="00BB1285">
        <w:rPr>
          <w:b/>
          <w:bCs/>
          <w:rtl/>
        </w:rPr>
        <w:t xml:space="preserve"> الصناعية</w:t>
      </w:r>
      <w:r w:rsidRPr="00BB1285">
        <w:rPr>
          <w:rFonts w:hint="cs"/>
          <w:b/>
          <w:bCs/>
          <w:rtl/>
        </w:rPr>
        <w:t>، النظام الداخلي، الوثيقة</w:t>
      </w:r>
      <w:r w:rsidRPr="00BB1285">
        <w:rPr>
          <w:rFonts w:hint="eastAsia"/>
          <w:b/>
          <w:bCs/>
          <w:rtl/>
        </w:rPr>
        <w:t> </w:t>
      </w:r>
      <w:r w:rsidRPr="00BB1285">
        <w:rPr>
          <w:b/>
          <w:bCs/>
        </w:rPr>
        <w:t>H/DC/12</w:t>
      </w:r>
      <w:r w:rsidRPr="00BB1285">
        <w:rPr>
          <w:rFonts w:hint="cs"/>
          <w:b/>
          <w:bCs/>
          <w:rtl/>
        </w:rPr>
        <w:t>، المادة</w:t>
      </w:r>
      <w:r w:rsidR="004D6535">
        <w:rPr>
          <w:rFonts w:hint="eastAsia"/>
          <w:b/>
          <w:bCs/>
          <w:rtl/>
        </w:rPr>
        <w:t> </w:t>
      </w:r>
      <w:r w:rsidRPr="00BB1285">
        <w:rPr>
          <w:rFonts w:hint="cs"/>
          <w:b/>
          <w:bCs/>
          <w:rtl/>
        </w:rPr>
        <w:t>2 (جنيف، 1999)</w:t>
      </w:r>
    </w:p>
    <w:p w:rsidR="00BB1285" w:rsidRDefault="00BB1285" w:rsidP="00BB1285">
      <w:pPr>
        <w:pStyle w:val="NormalParaAR"/>
        <w:rPr>
          <w:rtl/>
        </w:rPr>
      </w:pPr>
      <w:r w:rsidRPr="00BB1285">
        <w:rPr>
          <w:u w:val="single"/>
          <w:rtl/>
        </w:rPr>
        <w:t>المادة 2</w:t>
      </w:r>
      <w:r>
        <w:rPr>
          <w:rtl/>
        </w:rPr>
        <w:t>:</w:t>
      </w:r>
      <w:r>
        <w:rPr>
          <w:rtl/>
        </w:rPr>
        <w:tab/>
      </w:r>
      <w:proofErr w:type="gramStart"/>
      <w:r w:rsidRPr="00BB1285">
        <w:rPr>
          <w:u w:val="single"/>
          <w:rtl/>
        </w:rPr>
        <w:t>تكوين</w:t>
      </w:r>
      <w:proofErr w:type="gramEnd"/>
      <w:r w:rsidRPr="00BB1285">
        <w:rPr>
          <w:u w:val="single"/>
          <w:rtl/>
        </w:rPr>
        <w:t xml:space="preserve"> المؤتمر</w:t>
      </w:r>
    </w:p>
    <w:p w:rsidR="00BB1285" w:rsidRDefault="0032500A" w:rsidP="00BB1285">
      <w:pPr>
        <w:pStyle w:val="NormalParaAR"/>
        <w:rPr>
          <w:rtl/>
        </w:rPr>
      </w:pPr>
      <w:r>
        <w:rPr>
          <w:rtl/>
        </w:rPr>
        <w:t>(1)</w:t>
      </w:r>
      <w:r>
        <w:rPr>
          <w:rtl/>
        </w:rPr>
        <w:tab/>
        <w:t>يتكون المؤتمر مما يأتي</w:t>
      </w:r>
      <w:r w:rsidR="00BB1285">
        <w:rPr>
          <w:rtl/>
        </w:rPr>
        <w:t>: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tl/>
        </w:rPr>
        <w:t>"1"</w:t>
      </w:r>
      <w:r>
        <w:rPr>
          <w:rtl/>
        </w:rPr>
        <w:tab/>
      </w:r>
      <w:proofErr w:type="gramStart"/>
      <w:r>
        <w:rPr>
          <w:rtl/>
        </w:rPr>
        <w:t>وفود</w:t>
      </w:r>
      <w:proofErr w:type="gramEnd"/>
      <w:r>
        <w:rPr>
          <w:rtl/>
        </w:rPr>
        <w:t xml:space="preserve"> الدول الأعضاء في المنظمة العالمية للملكية الفكرية (والمشار </w:t>
      </w:r>
      <w:r>
        <w:rPr>
          <w:rFonts w:hint="cs"/>
          <w:rtl/>
        </w:rPr>
        <w:t>إ</w:t>
      </w:r>
      <w:r>
        <w:rPr>
          <w:rtl/>
        </w:rPr>
        <w:t>ليها فيما بعد بعبارة "الوفود الأعضاء العادية")،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tl/>
        </w:rPr>
        <w:t>"2"</w:t>
      </w:r>
      <w:r>
        <w:rPr>
          <w:rtl/>
        </w:rPr>
        <w:tab/>
      </w:r>
      <w:proofErr w:type="gramStart"/>
      <w:r>
        <w:rPr>
          <w:rtl/>
        </w:rPr>
        <w:t>ووفود</w:t>
      </w:r>
      <w:proofErr w:type="gramEnd"/>
      <w:r>
        <w:rPr>
          <w:rtl/>
        </w:rPr>
        <w:t xml:space="preserve"> المنظمة الأفريقية للملكية الفكرية والمنظمة ال</w:t>
      </w:r>
      <w:r>
        <w:rPr>
          <w:rFonts w:hint="cs"/>
          <w:rtl/>
        </w:rPr>
        <w:t>إ</w:t>
      </w:r>
      <w:r>
        <w:rPr>
          <w:rtl/>
        </w:rPr>
        <w:t xml:space="preserve">قليمية الأفريقية للملكية الصناعية والجماعة الأوروبية (والمشار </w:t>
      </w:r>
      <w:r>
        <w:rPr>
          <w:rFonts w:hint="cs"/>
          <w:rtl/>
        </w:rPr>
        <w:t>إ</w:t>
      </w:r>
      <w:r>
        <w:rPr>
          <w:rtl/>
        </w:rPr>
        <w:t>ليها فيما بعد بعبارة "الوفود الأعضاء الخاصة")،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tl/>
        </w:rPr>
        <w:t>"3"</w:t>
      </w:r>
      <w:r>
        <w:rPr>
          <w:rtl/>
        </w:rPr>
        <w:tab/>
        <w:t>ووفود</w:t>
      </w:r>
      <w:r w:rsidR="00AC4EBF">
        <w:rPr>
          <w:rtl/>
        </w:rPr>
        <w:t xml:space="preserve"> الدول الأعضاء في الأمم المتحدة</w:t>
      </w:r>
      <w:r>
        <w:rPr>
          <w:rtl/>
        </w:rPr>
        <w:t xml:space="preserve"> من غير الدول الأعضاء في المنظمة العالمية للملكية الفكرية والتي تكون مدعوة الى المؤتمر بصفة مراقب (والمشار </w:t>
      </w:r>
      <w:r>
        <w:rPr>
          <w:rFonts w:hint="cs"/>
          <w:rtl/>
        </w:rPr>
        <w:t>إ</w:t>
      </w:r>
      <w:r>
        <w:rPr>
          <w:rtl/>
        </w:rPr>
        <w:t>ليها فيم</w:t>
      </w:r>
      <w:r w:rsidR="004D6535">
        <w:rPr>
          <w:rtl/>
        </w:rPr>
        <w:t>ا بعد بعبارة "الوفود المراقبة")</w:t>
      </w:r>
      <w:r w:rsidR="004D6535">
        <w:rPr>
          <w:rFonts w:hint="cs"/>
          <w:rtl/>
        </w:rPr>
        <w:t>،</w:t>
      </w:r>
    </w:p>
    <w:p w:rsidR="00BB1285" w:rsidRDefault="00BB1285" w:rsidP="00BB1285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"4</w:t>
      </w:r>
      <w:r>
        <w:rPr>
          <w:rtl/>
        </w:rPr>
        <w:t>"</w:t>
      </w:r>
      <w:r>
        <w:rPr>
          <w:rtl/>
        </w:rPr>
        <w:tab/>
        <w:t xml:space="preserve">وممثلو المنظمات الدولية الحكومية والمنظمات غير الحكومية التي تكون مدعوة الى المؤتمر بصفة مراقب (والمشار </w:t>
      </w:r>
      <w:r>
        <w:rPr>
          <w:rFonts w:hint="cs"/>
          <w:rtl/>
        </w:rPr>
        <w:t>إ</w:t>
      </w:r>
      <w:r>
        <w:rPr>
          <w:rtl/>
        </w:rPr>
        <w:t>ليها فيما بعد بعبارة "المنظمات المراقبة")</w:t>
      </w:r>
      <w:r w:rsidR="004D6535">
        <w:rPr>
          <w:rFonts w:hint="cs"/>
          <w:rtl/>
        </w:rPr>
        <w:t>.</w:t>
      </w:r>
    </w:p>
    <w:p w:rsidR="00BB1285" w:rsidRDefault="004D6535" w:rsidP="00BB1285">
      <w:pPr>
        <w:pStyle w:val="NormalParaAR"/>
        <w:rPr>
          <w:rtl/>
        </w:rPr>
      </w:pPr>
      <w:r>
        <w:rPr>
          <w:rtl/>
        </w:rPr>
        <w:t>(2)</w:t>
      </w:r>
      <w:r>
        <w:rPr>
          <w:rtl/>
        </w:rPr>
        <w:tab/>
        <w:t>تعتبر ال</w:t>
      </w:r>
      <w:r>
        <w:rPr>
          <w:rFonts w:hint="cs"/>
          <w:rtl/>
        </w:rPr>
        <w:t>إ</w:t>
      </w:r>
      <w:r w:rsidR="00BB1285">
        <w:rPr>
          <w:rtl/>
        </w:rPr>
        <w:t>شارة في</w:t>
      </w:r>
      <w:r>
        <w:rPr>
          <w:rtl/>
        </w:rPr>
        <w:t xml:space="preserve"> هذا النظام الى الوفود الأعضاء </w:t>
      </w:r>
      <w:r>
        <w:rPr>
          <w:rFonts w:hint="cs"/>
          <w:rtl/>
        </w:rPr>
        <w:t>إ</w:t>
      </w:r>
      <w:r w:rsidR="00BB1285">
        <w:rPr>
          <w:rtl/>
        </w:rPr>
        <w:t>شارة الى الوفود الأعضاء</w:t>
      </w:r>
      <w:r>
        <w:rPr>
          <w:rtl/>
        </w:rPr>
        <w:t xml:space="preserve"> العادية والوفود الأعضاء الخاصة</w:t>
      </w:r>
      <w:r w:rsidR="00BB1285">
        <w:rPr>
          <w:rtl/>
        </w:rPr>
        <w:t>.</w:t>
      </w:r>
    </w:p>
    <w:p w:rsidR="00BB1285" w:rsidRPr="004D6535" w:rsidRDefault="004D6535" w:rsidP="00312A59">
      <w:pPr>
        <w:pStyle w:val="NormalParaAR"/>
        <w:spacing w:before="360"/>
        <w:rPr>
          <w:b/>
          <w:bCs/>
          <w:rtl/>
        </w:rPr>
      </w:pPr>
      <w:r w:rsidRPr="004D6535">
        <w:rPr>
          <w:b/>
          <w:bCs/>
          <w:rtl/>
        </w:rPr>
        <w:t xml:space="preserve">المؤتمر الدبلوماسي المعني باعتماد نص </w:t>
      </w:r>
      <w:proofErr w:type="gramStart"/>
      <w:r w:rsidRPr="004D6535">
        <w:rPr>
          <w:b/>
          <w:bCs/>
          <w:rtl/>
        </w:rPr>
        <w:t>معدّل</w:t>
      </w:r>
      <w:proofErr w:type="gramEnd"/>
      <w:r w:rsidRPr="004D6535">
        <w:rPr>
          <w:rFonts w:hint="cs"/>
          <w:b/>
          <w:bCs/>
          <w:rtl/>
        </w:rPr>
        <w:t xml:space="preserve"> </w:t>
      </w:r>
      <w:r w:rsidRPr="004D6535">
        <w:rPr>
          <w:b/>
          <w:bCs/>
          <w:rtl/>
        </w:rPr>
        <w:t>لمعاهدة قانون العلامات</w:t>
      </w:r>
      <w:r w:rsidRPr="004D6535">
        <w:rPr>
          <w:rFonts w:hint="cs"/>
          <w:b/>
          <w:bCs/>
          <w:rtl/>
        </w:rPr>
        <w:t xml:space="preserve">، </w:t>
      </w:r>
      <w:r w:rsidRPr="004D6535">
        <w:rPr>
          <w:b/>
          <w:bCs/>
          <w:rtl/>
        </w:rPr>
        <w:t>النظام الداخلي، الوثيقة</w:t>
      </w:r>
      <w:r w:rsidRPr="004D6535">
        <w:rPr>
          <w:rFonts w:hint="cs"/>
          <w:b/>
          <w:bCs/>
          <w:rtl/>
        </w:rPr>
        <w:t> </w:t>
      </w:r>
      <w:r w:rsidRPr="004D6535">
        <w:rPr>
          <w:b/>
          <w:bCs/>
        </w:rPr>
        <w:t>TLT/R/DC/2</w:t>
      </w:r>
      <w:r w:rsidRPr="004D6535">
        <w:rPr>
          <w:b/>
          <w:bCs/>
          <w:rtl/>
        </w:rPr>
        <w:t>، المادة</w:t>
      </w:r>
      <w:r w:rsidRPr="004D6535">
        <w:rPr>
          <w:rFonts w:hint="cs"/>
          <w:b/>
          <w:bCs/>
          <w:rtl/>
        </w:rPr>
        <w:t> </w:t>
      </w:r>
      <w:r w:rsidRPr="004D6535">
        <w:rPr>
          <w:b/>
          <w:bCs/>
          <w:rtl/>
        </w:rPr>
        <w:t>2</w:t>
      </w:r>
      <w:r w:rsidRPr="004D6535">
        <w:rPr>
          <w:rFonts w:hint="cs"/>
          <w:b/>
          <w:bCs/>
          <w:rtl/>
        </w:rPr>
        <w:t xml:space="preserve"> </w:t>
      </w:r>
      <w:r w:rsidRPr="004D6535">
        <w:rPr>
          <w:b/>
          <w:bCs/>
          <w:rtl/>
        </w:rPr>
        <w:t>(</w:t>
      </w:r>
      <w:r w:rsidRPr="004D6535">
        <w:rPr>
          <w:rFonts w:hint="cs"/>
          <w:b/>
          <w:bCs/>
          <w:rtl/>
        </w:rPr>
        <w:t>سنغافورة</w:t>
      </w:r>
      <w:r w:rsidRPr="004D6535">
        <w:rPr>
          <w:b/>
          <w:bCs/>
          <w:rtl/>
        </w:rPr>
        <w:t xml:space="preserve">، </w:t>
      </w:r>
      <w:r w:rsidRPr="004D6535">
        <w:rPr>
          <w:rFonts w:hint="cs"/>
          <w:b/>
          <w:bCs/>
          <w:rtl/>
        </w:rPr>
        <w:t>2006</w:t>
      </w:r>
      <w:r w:rsidRPr="004D6535">
        <w:rPr>
          <w:b/>
          <w:bCs/>
          <w:rtl/>
        </w:rPr>
        <w:t>)</w:t>
      </w:r>
    </w:p>
    <w:p w:rsidR="004D6535" w:rsidRDefault="004D6535" w:rsidP="004D6535">
      <w:pPr>
        <w:pStyle w:val="NormalParaAR"/>
        <w:rPr>
          <w:rtl/>
        </w:rPr>
      </w:pPr>
      <w:r w:rsidRPr="004D6535">
        <w:rPr>
          <w:u w:val="single"/>
          <w:rtl/>
        </w:rPr>
        <w:t>المادة 2</w:t>
      </w:r>
      <w:r>
        <w:rPr>
          <w:rtl/>
        </w:rPr>
        <w:t>:</w:t>
      </w:r>
      <w:r>
        <w:rPr>
          <w:rtl/>
        </w:rPr>
        <w:tab/>
      </w:r>
      <w:proofErr w:type="gramStart"/>
      <w:r w:rsidRPr="004D6535">
        <w:rPr>
          <w:u w:val="single"/>
          <w:rtl/>
        </w:rPr>
        <w:t>تكوين</w:t>
      </w:r>
      <w:proofErr w:type="gramEnd"/>
      <w:r w:rsidRPr="004D6535">
        <w:rPr>
          <w:u w:val="single"/>
          <w:rtl/>
        </w:rPr>
        <w:t xml:space="preserve"> المؤتمر</w:t>
      </w:r>
    </w:p>
    <w:p w:rsidR="004D6535" w:rsidRDefault="004D6535" w:rsidP="004D6535">
      <w:pPr>
        <w:pStyle w:val="NormalParaAR"/>
        <w:rPr>
          <w:rtl/>
        </w:rPr>
      </w:pPr>
      <w:r>
        <w:rPr>
          <w:rtl/>
        </w:rPr>
        <w:t>(1)</w:t>
      </w:r>
      <w:r>
        <w:rPr>
          <w:rtl/>
        </w:rPr>
        <w:tab/>
        <w:t>يتكون المؤتمر مما يأتي: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tl/>
        </w:rPr>
        <w:t>"1"</w:t>
      </w:r>
      <w:r>
        <w:rPr>
          <w:rtl/>
        </w:rPr>
        <w:tab/>
      </w:r>
      <w:proofErr w:type="gramStart"/>
      <w:r>
        <w:rPr>
          <w:rtl/>
        </w:rPr>
        <w:t>وفود</w:t>
      </w:r>
      <w:proofErr w:type="gramEnd"/>
      <w:r>
        <w:rPr>
          <w:rtl/>
        </w:rPr>
        <w:t xml:space="preserve"> الدول الأعضاء في المنظمة العالمية للملكية الفكرية (والمشار إليها فيما بعد بعبارة "الوفود الأعضاء العادية")،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tl/>
        </w:rPr>
        <w:t>"2"</w:t>
      </w:r>
      <w:r>
        <w:rPr>
          <w:rtl/>
        </w:rPr>
        <w:tab/>
      </w:r>
      <w:proofErr w:type="gramStart"/>
      <w:r>
        <w:rPr>
          <w:rtl/>
        </w:rPr>
        <w:t>ووفود</w:t>
      </w:r>
      <w:proofErr w:type="gramEnd"/>
      <w:r>
        <w:rPr>
          <w:rtl/>
        </w:rPr>
        <w:t xml:space="preserve"> المنظمة الأفريقية للملكية الفكرية والمنظمة الإقليمية الأفريقية للملكية الفكرية والجماعة الأوروبية (والمشار إليها فيما بعد بعبارة "الوفود الأعضاء الخاصة")،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tl/>
        </w:rPr>
        <w:t>"3"</w:t>
      </w:r>
      <w:r>
        <w:rPr>
          <w:rtl/>
        </w:rPr>
        <w:tab/>
      </w:r>
      <w:proofErr w:type="gramStart"/>
      <w:r>
        <w:rPr>
          <w:rtl/>
        </w:rPr>
        <w:t>ووفود</w:t>
      </w:r>
      <w:proofErr w:type="gramEnd"/>
      <w:r>
        <w:rPr>
          <w:rtl/>
        </w:rPr>
        <w:t xml:space="preserve"> الدول الأعضاء في الأمم المتحدة من غير الدول الأعضاء في المنظمة العالمية للملكية الفكرية والتي تكون مدعوة إلى المؤتمر بصفة مراقب (والمشار إليها فيم</w:t>
      </w:r>
      <w:r w:rsidR="00227DD3">
        <w:rPr>
          <w:rtl/>
        </w:rPr>
        <w:t>ا بعد بعبارة "الوفود المراقبة")</w:t>
      </w:r>
      <w:r w:rsidR="00227DD3">
        <w:rPr>
          <w:rFonts w:hint="cs"/>
          <w:rtl/>
        </w:rPr>
        <w:t>،</w:t>
      </w:r>
    </w:p>
    <w:p w:rsidR="004D6535" w:rsidRDefault="004D6535" w:rsidP="004D6535">
      <w:pPr>
        <w:pStyle w:val="NormalParaAR"/>
        <w:ind w:left="566" w:hanging="11"/>
        <w:rPr>
          <w:rtl/>
        </w:rPr>
      </w:pPr>
      <w:r>
        <w:rPr>
          <w:rFonts w:hint="cs"/>
          <w:rtl/>
        </w:rPr>
        <w:lastRenderedPageBreak/>
        <w:t>"</w:t>
      </w:r>
      <w:r>
        <w:rPr>
          <w:rtl/>
        </w:rPr>
        <w:t>4"</w:t>
      </w:r>
      <w:r>
        <w:rPr>
          <w:rtl/>
        </w:rPr>
        <w:tab/>
      </w:r>
      <w:proofErr w:type="gramStart"/>
      <w:r>
        <w:rPr>
          <w:rtl/>
        </w:rPr>
        <w:t>وممثلو</w:t>
      </w:r>
      <w:proofErr w:type="gramEnd"/>
      <w:r>
        <w:rPr>
          <w:rtl/>
        </w:rPr>
        <w:t xml:space="preserve"> المنظمات الحكومية الدولية والمنظمات غير الحكومية التي تكون مدعوة إلى المؤتمر بصفة مراقب (والمشار إليها فيما بعد بعبارة "المنظمات المراقبة").</w:t>
      </w:r>
    </w:p>
    <w:p w:rsidR="004D6535" w:rsidRDefault="004D6535" w:rsidP="004D6535">
      <w:pPr>
        <w:pStyle w:val="NormalParaAR"/>
        <w:rPr>
          <w:rtl/>
        </w:rPr>
      </w:pPr>
      <w:r>
        <w:rPr>
          <w:rtl/>
        </w:rPr>
        <w:t>(2)</w:t>
      </w:r>
      <w:r>
        <w:rPr>
          <w:rtl/>
        </w:rPr>
        <w:tab/>
        <w:t xml:space="preserve">تعتبر الإشارة في هذا النظام </w:t>
      </w:r>
      <w:proofErr w:type="gramStart"/>
      <w:r>
        <w:rPr>
          <w:rtl/>
        </w:rPr>
        <w:t>إلى</w:t>
      </w:r>
      <w:proofErr w:type="gramEnd"/>
      <w:r>
        <w:rPr>
          <w:rtl/>
        </w:rPr>
        <w:t xml:space="preserve"> "الوفود الأعضاء" إشارة إلى الوفود الأعضاء العادية والوفود الأعضاء الخاصة.</w:t>
      </w:r>
    </w:p>
    <w:p w:rsidR="004D6535" w:rsidRDefault="004D6535" w:rsidP="004D6535">
      <w:pPr>
        <w:pStyle w:val="NormalParaAR"/>
        <w:rPr>
          <w:rtl/>
        </w:rPr>
      </w:pPr>
      <w:r>
        <w:rPr>
          <w:rtl/>
        </w:rPr>
        <w:t>(3)</w:t>
      </w:r>
      <w:r>
        <w:rPr>
          <w:rtl/>
        </w:rPr>
        <w:tab/>
      </w:r>
      <w:proofErr w:type="gramStart"/>
      <w:r>
        <w:rPr>
          <w:rtl/>
        </w:rPr>
        <w:t>يشمل</w:t>
      </w:r>
      <w:proofErr w:type="gramEnd"/>
      <w:r>
        <w:rPr>
          <w:rtl/>
        </w:rPr>
        <w:t xml:space="preserve"> مصطلح "الوفود" في هذا النظام الأنواع الثلاثة من الوفود (أي الوفود الأعضاء العادية والوفود الأعضاء الخاصة والوفود المراقبة) ولكنه لا يشمل المنظمات المراقبة.</w:t>
      </w:r>
    </w:p>
    <w:p w:rsidR="0032500A" w:rsidRPr="00227DD3" w:rsidRDefault="00227DD3" w:rsidP="00312A59">
      <w:pPr>
        <w:pStyle w:val="NormalParaAR"/>
        <w:spacing w:before="360"/>
        <w:rPr>
          <w:b/>
          <w:bCs/>
          <w:rtl/>
        </w:rPr>
      </w:pPr>
      <w:r w:rsidRPr="00227DD3">
        <w:rPr>
          <w:b/>
          <w:bCs/>
          <w:rtl/>
        </w:rPr>
        <w:t>المؤتمر الدبلوماسي المعني بحماية</w:t>
      </w:r>
      <w:r w:rsidRPr="00227DD3">
        <w:rPr>
          <w:rFonts w:hint="cs"/>
          <w:b/>
          <w:bCs/>
          <w:rtl/>
        </w:rPr>
        <w:t xml:space="preserve"> </w:t>
      </w:r>
      <w:r w:rsidRPr="00227DD3">
        <w:rPr>
          <w:b/>
          <w:bCs/>
          <w:rtl/>
        </w:rPr>
        <w:t>الأداء السمعي البصري</w:t>
      </w:r>
      <w:r>
        <w:rPr>
          <w:rFonts w:hint="cs"/>
          <w:b/>
          <w:bCs/>
          <w:rtl/>
        </w:rPr>
        <w:t>،</w:t>
      </w:r>
      <w:r w:rsidRPr="00227DD3">
        <w:rPr>
          <w:rFonts w:hint="cs"/>
          <w:b/>
          <w:bCs/>
          <w:rtl/>
        </w:rPr>
        <w:t xml:space="preserve"> </w:t>
      </w:r>
      <w:r w:rsidR="00E51477">
        <w:rPr>
          <w:rFonts w:hint="cs"/>
          <w:b/>
          <w:bCs/>
          <w:rtl/>
        </w:rPr>
        <w:t xml:space="preserve">مشروع </w:t>
      </w:r>
      <w:r w:rsidRPr="00227DD3">
        <w:rPr>
          <w:b/>
          <w:bCs/>
          <w:rtl/>
        </w:rPr>
        <w:t>النظام الداخلي</w:t>
      </w:r>
      <w:r w:rsidR="00E51477">
        <w:rPr>
          <w:rFonts w:hint="cs"/>
          <w:b/>
          <w:bCs/>
          <w:rtl/>
        </w:rPr>
        <w:t xml:space="preserve"> للمؤتمر الدبلوماسي</w:t>
      </w:r>
      <w:r w:rsidRPr="00227DD3">
        <w:rPr>
          <w:b/>
          <w:bCs/>
          <w:rtl/>
        </w:rPr>
        <w:t>، الوثيقة</w:t>
      </w:r>
      <w:r w:rsidRPr="00227DD3">
        <w:rPr>
          <w:rFonts w:hint="cs"/>
          <w:b/>
          <w:bCs/>
          <w:rtl/>
        </w:rPr>
        <w:t> </w:t>
      </w:r>
      <w:r w:rsidRPr="00227DD3">
        <w:rPr>
          <w:b/>
          <w:bCs/>
        </w:rPr>
        <w:t>AVP/DC/2</w:t>
      </w:r>
      <w:r w:rsidRPr="00227DD3">
        <w:rPr>
          <w:b/>
          <w:bCs/>
          <w:rtl/>
        </w:rPr>
        <w:t>، المادة</w:t>
      </w:r>
      <w:r w:rsidRPr="00227DD3">
        <w:rPr>
          <w:rFonts w:hint="cs"/>
          <w:b/>
          <w:bCs/>
          <w:rtl/>
        </w:rPr>
        <w:t> </w:t>
      </w:r>
      <w:r w:rsidRPr="00227DD3">
        <w:rPr>
          <w:b/>
          <w:bCs/>
          <w:rtl/>
        </w:rPr>
        <w:t>2</w:t>
      </w:r>
      <w:r w:rsidRPr="00227DD3">
        <w:rPr>
          <w:rFonts w:hint="cs"/>
          <w:b/>
          <w:bCs/>
          <w:rtl/>
        </w:rPr>
        <w:t xml:space="preserve"> </w:t>
      </w:r>
      <w:r w:rsidRPr="00227DD3">
        <w:rPr>
          <w:b/>
          <w:bCs/>
          <w:rtl/>
        </w:rPr>
        <w:t>(</w:t>
      </w:r>
      <w:r w:rsidRPr="00227DD3">
        <w:rPr>
          <w:rFonts w:hint="cs"/>
          <w:b/>
          <w:bCs/>
          <w:rtl/>
        </w:rPr>
        <w:t>بيجين</w:t>
      </w:r>
      <w:r w:rsidRPr="00227DD3">
        <w:rPr>
          <w:b/>
          <w:bCs/>
          <w:rtl/>
        </w:rPr>
        <w:t xml:space="preserve">، </w:t>
      </w:r>
      <w:r w:rsidRPr="00227DD3">
        <w:rPr>
          <w:rFonts w:hint="cs"/>
          <w:b/>
          <w:bCs/>
          <w:rtl/>
        </w:rPr>
        <w:t>2012</w:t>
      </w:r>
      <w:r w:rsidRPr="00227DD3">
        <w:rPr>
          <w:b/>
          <w:bCs/>
          <w:rtl/>
        </w:rPr>
        <w:t>)</w:t>
      </w:r>
    </w:p>
    <w:p w:rsidR="00227DD3" w:rsidRDefault="00227DD3" w:rsidP="00227DD3">
      <w:pPr>
        <w:pStyle w:val="NormalParaAR"/>
        <w:rPr>
          <w:rtl/>
        </w:rPr>
      </w:pPr>
      <w:r w:rsidRPr="00227DD3">
        <w:rPr>
          <w:u w:val="single"/>
          <w:rtl/>
        </w:rPr>
        <w:t>المادة 2</w:t>
      </w:r>
      <w:r>
        <w:rPr>
          <w:rtl/>
        </w:rPr>
        <w:t>:</w:t>
      </w:r>
      <w:r>
        <w:rPr>
          <w:rFonts w:hint="cs"/>
          <w:rtl/>
        </w:rPr>
        <w:tab/>
      </w:r>
      <w:proofErr w:type="gramStart"/>
      <w:r w:rsidRPr="00227DD3">
        <w:rPr>
          <w:u w:val="single"/>
          <w:rtl/>
        </w:rPr>
        <w:t>تكوين</w:t>
      </w:r>
      <w:proofErr w:type="gramEnd"/>
      <w:r w:rsidRPr="00227DD3">
        <w:rPr>
          <w:u w:val="single"/>
          <w:rtl/>
        </w:rPr>
        <w:t xml:space="preserve"> المؤتمر</w:t>
      </w:r>
    </w:p>
    <w:p w:rsidR="00227DD3" w:rsidRDefault="00227DD3" w:rsidP="00227DD3">
      <w:pPr>
        <w:pStyle w:val="NormalParaAR"/>
        <w:rPr>
          <w:rtl/>
        </w:rPr>
      </w:pPr>
      <w:r>
        <w:rPr>
          <w:rFonts w:hint="cs"/>
          <w:rtl/>
        </w:rPr>
        <w:t>(1</w:t>
      </w:r>
      <w:r>
        <w:rPr>
          <w:rtl/>
        </w:rPr>
        <w:t>)</w:t>
      </w:r>
      <w:r>
        <w:rPr>
          <w:rFonts w:hint="cs"/>
          <w:rtl/>
        </w:rPr>
        <w:tab/>
      </w:r>
      <w:r>
        <w:rPr>
          <w:rtl/>
        </w:rPr>
        <w:t>يتكون المؤتمر مما يأتي: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>
        <w:rPr>
          <w:rtl/>
        </w:rPr>
        <w:t xml:space="preserve">وفود الدول </w:t>
      </w:r>
      <w:proofErr w:type="gramStart"/>
      <w:r>
        <w:rPr>
          <w:rtl/>
        </w:rPr>
        <w:t>الأعضاء</w:t>
      </w:r>
      <w:proofErr w:type="gramEnd"/>
      <w:r>
        <w:rPr>
          <w:rtl/>
        </w:rPr>
        <w:t xml:space="preserve"> في المنظمة العالمية للملكية الفكرية (والمشار إليها فيما بعد بعبارة "الوفود الأعضاء")،</w:t>
      </w:r>
    </w:p>
    <w:p w:rsidR="00227DD3" w:rsidRDefault="00227DD3" w:rsidP="00227DD3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>
        <w:rPr>
          <w:rtl/>
        </w:rPr>
        <w:t xml:space="preserve">ووفد خاص من الاتحاد الأوروبي (والمشار إليه فيما </w:t>
      </w:r>
      <w:proofErr w:type="gramStart"/>
      <w:r>
        <w:rPr>
          <w:rtl/>
        </w:rPr>
        <w:t>بعد</w:t>
      </w:r>
      <w:proofErr w:type="gramEnd"/>
      <w:r>
        <w:rPr>
          <w:rtl/>
        </w:rPr>
        <w:t xml:space="preserve"> بعبارة "الوفد الخاص")،</w:t>
      </w:r>
    </w:p>
    <w:p w:rsidR="00227DD3" w:rsidRDefault="00227DD3" w:rsidP="00F2450E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"3"</w:t>
      </w:r>
      <w:r>
        <w:rPr>
          <w:rFonts w:hint="cs"/>
          <w:rtl/>
        </w:rPr>
        <w:tab/>
      </w:r>
      <w:proofErr w:type="gramStart"/>
      <w:r>
        <w:rPr>
          <w:rtl/>
        </w:rPr>
        <w:t>ووفود</w:t>
      </w:r>
      <w:proofErr w:type="gramEnd"/>
      <w:r>
        <w:rPr>
          <w:rtl/>
        </w:rPr>
        <w:t xml:space="preserve"> الدول الأعضاء في الأمم المتحدة من غير الدول الأعضاء في المنظمة العالمية للملكية الفكرية والتي تكون مدعوة إلى المؤتمر بصفة مراقب (والمشار إليها فيما بعد بعبارة "الوفود المراقبة")</w:t>
      </w:r>
      <w:r>
        <w:rPr>
          <w:rFonts w:hint="cs"/>
          <w:rtl/>
        </w:rPr>
        <w:t>،</w:t>
      </w:r>
    </w:p>
    <w:p w:rsidR="00227DD3" w:rsidRDefault="00227DD3" w:rsidP="00F2450E">
      <w:pPr>
        <w:pStyle w:val="NormalParaAR"/>
        <w:ind w:left="566" w:hanging="11"/>
        <w:rPr>
          <w:rtl/>
        </w:rPr>
      </w:pPr>
      <w:r>
        <w:rPr>
          <w:rFonts w:hint="cs"/>
          <w:rtl/>
        </w:rPr>
        <w:t>"4"</w:t>
      </w:r>
      <w:r>
        <w:rPr>
          <w:rtl/>
        </w:rPr>
        <w:tab/>
      </w:r>
      <w:proofErr w:type="gramStart"/>
      <w:r>
        <w:rPr>
          <w:rtl/>
        </w:rPr>
        <w:t>وممثلو</w:t>
      </w:r>
      <w:proofErr w:type="gramEnd"/>
      <w:r>
        <w:rPr>
          <w:rtl/>
        </w:rPr>
        <w:t xml:space="preserve"> المنظمات الدولية الحكومية وغير الحكومية وغيرها من المدعوّين إلى المؤتمر بصفة مراقب (والمشار إليها</w:t>
      </w:r>
      <w:r>
        <w:rPr>
          <w:rFonts w:hint="cs"/>
          <w:rtl/>
        </w:rPr>
        <w:t xml:space="preserve"> </w:t>
      </w:r>
      <w:r>
        <w:rPr>
          <w:rtl/>
        </w:rPr>
        <w:t>فيما بعد بمصطلح "المراقبون").</w:t>
      </w:r>
    </w:p>
    <w:p w:rsidR="00227DD3" w:rsidRDefault="00227DD3" w:rsidP="002D3A91">
      <w:pPr>
        <w:pStyle w:val="NormalParaAR"/>
        <w:rPr>
          <w:rtl/>
        </w:rPr>
      </w:pPr>
      <w:r>
        <w:rPr>
          <w:rFonts w:hint="cs"/>
          <w:rtl/>
        </w:rPr>
        <w:t>(2</w:t>
      </w:r>
      <w:r>
        <w:rPr>
          <w:rtl/>
        </w:rPr>
        <w:t>)</w:t>
      </w:r>
      <w:r>
        <w:rPr>
          <w:rFonts w:hint="cs"/>
          <w:rtl/>
        </w:rPr>
        <w:tab/>
      </w:r>
      <w:proofErr w:type="gramStart"/>
      <w:r>
        <w:rPr>
          <w:rtl/>
        </w:rPr>
        <w:t>تعتبر</w:t>
      </w:r>
      <w:proofErr w:type="gramEnd"/>
      <w:r>
        <w:rPr>
          <w:rtl/>
        </w:rPr>
        <w:t xml:space="preserve"> الإشارة في هذا النظام إلى </w:t>
      </w:r>
      <w:r>
        <w:rPr>
          <w:rFonts w:hint="cs"/>
          <w:rtl/>
        </w:rPr>
        <w:t>"</w:t>
      </w:r>
      <w:r>
        <w:rPr>
          <w:rtl/>
        </w:rPr>
        <w:t>الوفود الأعضاء</w:t>
      </w:r>
      <w:r>
        <w:rPr>
          <w:rFonts w:hint="cs"/>
          <w:rtl/>
        </w:rPr>
        <w:t>"</w:t>
      </w:r>
      <w:r>
        <w:rPr>
          <w:rtl/>
        </w:rPr>
        <w:t xml:space="preserve"> إشارة إلى الوفد الخاص أيضا ما لم يتم النص على خلاف ذلك (انظر </w:t>
      </w:r>
      <w:r w:rsidR="002D3A91">
        <w:rPr>
          <w:rtl/>
        </w:rPr>
        <w:t>المواد 11( 2) و33 و</w:t>
      </w:r>
      <w:r w:rsidR="002D3A91">
        <w:rPr>
          <w:rFonts w:hint="cs"/>
          <w:rtl/>
        </w:rPr>
        <w:t>34</w:t>
      </w:r>
      <w:r w:rsidR="002D3A91">
        <w:rPr>
          <w:rtl/>
        </w:rPr>
        <w:t>)</w:t>
      </w:r>
      <w:r w:rsidR="002D3A91">
        <w:rPr>
          <w:rFonts w:hint="cs"/>
          <w:rtl/>
        </w:rPr>
        <w:t>.</w:t>
      </w:r>
    </w:p>
    <w:p w:rsidR="00227DD3" w:rsidRDefault="002D3A91" w:rsidP="002D3A91">
      <w:pPr>
        <w:pStyle w:val="NormalParaAR"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ab/>
      </w:r>
      <w:proofErr w:type="gramStart"/>
      <w:r w:rsidR="00227DD3">
        <w:rPr>
          <w:rtl/>
        </w:rPr>
        <w:t>يشمل</w:t>
      </w:r>
      <w:proofErr w:type="gramEnd"/>
      <w:r w:rsidR="00227DD3">
        <w:rPr>
          <w:rtl/>
        </w:rPr>
        <w:t xml:space="preserve"> مصطلح "الوفود" في هذا النظام الأنواع الثلاثة من الوفود (أي الوفود الأعضاء والوفد الخاص والوف</w:t>
      </w:r>
      <w:r>
        <w:rPr>
          <w:rFonts w:hint="cs"/>
          <w:rtl/>
        </w:rPr>
        <w:t>و</w:t>
      </w:r>
      <w:r w:rsidR="00227DD3">
        <w:rPr>
          <w:rtl/>
        </w:rPr>
        <w:t xml:space="preserve">د </w:t>
      </w:r>
      <w:r>
        <w:rPr>
          <w:rtl/>
        </w:rPr>
        <w:t>المراقب</w:t>
      </w:r>
      <w:r>
        <w:rPr>
          <w:rFonts w:hint="cs"/>
          <w:rtl/>
        </w:rPr>
        <w:t>ة</w:t>
      </w:r>
      <w:r w:rsidR="00227DD3">
        <w:rPr>
          <w:rtl/>
        </w:rPr>
        <w:t>) ولكنه لا يشمل المراقبين.</w:t>
      </w:r>
    </w:p>
    <w:p w:rsidR="00023C4C" w:rsidRPr="00CD5BE1" w:rsidRDefault="00E51477" w:rsidP="00312A59">
      <w:pPr>
        <w:pStyle w:val="NormalParaAR"/>
        <w:spacing w:before="360"/>
        <w:rPr>
          <w:b/>
          <w:bCs/>
          <w:rtl/>
        </w:rPr>
      </w:pPr>
      <w:r w:rsidRPr="00CD5BE1">
        <w:rPr>
          <w:b/>
          <w:bCs/>
          <w:rtl/>
        </w:rPr>
        <w:t>المؤتمر الدبلوماسي المعني بإبرام معاهدة لتيسير نفاذ الأشخاص معاقي البصر والأشخاص العاجزين عن قراءة المطبوعات إلى المصنفات المنشورة</w:t>
      </w:r>
      <w:r w:rsidRPr="00CD5BE1">
        <w:rPr>
          <w:rFonts w:hint="cs"/>
          <w:b/>
          <w:bCs/>
          <w:rtl/>
        </w:rPr>
        <w:t>، النظام الداخلي للمؤتمر الدبلوماسي، الوثيقة</w:t>
      </w:r>
      <w:r w:rsidR="00CD5BE1">
        <w:rPr>
          <w:rFonts w:hint="eastAsia"/>
          <w:b/>
          <w:bCs/>
          <w:rtl/>
        </w:rPr>
        <w:t> </w:t>
      </w:r>
      <w:r w:rsidR="00CD5BE1" w:rsidRPr="00CD5BE1">
        <w:rPr>
          <w:b/>
          <w:bCs/>
        </w:rPr>
        <w:t>VIP/DC/2</w:t>
      </w:r>
      <w:r w:rsidR="00CD5BE1" w:rsidRPr="00CD5BE1">
        <w:rPr>
          <w:rFonts w:hint="cs"/>
          <w:b/>
          <w:bCs/>
          <w:rtl/>
        </w:rPr>
        <w:t>، المادة</w:t>
      </w:r>
      <w:r w:rsidR="00CD5BE1">
        <w:rPr>
          <w:rFonts w:hint="eastAsia"/>
          <w:b/>
          <w:bCs/>
          <w:rtl/>
        </w:rPr>
        <w:t> </w:t>
      </w:r>
      <w:r w:rsidR="00CD5BE1" w:rsidRPr="00CD5BE1">
        <w:rPr>
          <w:rFonts w:hint="cs"/>
          <w:b/>
          <w:bCs/>
          <w:rtl/>
        </w:rPr>
        <w:t>2 (مراكش، 2013)</w:t>
      </w:r>
    </w:p>
    <w:p w:rsidR="00D05D4C" w:rsidRDefault="00D05D4C" w:rsidP="00D05D4C">
      <w:pPr>
        <w:pStyle w:val="NormalParaAR"/>
        <w:spacing w:after="120"/>
      </w:pPr>
      <w:r w:rsidRPr="00D05D4C">
        <w:rPr>
          <w:rFonts w:hint="cs"/>
          <w:u w:val="single"/>
          <w:rtl/>
        </w:rPr>
        <w:t>ا</w:t>
      </w:r>
      <w:r w:rsidRPr="00D05D4C">
        <w:rPr>
          <w:u w:val="single"/>
          <w:rtl/>
        </w:rPr>
        <w:t>لمادة 2</w:t>
      </w:r>
      <w:r>
        <w:rPr>
          <w:rtl/>
        </w:rPr>
        <w:t>:</w:t>
      </w:r>
      <w:r>
        <w:rPr>
          <w:rtl/>
        </w:rPr>
        <w:tab/>
      </w:r>
      <w:proofErr w:type="gramStart"/>
      <w:r w:rsidRPr="00D05D4C">
        <w:rPr>
          <w:u w:val="single"/>
          <w:rtl/>
        </w:rPr>
        <w:t>تكوين</w:t>
      </w:r>
      <w:proofErr w:type="gramEnd"/>
      <w:r w:rsidRPr="00D05D4C">
        <w:rPr>
          <w:u w:val="single"/>
          <w:rtl/>
        </w:rPr>
        <w:t xml:space="preserve"> المؤتمر</w:t>
      </w:r>
    </w:p>
    <w:p w:rsidR="00D05D4C" w:rsidRDefault="00D05D4C" w:rsidP="00D05D4C">
      <w:pPr>
        <w:pStyle w:val="NormalParaAR"/>
      </w:pPr>
      <w:r>
        <w:rPr>
          <w:rtl/>
        </w:rPr>
        <w:t>(1)</w:t>
      </w:r>
      <w:r>
        <w:rPr>
          <w:rtl/>
        </w:rPr>
        <w:tab/>
        <w:t>يتكون المؤتمر مما يأتي:</w:t>
      </w:r>
    </w:p>
    <w:p w:rsidR="00D05D4C" w:rsidRDefault="00D05D4C" w:rsidP="00D05D4C">
      <w:pPr>
        <w:pStyle w:val="NormalParaAR"/>
        <w:ind w:left="566" w:hanging="11"/>
      </w:pPr>
      <w:r>
        <w:rPr>
          <w:rtl/>
        </w:rPr>
        <w:t>"1"</w:t>
      </w:r>
      <w:r>
        <w:rPr>
          <w:rtl/>
        </w:rPr>
        <w:tab/>
        <w:t xml:space="preserve">وفود الدول </w:t>
      </w:r>
      <w:proofErr w:type="gramStart"/>
      <w:r>
        <w:rPr>
          <w:rtl/>
        </w:rPr>
        <w:t>الأعضاء</w:t>
      </w:r>
      <w:proofErr w:type="gramEnd"/>
      <w:r>
        <w:rPr>
          <w:rtl/>
        </w:rPr>
        <w:t xml:space="preserve"> في المنظمة العالمية للملكية الفكرية (والمشار إليها فيما بعد بعبارة "الوفود الأعضاء")،</w:t>
      </w:r>
    </w:p>
    <w:p w:rsidR="00D05D4C" w:rsidRDefault="00D05D4C" w:rsidP="00D05D4C">
      <w:pPr>
        <w:pStyle w:val="NormalParaAR"/>
        <w:ind w:left="566" w:hanging="11"/>
      </w:pPr>
      <w:r>
        <w:rPr>
          <w:rtl/>
        </w:rPr>
        <w:t>"2"</w:t>
      </w:r>
      <w:r>
        <w:rPr>
          <w:rtl/>
        </w:rPr>
        <w:tab/>
        <w:t xml:space="preserve">ووفد خاص من الاتحاد الأوروبي (والمشار إليه فيما </w:t>
      </w:r>
      <w:proofErr w:type="gramStart"/>
      <w:r>
        <w:rPr>
          <w:rtl/>
        </w:rPr>
        <w:t>بعد</w:t>
      </w:r>
      <w:proofErr w:type="gramEnd"/>
      <w:r>
        <w:rPr>
          <w:rtl/>
        </w:rPr>
        <w:t xml:space="preserve"> بعبارة "الوفد الخاص")،</w:t>
      </w:r>
    </w:p>
    <w:p w:rsidR="00D05D4C" w:rsidRDefault="00D05D4C" w:rsidP="00F2450E">
      <w:pPr>
        <w:pStyle w:val="NormalParaAR"/>
        <w:keepNext/>
        <w:ind w:left="566" w:hanging="11"/>
      </w:pPr>
      <w:r>
        <w:rPr>
          <w:rtl/>
        </w:rPr>
        <w:lastRenderedPageBreak/>
        <w:t>"3"</w:t>
      </w:r>
      <w:r>
        <w:rPr>
          <w:rtl/>
        </w:rPr>
        <w:tab/>
      </w:r>
      <w:proofErr w:type="gramStart"/>
      <w:r>
        <w:rPr>
          <w:rtl/>
        </w:rPr>
        <w:t>ووفود</w:t>
      </w:r>
      <w:proofErr w:type="gramEnd"/>
      <w:r>
        <w:rPr>
          <w:rtl/>
        </w:rPr>
        <w:t xml:space="preserve"> الدول الأعضاء في الأمم المتحدة من غير الدول الأعضاء في المنظمة العالمية للملكية الفكرية والتي تكون مدعوة إلى المؤتمر بصفة مراقب (والمشار إليها فيما بعد بعبارة "الوفود المراقبة")</w:t>
      </w:r>
      <w:r>
        <w:rPr>
          <w:rFonts w:hint="cs"/>
          <w:rtl/>
        </w:rPr>
        <w:t>،</w:t>
      </w:r>
    </w:p>
    <w:p w:rsidR="00CD5BE1" w:rsidRDefault="00D05D4C" w:rsidP="00D05D4C">
      <w:pPr>
        <w:pStyle w:val="NormalParaAR"/>
        <w:ind w:left="566" w:hanging="11"/>
        <w:rPr>
          <w:rtl/>
        </w:rPr>
      </w:pPr>
      <w:r>
        <w:rPr>
          <w:rtl/>
        </w:rPr>
        <w:t>"4"</w:t>
      </w:r>
      <w:r>
        <w:rPr>
          <w:rtl/>
        </w:rPr>
        <w:tab/>
      </w:r>
      <w:proofErr w:type="gramStart"/>
      <w:r>
        <w:rPr>
          <w:rtl/>
        </w:rPr>
        <w:t>وممثلو</w:t>
      </w:r>
      <w:proofErr w:type="gramEnd"/>
      <w:r>
        <w:rPr>
          <w:rtl/>
        </w:rPr>
        <w:t xml:space="preserve"> المنظمات الدولية الحكومية وغير الحكومية وغيرها من المدعوّين إلى المؤتمر بصفة مراقب (والمشار إليها فيما بعد بمصطلح "المراقبون").</w:t>
      </w:r>
    </w:p>
    <w:p w:rsidR="00D05D4C" w:rsidRDefault="003F652A" w:rsidP="003F652A">
      <w:pPr>
        <w:pStyle w:val="EndofDocumentAR"/>
        <w:rPr>
          <w:rtl/>
        </w:rPr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D05D4C" w:rsidSect="0032500A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37" w:rsidRDefault="006A1137">
      <w:r>
        <w:separator/>
      </w:r>
    </w:p>
  </w:endnote>
  <w:endnote w:type="continuationSeparator" w:id="0">
    <w:p w:rsidR="006A1137" w:rsidRDefault="006A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37" w:rsidRDefault="006A113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A1137" w:rsidRDefault="006A113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6E1F93" w:rsidP="00F00264">
    <w:r>
      <w:t>LI/</w:t>
    </w:r>
    <w:r w:rsidR="00F00264">
      <w:t>DC</w:t>
    </w:r>
    <w:r w:rsidR="008A3488">
      <w:t>/</w:t>
    </w:r>
    <w:r w:rsidR="00F00264">
      <w:t>9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62A71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0A" w:rsidRDefault="00C55F67" w:rsidP="003442E0">
    <w:r>
      <w:t>LI/DC/9</w:t>
    </w:r>
  </w:p>
  <w:p w:rsidR="0032500A" w:rsidRDefault="0032500A" w:rsidP="0032500A">
    <w:pPr>
      <w:pStyle w:val="Header"/>
      <w:rPr>
        <w:rtl/>
      </w:rPr>
    </w:pPr>
    <w:r>
      <w:t>Annex</w:t>
    </w:r>
  </w:p>
  <w:p w:rsidR="0032500A" w:rsidRDefault="0032500A" w:rsidP="00D61541">
    <w:r>
      <w:fldChar w:fldCharType="begin"/>
    </w:r>
    <w:r>
      <w:instrText xml:space="preserve"> PAGE   \* MERGEFORMAT </w:instrText>
    </w:r>
    <w:r>
      <w:fldChar w:fldCharType="separate"/>
    </w:r>
    <w:r w:rsidR="00462A71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0A" w:rsidRDefault="001B3A8B" w:rsidP="009C2CA3">
    <w:r>
      <w:t>LI/</w:t>
    </w:r>
    <w:r w:rsidR="009C2CA3">
      <w:t>DC/9</w:t>
    </w:r>
  </w:p>
  <w:p w:rsidR="0032500A" w:rsidRDefault="0032500A" w:rsidP="0032500A">
    <w:pPr>
      <w:pStyle w:val="Header"/>
      <w:rPr>
        <w:rtl/>
      </w:rPr>
    </w:pPr>
    <w:r>
      <w:t>ANNEX</w:t>
    </w:r>
  </w:p>
  <w:p w:rsidR="0032500A" w:rsidRPr="0032500A" w:rsidRDefault="0032500A" w:rsidP="0032500A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32500A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C4C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2E7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4A0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48F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CC9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949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1A4E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3A8B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B6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27DD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096"/>
    <w:rsid w:val="002559DA"/>
    <w:rsid w:val="00256955"/>
    <w:rsid w:val="0026071A"/>
    <w:rsid w:val="00261B27"/>
    <w:rsid w:val="00262B5A"/>
    <w:rsid w:val="002648AD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337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3A91"/>
    <w:rsid w:val="002D4807"/>
    <w:rsid w:val="002D5DDC"/>
    <w:rsid w:val="002D5F16"/>
    <w:rsid w:val="002D62F1"/>
    <w:rsid w:val="002D6FD8"/>
    <w:rsid w:val="002D727B"/>
    <w:rsid w:val="002D7D25"/>
    <w:rsid w:val="002D7EAD"/>
    <w:rsid w:val="002E1169"/>
    <w:rsid w:val="002E1218"/>
    <w:rsid w:val="002E28F3"/>
    <w:rsid w:val="002E495C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2A59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00A"/>
    <w:rsid w:val="00325C8B"/>
    <w:rsid w:val="00326439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2E0"/>
    <w:rsid w:val="0034582C"/>
    <w:rsid w:val="00345916"/>
    <w:rsid w:val="00345CAC"/>
    <w:rsid w:val="0034789E"/>
    <w:rsid w:val="003501DA"/>
    <w:rsid w:val="003503E2"/>
    <w:rsid w:val="00351DC1"/>
    <w:rsid w:val="003534EE"/>
    <w:rsid w:val="00356DC2"/>
    <w:rsid w:val="003600A2"/>
    <w:rsid w:val="003612D8"/>
    <w:rsid w:val="003637B6"/>
    <w:rsid w:val="00363F89"/>
    <w:rsid w:val="00363FB0"/>
    <w:rsid w:val="003646D6"/>
    <w:rsid w:val="00364FC6"/>
    <w:rsid w:val="0036541D"/>
    <w:rsid w:val="00366713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6C6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0F0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52A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90A"/>
    <w:rsid w:val="00414FD0"/>
    <w:rsid w:val="00417E93"/>
    <w:rsid w:val="00422A2A"/>
    <w:rsid w:val="00424BB4"/>
    <w:rsid w:val="004258CD"/>
    <w:rsid w:val="004261D2"/>
    <w:rsid w:val="00426F3A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8F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2A71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77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4CB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535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0B43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00E"/>
    <w:rsid w:val="00581FF0"/>
    <w:rsid w:val="005825FC"/>
    <w:rsid w:val="00583437"/>
    <w:rsid w:val="00583CE0"/>
    <w:rsid w:val="00584B4A"/>
    <w:rsid w:val="00584DCB"/>
    <w:rsid w:val="00585091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6FF5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4AB"/>
    <w:rsid w:val="006746AC"/>
    <w:rsid w:val="0067571B"/>
    <w:rsid w:val="00675E37"/>
    <w:rsid w:val="0067663E"/>
    <w:rsid w:val="00676CE7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137"/>
    <w:rsid w:val="006A20FB"/>
    <w:rsid w:val="006A339D"/>
    <w:rsid w:val="006A4462"/>
    <w:rsid w:val="006A589D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1F93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2A1"/>
    <w:rsid w:val="00776A33"/>
    <w:rsid w:val="00776F15"/>
    <w:rsid w:val="007779ED"/>
    <w:rsid w:val="00780B1A"/>
    <w:rsid w:val="00780B4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975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80E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711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3488"/>
    <w:rsid w:val="008A35C2"/>
    <w:rsid w:val="008A47FB"/>
    <w:rsid w:val="008A5234"/>
    <w:rsid w:val="008A5397"/>
    <w:rsid w:val="008A6861"/>
    <w:rsid w:val="008A7206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BD8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6750B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2CA3"/>
    <w:rsid w:val="009C316B"/>
    <w:rsid w:val="009C4B2C"/>
    <w:rsid w:val="009C4CB3"/>
    <w:rsid w:val="009C4F15"/>
    <w:rsid w:val="009C511C"/>
    <w:rsid w:val="009C5416"/>
    <w:rsid w:val="009C587B"/>
    <w:rsid w:val="009C64C5"/>
    <w:rsid w:val="009C673E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687F"/>
    <w:rsid w:val="00A20562"/>
    <w:rsid w:val="00A20F75"/>
    <w:rsid w:val="00A212B1"/>
    <w:rsid w:val="00A23B6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594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709"/>
    <w:rsid w:val="00AB7348"/>
    <w:rsid w:val="00AC13B0"/>
    <w:rsid w:val="00AC2FD0"/>
    <w:rsid w:val="00AC3DBD"/>
    <w:rsid w:val="00AC4EBF"/>
    <w:rsid w:val="00AC5E85"/>
    <w:rsid w:val="00AD03D8"/>
    <w:rsid w:val="00AD0D5F"/>
    <w:rsid w:val="00AD34CF"/>
    <w:rsid w:val="00AD36C8"/>
    <w:rsid w:val="00AD37C9"/>
    <w:rsid w:val="00AD47D3"/>
    <w:rsid w:val="00AD5BEE"/>
    <w:rsid w:val="00AD652F"/>
    <w:rsid w:val="00AD7D05"/>
    <w:rsid w:val="00AE01F6"/>
    <w:rsid w:val="00AE16F0"/>
    <w:rsid w:val="00AE16FD"/>
    <w:rsid w:val="00AE473C"/>
    <w:rsid w:val="00AE55E7"/>
    <w:rsid w:val="00AE59F9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C8F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2BA"/>
    <w:rsid w:val="00B44049"/>
    <w:rsid w:val="00B44318"/>
    <w:rsid w:val="00B44C4B"/>
    <w:rsid w:val="00B477CB"/>
    <w:rsid w:val="00B508A7"/>
    <w:rsid w:val="00B52081"/>
    <w:rsid w:val="00B52695"/>
    <w:rsid w:val="00B526FB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26D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285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137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135"/>
    <w:rsid w:val="00C01804"/>
    <w:rsid w:val="00C026BC"/>
    <w:rsid w:val="00C02AD4"/>
    <w:rsid w:val="00C03869"/>
    <w:rsid w:val="00C07988"/>
    <w:rsid w:val="00C07C5E"/>
    <w:rsid w:val="00C10068"/>
    <w:rsid w:val="00C10AC5"/>
    <w:rsid w:val="00C12370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F67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85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09AA"/>
    <w:rsid w:val="00CB0F37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BE1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A02"/>
    <w:rsid w:val="00CF5CA5"/>
    <w:rsid w:val="00CF658A"/>
    <w:rsid w:val="00CF66B6"/>
    <w:rsid w:val="00D007D6"/>
    <w:rsid w:val="00D01A9F"/>
    <w:rsid w:val="00D01CED"/>
    <w:rsid w:val="00D01E38"/>
    <w:rsid w:val="00D022B5"/>
    <w:rsid w:val="00D02E2F"/>
    <w:rsid w:val="00D039B5"/>
    <w:rsid w:val="00D04AA9"/>
    <w:rsid w:val="00D04F76"/>
    <w:rsid w:val="00D053D2"/>
    <w:rsid w:val="00D05D4C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433"/>
    <w:rsid w:val="00D21D89"/>
    <w:rsid w:val="00D22522"/>
    <w:rsid w:val="00D22657"/>
    <w:rsid w:val="00D228DF"/>
    <w:rsid w:val="00D23557"/>
    <w:rsid w:val="00D2427F"/>
    <w:rsid w:val="00D24BB7"/>
    <w:rsid w:val="00D2506D"/>
    <w:rsid w:val="00D25B54"/>
    <w:rsid w:val="00D263AE"/>
    <w:rsid w:val="00D27855"/>
    <w:rsid w:val="00D27E5A"/>
    <w:rsid w:val="00D30912"/>
    <w:rsid w:val="00D31021"/>
    <w:rsid w:val="00D329B9"/>
    <w:rsid w:val="00D33412"/>
    <w:rsid w:val="00D3482C"/>
    <w:rsid w:val="00D3664C"/>
    <w:rsid w:val="00D3683A"/>
    <w:rsid w:val="00D371B5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2CC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51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5DEB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477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F6B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2E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264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50E"/>
    <w:rsid w:val="00F24D27"/>
    <w:rsid w:val="00F2520C"/>
    <w:rsid w:val="00F25BCB"/>
    <w:rsid w:val="00F25ECC"/>
    <w:rsid w:val="00F264C1"/>
    <w:rsid w:val="00F26D7F"/>
    <w:rsid w:val="00F27305"/>
    <w:rsid w:val="00F279C6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32500A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32500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LI_R_P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LI_R_PM.dotx</Template>
  <TotalTime>64</TotalTime>
  <Pages>5</Pages>
  <Words>1126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LI/R/PM/5 Rev. 3 (Arabic)</vt:lpstr>
    </vt:vector>
  </TitlesOfParts>
  <Company>World Intellectual Property Organization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LI/R/PM/5 Rev. 3 (Arabic)</dc:title>
  <dc:creator>من إعداد الأمانة</dc:creator>
  <cp:lastModifiedBy>YOUSSEF Randa</cp:lastModifiedBy>
  <cp:revision>14</cp:revision>
  <cp:lastPrinted>2015-05-10T09:18:00Z</cp:lastPrinted>
  <dcterms:created xsi:type="dcterms:W3CDTF">2015-05-10T07:27:00Z</dcterms:created>
  <dcterms:modified xsi:type="dcterms:W3CDTF">2015-05-10T09:19:00Z</dcterms:modified>
</cp:coreProperties>
</file>