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CA6AA7" w:rsidP="00294EAC">
            <w:pPr>
              <w:pStyle w:val="DocumentCodeAR"/>
              <w:bidi/>
              <w:rPr>
                <w:rtl/>
              </w:rPr>
            </w:pPr>
            <w:r>
              <w:t>LI</w:t>
            </w:r>
            <w:r w:rsidR="00100F97">
              <w:t>/</w:t>
            </w:r>
            <w:r>
              <w:t>DC</w:t>
            </w:r>
            <w:r w:rsidR="00B6101C" w:rsidRPr="00B6101C">
              <w:t>/</w:t>
            </w:r>
            <w:r w:rsidR="00294EAC">
              <w:t>10</w:t>
            </w:r>
          </w:p>
        </w:tc>
      </w:tr>
      <w:tr w:rsidR="001667B6" w:rsidTr="00BF164F">
        <w:tc>
          <w:tcPr>
            <w:tcW w:w="9571" w:type="dxa"/>
            <w:gridSpan w:val="3"/>
          </w:tcPr>
          <w:p w:rsidR="001667B6" w:rsidRPr="00B6101C" w:rsidRDefault="00B6101C" w:rsidP="00294EAC">
            <w:pPr>
              <w:pStyle w:val="DocumentLanguageAR"/>
              <w:bidi/>
              <w:rPr>
                <w:rtl/>
              </w:rPr>
            </w:pPr>
            <w:r w:rsidRPr="00B6101C">
              <w:rPr>
                <w:rFonts w:hint="cs"/>
                <w:rtl/>
              </w:rPr>
              <w:t xml:space="preserve">الأصل: </w:t>
            </w:r>
            <w:r w:rsidR="00294EAC">
              <w:rPr>
                <w:rFonts w:hint="cs"/>
                <w:rtl/>
              </w:rPr>
              <w:t>بالإنكليزية</w:t>
            </w:r>
          </w:p>
        </w:tc>
      </w:tr>
      <w:tr w:rsidR="001667B6" w:rsidTr="00BF164F">
        <w:tc>
          <w:tcPr>
            <w:tcW w:w="9571" w:type="dxa"/>
            <w:gridSpan w:val="3"/>
          </w:tcPr>
          <w:p w:rsidR="001667B6" w:rsidRPr="00B6101C" w:rsidRDefault="00B6101C" w:rsidP="00294EAC">
            <w:pPr>
              <w:pStyle w:val="DocumentDateAR"/>
              <w:bidi/>
              <w:rPr>
                <w:rtl/>
              </w:rPr>
            </w:pPr>
            <w:r w:rsidRPr="00B6101C">
              <w:rPr>
                <w:rFonts w:hint="cs"/>
                <w:rtl/>
              </w:rPr>
              <w:t xml:space="preserve">التاريخ: </w:t>
            </w:r>
            <w:r w:rsidR="00294EAC">
              <w:rPr>
                <w:rFonts w:hint="cs"/>
                <w:rtl/>
              </w:rPr>
              <w:t>14 مايو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294EAC" w:rsidRPr="00D61541" w:rsidRDefault="00294EAC" w:rsidP="00294EAC">
      <w:pPr>
        <w:pStyle w:val="DocumentTitleAR"/>
        <w:bidi/>
        <w:rPr>
          <w:rtl/>
        </w:rPr>
      </w:pPr>
      <w:r>
        <w:rPr>
          <w:rFonts w:hint="cs"/>
          <w:rtl/>
        </w:rPr>
        <w:t>التقرير الأول للجنة فحص أوراق الاعتماد</w:t>
      </w:r>
    </w:p>
    <w:p w:rsidR="00294EAC" w:rsidRPr="00D61541" w:rsidRDefault="00294EAC" w:rsidP="00294EAC">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294EAC" w:rsidRDefault="00294EAC" w:rsidP="00294EAC">
      <w:pPr>
        <w:pStyle w:val="NumberedParaAR"/>
        <w:rPr>
          <w:rtl/>
        </w:rPr>
      </w:pPr>
      <w:r>
        <w:rPr>
          <w:rtl/>
        </w:rPr>
        <w:t xml:space="preserve">اجتمعت </w:t>
      </w:r>
      <w:r>
        <w:rPr>
          <w:rFonts w:hint="cs"/>
          <w:rtl/>
        </w:rPr>
        <w:t xml:space="preserve">يوم 13 مايو 2015 </w:t>
      </w:r>
      <w:r>
        <w:rPr>
          <w:rtl/>
        </w:rPr>
        <w:t>لجنة فحص أوراق الاعتماد (</w:t>
      </w:r>
      <w:r>
        <w:rPr>
          <w:rFonts w:hint="cs"/>
          <w:rtl/>
        </w:rPr>
        <w:t>المشار إليها فيما يلي بمختصر "</w:t>
      </w:r>
      <w:r>
        <w:rPr>
          <w:rtl/>
        </w:rPr>
        <w:t xml:space="preserve">اللجنة") التي ألفها </w:t>
      </w:r>
      <w:r w:rsidRPr="00294EAC">
        <w:rPr>
          <w:rtl/>
        </w:rPr>
        <w:t>المؤتمر الدبلوماسي المعني باعتماد وثيقة جديدة لاتفاق لشبونة بشأن حماية تسميات المنشأ وتسجيلها على الصعيد الدولي</w:t>
      </w:r>
      <w:r>
        <w:rPr>
          <w:rFonts w:hint="cs"/>
          <w:rtl/>
        </w:rPr>
        <w:t>، في</w:t>
      </w:r>
      <w:r>
        <w:rPr>
          <w:rFonts w:hint="eastAsia"/>
          <w:rtl/>
        </w:rPr>
        <w:t> </w:t>
      </w:r>
      <w:r>
        <w:rPr>
          <w:rFonts w:hint="cs"/>
          <w:rtl/>
        </w:rPr>
        <w:t>12</w:t>
      </w:r>
      <w:r>
        <w:rPr>
          <w:rFonts w:hint="eastAsia"/>
          <w:rtl/>
        </w:rPr>
        <w:t> </w:t>
      </w:r>
      <w:r>
        <w:rPr>
          <w:rFonts w:hint="cs"/>
          <w:rtl/>
        </w:rPr>
        <w:t>مايو 2015.</w:t>
      </w:r>
    </w:p>
    <w:p w:rsidR="00294EAC" w:rsidRDefault="00294EAC" w:rsidP="00486830">
      <w:pPr>
        <w:pStyle w:val="NumberedParaAR"/>
        <w:rPr>
          <w:rtl/>
        </w:rPr>
      </w:pPr>
      <w:r>
        <w:rPr>
          <w:rtl/>
        </w:rPr>
        <w:t>وحضرت الاجتماع وفود الدول التالي ذكرها</w:t>
      </w:r>
      <w:r w:rsidR="00A852C1">
        <w:rPr>
          <w:rFonts w:hint="cs"/>
          <w:rtl/>
        </w:rPr>
        <w:t>،</w:t>
      </w:r>
      <w:r>
        <w:rPr>
          <w:rtl/>
        </w:rPr>
        <w:t xml:space="preserve"> و</w:t>
      </w:r>
      <w:r w:rsidR="00A852C1">
        <w:rPr>
          <w:rFonts w:hint="cs"/>
          <w:rtl/>
        </w:rPr>
        <w:t xml:space="preserve">هي </w:t>
      </w:r>
      <w:r>
        <w:rPr>
          <w:rtl/>
        </w:rPr>
        <w:t xml:space="preserve">أعضاء اللجنة </w:t>
      </w:r>
      <w:r w:rsidR="00486830">
        <w:rPr>
          <w:rFonts w:hint="cs"/>
          <w:rtl/>
        </w:rPr>
        <w:t xml:space="preserve">التي </w:t>
      </w:r>
      <w:r>
        <w:rPr>
          <w:rtl/>
        </w:rPr>
        <w:t xml:space="preserve">انتخبها المؤتمر الدبلوماسي: </w:t>
      </w:r>
      <w:r>
        <w:rPr>
          <w:rFonts w:hint="cs"/>
          <w:rtl/>
        </w:rPr>
        <w:t>بوركينا فاسو والجمهورية التشيكية وجورجيا ونيكاراغوا والبرتغال</w:t>
      </w:r>
      <w:r>
        <w:rPr>
          <w:rtl/>
        </w:rPr>
        <w:t>.</w:t>
      </w:r>
    </w:p>
    <w:p w:rsidR="00294EAC" w:rsidRDefault="00294EAC" w:rsidP="00A852C1">
      <w:pPr>
        <w:pStyle w:val="NumberedParaAR"/>
        <w:rPr>
          <w:rtl/>
        </w:rPr>
      </w:pPr>
      <w:r>
        <w:rPr>
          <w:rtl/>
        </w:rPr>
        <w:t>وكان رئيس اللجنة الذي انتخبه المؤتمر الدبلوماسي السيد</w:t>
      </w:r>
      <w:r>
        <w:rPr>
          <w:rFonts w:hint="cs"/>
          <w:rtl/>
        </w:rPr>
        <w:t xml:space="preserve"> </w:t>
      </w:r>
      <w:r w:rsidR="00A852C1">
        <w:rPr>
          <w:rFonts w:hint="cs"/>
          <w:rtl/>
        </w:rPr>
        <w:t>فيليبي راماليرا (البرتغال)</w:t>
      </w:r>
      <w:r>
        <w:rPr>
          <w:rtl/>
        </w:rPr>
        <w:t xml:space="preserve">. وكان نائبا الرئيس اللذان انتخبهما المؤتمر الدبلوماسي </w:t>
      </w:r>
      <w:r>
        <w:rPr>
          <w:rFonts w:hint="cs"/>
          <w:rtl/>
        </w:rPr>
        <w:t xml:space="preserve">السيد </w:t>
      </w:r>
      <w:r w:rsidR="00A852C1">
        <w:rPr>
          <w:rFonts w:hint="cs"/>
          <w:rtl/>
        </w:rPr>
        <w:t>ميلان بيرانيك</w:t>
      </w:r>
      <w:r>
        <w:rPr>
          <w:rFonts w:hint="cs"/>
          <w:rtl/>
        </w:rPr>
        <w:t xml:space="preserve"> (</w:t>
      </w:r>
      <w:r w:rsidR="00A852C1">
        <w:rPr>
          <w:rFonts w:hint="cs"/>
          <w:rtl/>
        </w:rPr>
        <w:t>الجمهورية التشيكية</w:t>
      </w:r>
      <w:r>
        <w:rPr>
          <w:rFonts w:hint="cs"/>
          <w:rtl/>
        </w:rPr>
        <w:t>) والسيد</w:t>
      </w:r>
      <w:r w:rsidR="00A852C1">
        <w:rPr>
          <w:rFonts w:hint="cs"/>
          <w:rtl/>
        </w:rPr>
        <w:t>ة</w:t>
      </w:r>
      <w:r>
        <w:rPr>
          <w:rFonts w:hint="cs"/>
          <w:rtl/>
        </w:rPr>
        <w:t xml:space="preserve"> </w:t>
      </w:r>
      <w:r w:rsidR="00A852C1">
        <w:rPr>
          <w:rFonts w:hint="cs"/>
          <w:rtl/>
        </w:rPr>
        <w:t>جيني أرانا فيسكايا</w:t>
      </w:r>
      <w:r>
        <w:rPr>
          <w:rFonts w:hint="cs"/>
          <w:rtl/>
        </w:rPr>
        <w:t xml:space="preserve"> (</w:t>
      </w:r>
      <w:r w:rsidR="00A852C1">
        <w:rPr>
          <w:rFonts w:hint="cs"/>
          <w:rtl/>
        </w:rPr>
        <w:t>نيكاراغوا</w:t>
      </w:r>
      <w:r>
        <w:rPr>
          <w:rFonts w:hint="cs"/>
          <w:rtl/>
        </w:rPr>
        <w:t>)</w:t>
      </w:r>
      <w:r>
        <w:rPr>
          <w:rtl/>
        </w:rPr>
        <w:t>.</w:t>
      </w:r>
    </w:p>
    <w:p w:rsidR="00294EAC" w:rsidRDefault="00294EAC" w:rsidP="00486830">
      <w:pPr>
        <w:pStyle w:val="NumberedParaAR"/>
        <w:rPr>
          <w:rtl/>
        </w:rPr>
      </w:pPr>
      <w:r>
        <w:rPr>
          <w:rtl/>
        </w:rPr>
        <w:t xml:space="preserve">ووفقا للمادة 9(1) من النظام الداخلي الذي اعتمده المؤتمر في </w:t>
      </w:r>
      <w:r w:rsidR="00A852C1">
        <w:rPr>
          <w:rFonts w:hint="cs"/>
          <w:rtl/>
        </w:rPr>
        <w:t>11 مايو 2015</w:t>
      </w:r>
      <w:r>
        <w:rPr>
          <w:rtl/>
        </w:rPr>
        <w:t xml:space="preserve"> (الوثيقة </w:t>
      </w:r>
      <w:r w:rsidR="00A852C1">
        <w:t>LI</w:t>
      </w:r>
      <w:r>
        <w:t>/DC/2</w:t>
      </w:r>
      <w:r w:rsidR="00A852C1">
        <w:t> Prov.</w:t>
      </w:r>
      <w:r>
        <w:rPr>
          <w:rtl/>
        </w:rPr>
        <w:t xml:space="preserve">، </w:t>
      </w:r>
      <w:r>
        <w:rPr>
          <w:rFonts w:hint="cs"/>
          <w:rtl/>
        </w:rPr>
        <w:t xml:space="preserve">المشار إليه فيما يلي بمختصر </w:t>
      </w:r>
      <w:r>
        <w:rPr>
          <w:rtl/>
        </w:rPr>
        <w:t xml:space="preserve">"النظام الداخلي")، فحصت اللجنة أوراق الاعتماد أو التفويض الكامل أو الخطابات أو وثائق التعيين الأخرى التي قدمتها لأغراض المادتين 6 و7 وفود الدول الأعضاء في </w:t>
      </w:r>
      <w:r w:rsidR="00A852C1">
        <w:rPr>
          <w:rFonts w:hint="cs"/>
          <w:rtl/>
        </w:rPr>
        <w:t>اتحاد لشبونة</w:t>
      </w:r>
      <w:r>
        <w:rPr>
          <w:rtl/>
        </w:rPr>
        <w:t xml:space="preserve"> والتي تشارك في المؤتمر وفقا لأحكام المادة 2(1)"1" من النظام الداخلي (</w:t>
      </w:r>
      <w:r>
        <w:rPr>
          <w:rFonts w:hint="cs"/>
          <w:rtl/>
        </w:rPr>
        <w:t xml:space="preserve">المشار إليها فيما يلي بعبارة </w:t>
      </w:r>
      <w:r>
        <w:rPr>
          <w:rtl/>
        </w:rPr>
        <w:t>"الوفود الأعضاء")</w:t>
      </w:r>
      <w:r>
        <w:rPr>
          <w:rFonts w:hint="cs"/>
          <w:rtl/>
        </w:rPr>
        <w:t xml:space="preserve">، </w:t>
      </w:r>
      <w:r w:rsidR="00A852C1">
        <w:rPr>
          <w:rFonts w:hint="cs"/>
          <w:rtl/>
        </w:rPr>
        <w:t>ووفد</w:t>
      </w:r>
      <w:r w:rsidR="00486830">
        <w:rPr>
          <w:rFonts w:hint="cs"/>
          <w:rtl/>
        </w:rPr>
        <w:t>ا</w:t>
      </w:r>
      <w:r w:rsidR="00A852C1">
        <w:rPr>
          <w:rFonts w:hint="cs"/>
          <w:rtl/>
        </w:rPr>
        <w:t xml:space="preserve"> المنظمة الأفريقية للملكية الفكرية </w:t>
      </w:r>
      <w:r w:rsidR="00A852C1">
        <w:t>(OAPI)</w:t>
      </w:r>
      <w:r w:rsidR="00A852C1">
        <w:rPr>
          <w:rFonts w:hint="cs"/>
          <w:rtl/>
          <w:lang w:val="fr-CH"/>
        </w:rPr>
        <w:t xml:space="preserve"> </w:t>
      </w:r>
      <w:r>
        <w:rPr>
          <w:rFonts w:hint="cs"/>
          <w:rtl/>
        </w:rPr>
        <w:t>والاتحاد الأوروبي</w:t>
      </w:r>
      <w:r>
        <w:rPr>
          <w:rtl/>
        </w:rPr>
        <w:t xml:space="preserve"> </w:t>
      </w:r>
      <w:r>
        <w:rPr>
          <w:rFonts w:hint="cs"/>
          <w:rtl/>
        </w:rPr>
        <w:t>ال</w:t>
      </w:r>
      <w:r w:rsidR="00A852C1">
        <w:rPr>
          <w:rFonts w:hint="cs"/>
          <w:rtl/>
        </w:rPr>
        <w:t>لذان</w:t>
      </w:r>
      <w:r>
        <w:rPr>
          <w:rFonts w:hint="cs"/>
          <w:rtl/>
        </w:rPr>
        <w:t xml:space="preserve"> يشارك</w:t>
      </w:r>
      <w:r w:rsidR="00A852C1">
        <w:rPr>
          <w:rFonts w:hint="cs"/>
          <w:rtl/>
        </w:rPr>
        <w:t>ان</w:t>
      </w:r>
      <w:r>
        <w:rPr>
          <w:rFonts w:hint="cs"/>
          <w:rtl/>
        </w:rPr>
        <w:t xml:space="preserve"> في المؤتمر الدبلوماسي </w:t>
      </w:r>
      <w:r>
        <w:rPr>
          <w:rtl/>
        </w:rPr>
        <w:t>وفقا لأحكام المادة 2(1)"2" من النظام الداخلي (</w:t>
      </w:r>
      <w:r>
        <w:rPr>
          <w:rFonts w:hint="cs"/>
          <w:rtl/>
        </w:rPr>
        <w:t>المشار إليه</w:t>
      </w:r>
      <w:r w:rsidR="00A852C1">
        <w:rPr>
          <w:rFonts w:hint="cs"/>
          <w:rtl/>
        </w:rPr>
        <w:t>ما</w:t>
      </w:r>
      <w:r>
        <w:rPr>
          <w:rFonts w:hint="cs"/>
          <w:rtl/>
        </w:rPr>
        <w:t xml:space="preserve"> فيما يلي بعبارة </w:t>
      </w:r>
      <w:r>
        <w:rPr>
          <w:rtl/>
        </w:rPr>
        <w:t>"ال</w:t>
      </w:r>
      <w:r>
        <w:rPr>
          <w:rFonts w:hint="cs"/>
          <w:rtl/>
        </w:rPr>
        <w:t>و</w:t>
      </w:r>
      <w:r>
        <w:rPr>
          <w:rtl/>
        </w:rPr>
        <w:t>فد</w:t>
      </w:r>
      <w:r w:rsidR="00A852C1">
        <w:rPr>
          <w:rFonts w:hint="cs"/>
          <w:rtl/>
        </w:rPr>
        <w:t>ان</w:t>
      </w:r>
      <w:r>
        <w:rPr>
          <w:rtl/>
        </w:rPr>
        <w:t xml:space="preserve"> الخاص</w:t>
      </w:r>
      <w:r w:rsidR="00A852C1">
        <w:rPr>
          <w:rFonts w:hint="cs"/>
          <w:rtl/>
        </w:rPr>
        <w:t>ان</w:t>
      </w:r>
      <w:r>
        <w:rPr>
          <w:rtl/>
        </w:rPr>
        <w:t>")</w:t>
      </w:r>
      <w:r w:rsidR="00D142B5">
        <w:rPr>
          <w:rFonts w:hint="cs"/>
          <w:rtl/>
          <w:lang w:val="fr-CH"/>
        </w:rPr>
        <w:t xml:space="preserve">. وفحصت أيضا </w:t>
      </w:r>
      <w:r w:rsidR="00D142B5">
        <w:rPr>
          <w:rtl/>
        </w:rPr>
        <w:t>أوراق الاعتماد أو التفويض الكامل أو الخطابات أو وثائق التعيين الأخرى التي قدمتها</w:t>
      </w:r>
      <w:r w:rsidR="00D142B5">
        <w:rPr>
          <w:rFonts w:hint="cs"/>
          <w:rtl/>
        </w:rPr>
        <w:t xml:space="preserve"> وفود الدول الأعضاء في المنظمة العالمية للملكية الفكرية (المشار إليها فيما يلي بمختصر "الويبو") غير الأعضاء في اتحاد لشبونة والتي تشارك في المؤتمر وفقا لأحكام المادة 2(1)"3" من النظام الداخلي (المشار إليها في</w:t>
      </w:r>
      <w:r w:rsidR="00486830">
        <w:rPr>
          <w:rFonts w:hint="cs"/>
          <w:rtl/>
        </w:rPr>
        <w:t>ما</w:t>
      </w:r>
      <w:r w:rsidR="00D142B5">
        <w:rPr>
          <w:rFonts w:hint="cs"/>
          <w:rtl/>
        </w:rPr>
        <w:t xml:space="preserve"> يلي بعبارة </w:t>
      </w:r>
      <w:r w:rsidR="00D142B5">
        <w:rPr>
          <w:rFonts w:hint="cs"/>
          <w:rtl/>
        </w:rPr>
        <w:lastRenderedPageBreak/>
        <w:t>"الوفود المراقبة")،</w:t>
      </w:r>
      <w:r>
        <w:rPr>
          <w:rtl/>
        </w:rPr>
        <w:t xml:space="preserve"> وممثلو المنظمات الحكومية </w:t>
      </w:r>
      <w:r>
        <w:rPr>
          <w:rFonts w:hint="cs"/>
          <w:rtl/>
        </w:rPr>
        <w:t xml:space="preserve">الدولية </w:t>
      </w:r>
      <w:r>
        <w:rPr>
          <w:rtl/>
        </w:rPr>
        <w:t>والمنظمات غير الحكومية الذين يشاركون في المؤتمر وفقا لأحكام المادة</w:t>
      </w:r>
      <w:r>
        <w:rPr>
          <w:rFonts w:hint="cs"/>
          <w:rtl/>
        </w:rPr>
        <w:t> </w:t>
      </w:r>
      <w:r>
        <w:rPr>
          <w:rtl/>
        </w:rPr>
        <w:t>2(1)"4" من النظام الداخلي (</w:t>
      </w:r>
      <w:r>
        <w:rPr>
          <w:rFonts w:hint="cs"/>
          <w:rtl/>
        </w:rPr>
        <w:t xml:space="preserve">المشار إليهم فيما يلي بمختصر </w:t>
      </w:r>
      <w:r>
        <w:rPr>
          <w:rtl/>
        </w:rPr>
        <w:t>"</w:t>
      </w:r>
      <w:r>
        <w:rPr>
          <w:rFonts w:hint="cs"/>
          <w:rtl/>
        </w:rPr>
        <w:t>المراقبون</w:t>
      </w:r>
      <w:r>
        <w:rPr>
          <w:rtl/>
        </w:rPr>
        <w:t>").</w:t>
      </w:r>
    </w:p>
    <w:p w:rsidR="00294EAC" w:rsidRDefault="00294EAC" w:rsidP="00294EAC">
      <w:pPr>
        <w:pStyle w:val="NumberedParaAR"/>
        <w:rPr>
          <w:rtl/>
        </w:rPr>
      </w:pPr>
      <w:r>
        <w:rPr>
          <w:rtl/>
        </w:rPr>
        <w:t>وبالاستناد إلى المعلومات التي قدمتها الأمانة فيما يخص الممارسات السائدة في المؤتمرات الدبلوماسية الأخرى، ولا سيما في المؤتمرات الدبلوماسية التي تدعو الويبو إلى عقدها، قررت اللجنة أن توصي المؤتمر المنعقد في جلسة عامة بتطبيق المعايير التالي ذكرها في اللجنة عندما تفحص أوراق الاعتماد أو التفويض الكامل أو الخطابات أو الوثائق الأخرى المقدمة لأغراض المادتين 6 و7 من النظام الداخلي، وبإخضاع قرار المؤتمر في ذلك الشأن لتلك المعايير:</w:t>
      </w:r>
    </w:p>
    <w:p w:rsidR="00294EAC" w:rsidRDefault="00294EAC" w:rsidP="007969AE">
      <w:pPr>
        <w:pStyle w:val="NormalParaAR"/>
        <w:ind w:left="1701" w:hanging="567"/>
        <w:rPr>
          <w:rtl/>
        </w:rPr>
      </w:pPr>
      <w:r>
        <w:rPr>
          <w:rtl/>
        </w:rPr>
        <w:t>"1"</w:t>
      </w:r>
      <w:r>
        <w:rPr>
          <w:rtl/>
        </w:rPr>
        <w:tab/>
        <w:t>بالنسبة إلى كل دولة معنية، ينبغي قبول أوراق الاعتماد والتفويض الكامل لوفد تلك الدولة إذا وقعها رئيس الدولة أو رئيس الحكومة أو وزير الخارجية. وينبغي قبول أوراق الاعتماد وليس التفويض الكامل إذا تضمنتها مذكرة شفوية أو خطاب للممثل الدائم لتلك الدولة في جنيف، أو تضمنتها مذكرة شفوية لوزارة الخارجية أو للبعثة الدائمة لتلك الدولة في جنيف. ولا ينبغي قبول غير ذلك. وعلى وجه الخصوص، لا</w:t>
      </w:r>
      <w:r>
        <w:rPr>
          <w:rFonts w:hint="cs"/>
          <w:rtl/>
        </w:rPr>
        <w:t> </w:t>
      </w:r>
      <w:r>
        <w:rPr>
          <w:rtl/>
        </w:rPr>
        <w:t>ينبغي اعتبار أي بلاغ صادر عن وزير خلاف وزير الخارجية كأوراق</w:t>
      </w:r>
      <w:r>
        <w:rPr>
          <w:rFonts w:hint="cs"/>
          <w:rtl/>
        </w:rPr>
        <w:t> </w:t>
      </w:r>
      <w:r>
        <w:rPr>
          <w:rtl/>
        </w:rPr>
        <w:t>اعتماد</w:t>
      </w:r>
      <w:r>
        <w:rPr>
          <w:rFonts w:hint="cs"/>
          <w:rtl/>
        </w:rPr>
        <w:t>،</w:t>
      </w:r>
    </w:p>
    <w:p w:rsidR="00294EAC" w:rsidRDefault="00294EAC" w:rsidP="00294EAC">
      <w:pPr>
        <w:pStyle w:val="NormalParaAR"/>
        <w:ind w:left="1701" w:hanging="567"/>
        <w:rPr>
          <w:rtl/>
        </w:rPr>
      </w:pPr>
      <w:r>
        <w:rPr>
          <w:rtl/>
        </w:rPr>
        <w:t>"2"</w:t>
      </w:r>
      <w:r>
        <w:rPr>
          <w:rtl/>
        </w:rPr>
        <w:tab/>
        <w:t>وبالنسبة إلى كل منظمة معنية، ينبغي قبول خطاب ممثلها أو أية وثيقة تعيين أخرى إذا وقعها رئيس المنظمة (المدير العام أو الأمين العام أو الرئيس) أو نائب الرئيس أو المسؤول الرسمي للشؤون الخارجية للمنظمة</w:t>
      </w:r>
      <w:r>
        <w:rPr>
          <w:rFonts w:hint="cs"/>
          <w:rtl/>
        </w:rPr>
        <w:t>،</w:t>
      </w:r>
    </w:p>
    <w:p w:rsidR="00294EAC" w:rsidRDefault="00294EAC" w:rsidP="00294EAC">
      <w:pPr>
        <w:pStyle w:val="NormalParaAR"/>
        <w:ind w:left="1701" w:hanging="567"/>
        <w:rPr>
          <w:rtl/>
        </w:rPr>
      </w:pPr>
      <w:r>
        <w:rPr>
          <w:rtl/>
        </w:rPr>
        <w:t>"3"</w:t>
      </w:r>
      <w:r>
        <w:rPr>
          <w:rtl/>
        </w:rPr>
        <w:tab/>
        <w:t>وينبغي قبول البلاغات المرسلة بالفاكس أو بالوسائل الإلكترونية أو بشكل ورقي إذا استوفت من حيث مصدرها المتطلبات المنصوص عليها في البندين "1" و"2".</w:t>
      </w:r>
    </w:p>
    <w:p w:rsidR="00294EAC" w:rsidRDefault="00294EAC" w:rsidP="00294EAC">
      <w:pPr>
        <w:pStyle w:val="NumberedParaAR"/>
        <w:rPr>
          <w:rtl/>
        </w:rPr>
      </w:pPr>
      <w:r>
        <w:rPr>
          <w:rtl/>
        </w:rPr>
        <w:t>وقررت اللجنة تطبيق تلك المعايير على الوثائق التي تتسلمها ريثما يتخذ المؤتمر قراره النهائي بشأنها في جلسة عامة.</w:t>
      </w:r>
    </w:p>
    <w:p w:rsidR="00294EAC" w:rsidRDefault="00294EAC" w:rsidP="00294EAC">
      <w:pPr>
        <w:pStyle w:val="NumberedParaAR"/>
        <w:rPr>
          <w:rtl/>
        </w:rPr>
      </w:pPr>
      <w:r>
        <w:rPr>
          <w:rtl/>
        </w:rPr>
        <w:t>وعليه، رأت اللجنة أن ما يأتي يستوفي تلك المعايير:</w:t>
      </w:r>
    </w:p>
    <w:p w:rsidR="00294EAC" w:rsidRDefault="00294EAC" w:rsidP="00294EAC">
      <w:pPr>
        <w:pStyle w:val="NormalParaAR"/>
        <w:ind w:left="6" w:firstLine="567"/>
        <w:rPr>
          <w:rtl/>
        </w:rPr>
      </w:pPr>
      <w:r>
        <w:rPr>
          <w:rtl/>
        </w:rPr>
        <w:t>(أ)</w:t>
      </w:r>
      <w:r>
        <w:rPr>
          <w:rtl/>
        </w:rPr>
        <w:tab/>
        <w:t>بالنسبة إلى الوفود الأعضاء،</w:t>
      </w:r>
    </w:p>
    <w:p w:rsidR="00B35602" w:rsidRDefault="00294EAC" w:rsidP="00D30D00">
      <w:pPr>
        <w:pStyle w:val="NormalParaAR"/>
        <w:spacing w:after="120"/>
        <w:ind w:left="1701" w:hanging="567"/>
        <w:rPr>
          <w:rtl/>
        </w:rPr>
      </w:pPr>
      <w:r>
        <w:rPr>
          <w:rtl/>
        </w:rPr>
        <w:t>"1"</w:t>
      </w:r>
      <w:r>
        <w:rPr>
          <w:rtl/>
        </w:rPr>
        <w:tab/>
        <w:t xml:space="preserve">أوراق الاعتماد والتفويض الكامل (أي أوراق الاعتماد للمشاركة في المؤتمر والتوقيع على وثيقته الختامية والتفويض الكامل </w:t>
      </w:r>
      <w:r>
        <w:rPr>
          <w:rFonts w:hint="cs"/>
          <w:rtl/>
        </w:rPr>
        <w:t xml:space="preserve">أيضا </w:t>
      </w:r>
      <w:r>
        <w:rPr>
          <w:rtl/>
        </w:rPr>
        <w:t xml:space="preserve">للتوقيع على المعاهدة التي سيعتمدها المؤتمر الدبلوماسي) لوفود </w:t>
      </w:r>
      <w:r>
        <w:rPr>
          <w:rFonts w:hint="cs"/>
          <w:rtl/>
        </w:rPr>
        <w:t>الدول التالي ذكرها (</w:t>
      </w:r>
      <w:r w:rsidR="007969AE">
        <w:rPr>
          <w:rFonts w:hint="cs"/>
          <w:rtl/>
        </w:rPr>
        <w:t>10</w:t>
      </w:r>
      <w:r>
        <w:rPr>
          <w:rFonts w:hint="cs"/>
          <w:rtl/>
        </w:rPr>
        <w:t>):</w:t>
      </w:r>
    </w:p>
    <w:p w:rsidR="00B35602" w:rsidRDefault="00B35602" w:rsidP="00294EAC">
      <w:pPr>
        <w:pStyle w:val="NormalParaAR"/>
        <w:ind w:left="1701" w:hanging="567"/>
        <w:rPr>
          <w:rtl/>
        </w:rPr>
        <w:sectPr w:rsidR="00B35602" w:rsidSect="00EB7752">
          <w:headerReference w:type="default" r:id="rId10"/>
          <w:pgSz w:w="11907" w:h="16840" w:code="9"/>
          <w:pgMar w:top="567" w:right="1418" w:bottom="1418" w:left="1134" w:header="510" w:footer="1021" w:gutter="0"/>
          <w:cols w:space="720"/>
          <w:titlePg/>
          <w:docGrid w:linePitch="299"/>
        </w:sectPr>
      </w:pPr>
    </w:p>
    <w:p w:rsidR="00294EAC" w:rsidRDefault="00294EAC" w:rsidP="00294EAC">
      <w:pPr>
        <w:pStyle w:val="NormalParaAR"/>
        <w:spacing w:after="0"/>
        <w:ind w:left="1700"/>
        <w:rPr>
          <w:rtl/>
        </w:rPr>
      </w:pPr>
      <w:r>
        <w:rPr>
          <w:rFonts w:hint="cs"/>
          <w:rtl/>
        </w:rPr>
        <w:lastRenderedPageBreak/>
        <w:t>البوسنة والهرسك</w:t>
      </w:r>
    </w:p>
    <w:p w:rsidR="00294EAC" w:rsidRDefault="00294EAC" w:rsidP="00294EAC">
      <w:pPr>
        <w:pStyle w:val="NormalParaAR"/>
        <w:spacing w:after="0"/>
        <w:ind w:left="1700"/>
        <w:rPr>
          <w:rtl/>
        </w:rPr>
      </w:pPr>
      <w:r>
        <w:rPr>
          <w:rtl/>
        </w:rPr>
        <w:t>بوركينا فا</w:t>
      </w:r>
      <w:r>
        <w:rPr>
          <w:rFonts w:hint="cs"/>
          <w:rtl/>
        </w:rPr>
        <w:t>ص</w:t>
      </w:r>
      <w:r>
        <w:rPr>
          <w:rtl/>
        </w:rPr>
        <w:t>و</w:t>
      </w:r>
    </w:p>
    <w:p w:rsidR="00294EAC" w:rsidRDefault="00294EAC" w:rsidP="00294EAC">
      <w:pPr>
        <w:pStyle w:val="NormalParaAR"/>
        <w:spacing w:after="0"/>
        <w:ind w:left="1700"/>
        <w:rPr>
          <w:rtl/>
        </w:rPr>
      </w:pPr>
      <w:r>
        <w:rPr>
          <w:rtl/>
        </w:rPr>
        <w:t>الكونغو</w:t>
      </w:r>
    </w:p>
    <w:p w:rsidR="00473739" w:rsidRDefault="00473739" w:rsidP="00B35602">
      <w:pPr>
        <w:pStyle w:val="NormalParaAR"/>
        <w:spacing w:after="0"/>
        <w:ind w:left="1983" w:hanging="283"/>
        <w:rPr>
          <w:rtl/>
        </w:rPr>
      </w:pPr>
      <w:r>
        <w:rPr>
          <w:rFonts w:hint="cs"/>
          <w:rtl/>
        </w:rPr>
        <w:t>جمهورية كوريا الشعبية</w:t>
      </w:r>
      <w:r w:rsidR="00B35602" w:rsidRPr="00B35602">
        <w:rPr>
          <w:rFonts w:hint="cs"/>
          <w:rtl/>
        </w:rPr>
        <w:t xml:space="preserve"> </w:t>
      </w:r>
      <w:r w:rsidR="00B35602">
        <w:rPr>
          <w:rFonts w:hint="cs"/>
          <w:rtl/>
        </w:rPr>
        <w:t>الديمقراطية</w:t>
      </w:r>
    </w:p>
    <w:p w:rsidR="00294EAC" w:rsidRDefault="00294EAC" w:rsidP="00294EAC">
      <w:pPr>
        <w:pStyle w:val="NormalParaAR"/>
        <w:spacing w:after="0"/>
        <w:ind w:left="1700"/>
        <w:rPr>
          <w:rtl/>
        </w:rPr>
      </w:pPr>
      <w:r>
        <w:rPr>
          <w:rFonts w:hint="cs"/>
          <w:rtl/>
        </w:rPr>
        <w:t>هنغاريا</w:t>
      </w:r>
    </w:p>
    <w:p w:rsidR="00B35602" w:rsidRDefault="00B35602" w:rsidP="00294EAC">
      <w:pPr>
        <w:pStyle w:val="NormalParaAR"/>
        <w:spacing w:after="0"/>
        <w:ind w:left="1700"/>
        <w:rPr>
          <w:rtl/>
        </w:rPr>
      </w:pPr>
      <w:r>
        <w:rPr>
          <w:rFonts w:hint="cs"/>
          <w:rtl/>
        </w:rPr>
        <w:t>نيكاراغوا</w:t>
      </w:r>
    </w:p>
    <w:p w:rsidR="00B35602" w:rsidRDefault="00B35602" w:rsidP="00294EAC">
      <w:pPr>
        <w:pStyle w:val="NormalParaAR"/>
        <w:spacing w:after="0"/>
        <w:ind w:left="1700"/>
        <w:rPr>
          <w:rtl/>
        </w:rPr>
      </w:pPr>
      <w:r>
        <w:rPr>
          <w:rFonts w:hint="cs"/>
          <w:rtl/>
        </w:rPr>
        <w:t>بيرو</w:t>
      </w:r>
    </w:p>
    <w:p w:rsidR="00294EAC" w:rsidRDefault="00294EAC" w:rsidP="00294EAC">
      <w:pPr>
        <w:pStyle w:val="NormalParaAR"/>
        <w:spacing w:after="0"/>
        <w:ind w:left="1700"/>
        <w:rPr>
          <w:rtl/>
        </w:rPr>
      </w:pPr>
      <w:r>
        <w:rPr>
          <w:rFonts w:hint="cs"/>
          <w:rtl/>
        </w:rPr>
        <w:t>البرتغال</w:t>
      </w:r>
    </w:p>
    <w:p w:rsidR="00294EAC" w:rsidRDefault="00294EAC" w:rsidP="00B35602">
      <w:pPr>
        <w:pStyle w:val="NormalParaAR"/>
        <w:spacing w:after="0"/>
        <w:ind w:left="1983" w:right="567" w:hanging="283"/>
        <w:rPr>
          <w:rtl/>
        </w:rPr>
      </w:pPr>
      <w:r>
        <w:rPr>
          <w:rFonts w:hint="cs"/>
          <w:rtl/>
        </w:rPr>
        <w:t xml:space="preserve">جمهورية </w:t>
      </w:r>
      <w:r w:rsidR="00B35602">
        <w:rPr>
          <w:rFonts w:hint="cs"/>
          <w:rtl/>
        </w:rPr>
        <w:t>مقدونيا اليوغوسلافية السابقة</w:t>
      </w:r>
    </w:p>
    <w:p w:rsidR="00294EAC" w:rsidRDefault="00B35602" w:rsidP="00B35602">
      <w:pPr>
        <w:pStyle w:val="NormalParaAR"/>
        <w:spacing w:after="0"/>
        <w:ind w:left="1700"/>
        <w:rPr>
          <w:rtl/>
        </w:rPr>
      </w:pPr>
      <w:r>
        <w:rPr>
          <w:rFonts w:hint="cs"/>
          <w:rtl/>
        </w:rPr>
        <w:t>توغو</w:t>
      </w:r>
    </w:p>
    <w:p w:rsidR="00294EAC" w:rsidRDefault="00294EAC"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pPr>
    </w:p>
    <w:p w:rsidR="00B35602" w:rsidRDefault="00B35602" w:rsidP="00294EAC">
      <w:pPr>
        <w:pStyle w:val="NormalParaAR"/>
        <w:spacing w:after="0"/>
        <w:ind w:left="1700"/>
        <w:rPr>
          <w:rtl/>
        </w:rPr>
        <w:sectPr w:rsidR="00B35602" w:rsidSect="0029384F">
          <w:type w:val="continuous"/>
          <w:pgSz w:w="11907" w:h="16840" w:code="9"/>
          <w:pgMar w:top="567" w:right="1418" w:bottom="1418" w:left="1134" w:header="510" w:footer="1021" w:gutter="0"/>
          <w:cols w:num="2" w:space="284"/>
          <w:titlePg/>
          <w:bidi/>
          <w:docGrid w:linePitch="299"/>
        </w:sectPr>
      </w:pPr>
    </w:p>
    <w:p w:rsidR="00F65883" w:rsidRDefault="00294EAC" w:rsidP="00D30D00">
      <w:pPr>
        <w:pStyle w:val="NormalParaAR"/>
        <w:ind w:left="1701" w:hanging="567"/>
      </w:pPr>
      <w:r>
        <w:rPr>
          <w:rtl/>
        </w:rPr>
        <w:lastRenderedPageBreak/>
        <w:t>"2"</w:t>
      </w:r>
      <w:r>
        <w:rPr>
          <w:rtl/>
        </w:rPr>
        <w:tab/>
      </w:r>
      <w:r w:rsidRPr="0064504F">
        <w:rPr>
          <w:i/>
          <w:iCs/>
          <w:rtl/>
        </w:rPr>
        <w:t>وأوراق اعتماد</w:t>
      </w:r>
      <w:r>
        <w:rPr>
          <w:rtl/>
        </w:rPr>
        <w:t xml:space="preserve"> وفود الدول التالي ذكرها</w:t>
      </w:r>
      <w:r>
        <w:rPr>
          <w:rFonts w:hint="cs"/>
          <w:rtl/>
        </w:rPr>
        <w:t xml:space="preserve"> (دون </w:t>
      </w:r>
      <w:r w:rsidRPr="00F709E9">
        <w:rPr>
          <w:rFonts w:hint="cs"/>
          <w:i/>
          <w:iCs/>
          <w:rtl/>
        </w:rPr>
        <w:t>التفويض الكامل</w:t>
      </w:r>
      <w:r>
        <w:rPr>
          <w:rFonts w:hint="cs"/>
          <w:rtl/>
        </w:rPr>
        <w:t>) (</w:t>
      </w:r>
      <w:r w:rsidR="00B35602">
        <w:rPr>
          <w:rFonts w:hint="cs"/>
          <w:rtl/>
        </w:rPr>
        <w:t>18</w:t>
      </w:r>
      <w:r>
        <w:rPr>
          <w:rFonts w:hint="cs"/>
          <w:rtl/>
        </w:rPr>
        <w:t>)</w:t>
      </w:r>
      <w:r>
        <w:rPr>
          <w:rtl/>
        </w:rPr>
        <w:t>:</w:t>
      </w:r>
    </w:p>
    <w:p w:rsidR="00F65883" w:rsidRDefault="00F65883" w:rsidP="00F65883">
      <w:pPr>
        <w:pStyle w:val="NormalParaAR"/>
        <w:spacing w:after="0"/>
        <w:ind w:left="1701"/>
        <w:rPr>
          <w:rtl/>
        </w:rPr>
        <w:sectPr w:rsidR="00F65883" w:rsidSect="00F65883">
          <w:headerReference w:type="default" r:id="rId11"/>
          <w:headerReference w:type="first" r:id="rId12"/>
          <w:type w:val="continuous"/>
          <w:pgSz w:w="11907" w:h="16840" w:code="9"/>
          <w:pgMar w:top="567" w:right="1418" w:bottom="1418" w:left="1134" w:header="510" w:footer="1021" w:gutter="0"/>
          <w:cols w:space="720"/>
          <w:titlePg/>
          <w:docGrid w:linePitch="299"/>
        </w:sectPr>
      </w:pPr>
    </w:p>
    <w:p w:rsidR="00F65883" w:rsidRDefault="00294EAC" w:rsidP="00F65883">
      <w:pPr>
        <w:pStyle w:val="NormalParaAR"/>
        <w:spacing w:after="0"/>
        <w:ind w:left="1701"/>
      </w:pPr>
      <w:r>
        <w:rPr>
          <w:rFonts w:hint="cs"/>
          <w:rtl/>
        </w:rPr>
        <w:lastRenderedPageBreak/>
        <w:t>الجزائر</w:t>
      </w:r>
    </w:p>
    <w:p w:rsidR="00294EAC" w:rsidRDefault="00294EAC" w:rsidP="00F65883">
      <w:pPr>
        <w:pStyle w:val="NormalParaAR"/>
        <w:spacing w:after="0"/>
        <w:ind w:left="1701"/>
        <w:rPr>
          <w:rtl/>
        </w:rPr>
      </w:pPr>
      <w:r>
        <w:rPr>
          <w:rFonts w:hint="cs"/>
          <w:rtl/>
        </w:rPr>
        <w:t>بلغاريا</w:t>
      </w:r>
    </w:p>
    <w:p w:rsidR="00294EAC" w:rsidRDefault="00B35602" w:rsidP="00294EAC">
      <w:pPr>
        <w:pStyle w:val="NormalParaAR"/>
        <w:spacing w:after="0"/>
        <w:ind w:left="1701"/>
        <w:rPr>
          <w:rtl/>
        </w:rPr>
      </w:pPr>
      <w:r>
        <w:rPr>
          <w:rFonts w:hint="cs"/>
          <w:rtl/>
        </w:rPr>
        <w:t>كوستا ريكا</w:t>
      </w:r>
    </w:p>
    <w:p w:rsidR="00B35602" w:rsidRDefault="00B35602" w:rsidP="00294EAC">
      <w:pPr>
        <w:pStyle w:val="NormalParaAR"/>
        <w:spacing w:after="0"/>
        <w:ind w:left="1701"/>
      </w:pPr>
      <w:r>
        <w:rPr>
          <w:rFonts w:hint="cs"/>
          <w:rtl/>
        </w:rPr>
        <w:t>كوبا</w:t>
      </w:r>
    </w:p>
    <w:p w:rsidR="00294EAC" w:rsidRDefault="00294EAC" w:rsidP="00294EAC">
      <w:pPr>
        <w:pStyle w:val="NormalParaAR"/>
        <w:spacing w:after="0"/>
        <w:ind w:left="1701"/>
        <w:rPr>
          <w:rtl/>
        </w:rPr>
      </w:pPr>
      <w:r>
        <w:rPr>
          <w:rFonts w:hint="cs"/>
          <w:rtl/>
        </w:rPr>
        <w:t>الجمهورية التشيكية</w:t>
      </w:r>
    </w:p>
    <w:p w:rsidR="00294EAC" w:rsidRDefault="00294EAC" w:rsidP="00294EAC">
      <w:pPr>
        <w:pStyle w:val="NormalParaAR"/>
        <w:spacing w:after="0"/>
        <w:ind w:left="1701"/>
        <w:rPr>
          <w:rtl/>
        </w:rPr>
      </w:pPr>
      <w:r>
        <w:rPr>
          <w:rFonts w:hint="cs"/>
          <w:rtl/>
        </w:rPr>
        <w:t>فرنسا</w:t>
      </w:r>
    </w:p>
    <w:p w:rsidR="00294EAC" w:rsidRDefault="00294EAC" w:rsidP="00294EAC">
      <w:pPr>
        <w:pStyle w:val="NormalParaAR"/>
        <w:spacing w:after="0"/>
        <w:ind w:left="1701"/>
        <w:rPr>
          <w:rtl/>
        </w:rPr>
      </w:pPr>
      <w:r>
        <w:rPr>
          <w:rFonts w:hint="cs"/>
          <w:rtl/>
        </w:rPr>
        <w:t>غابون</w:t>
      </w:r>
    </w:p>
    <w:p w:rsidR="00294EAC" w:rsidRDefault="00294EAC" w:rsidP="00294EAC">
      <w:pPr>
        <w:pStyle w:val="NormalParaAR"/>
        <w:spacing w:after="0"/>
        <w:ind w:left="1701"/>
        <w:rPr>
          <w:rtl/>
        </w:rPr>
      </w:pPr>
      <w:r>
        <w:rPr>
          <w:rFonts w:hint="cs"/>
          <w:rtl/>
        </w:rPr>
        <w:t>جورجيا</w:t>
      </w:r>
    </w:p>
    <w:p w:rsidR="00294EAC" w:rsidRDefault="00B35602" w:rsidP="00294EAC">
      <w:pPr>
        <w:pStyle w:val="NormalParaAR"/>
        <w:spacing w:after="0"/>
        <w:ind w:left="1701"/>
        <w:rPr>
          <w:rtl/>
        </w:rPr>
      </w:pPr>
      <w:r>
        <w:rPr>
          <w:rFonts w:hint="cs"/>
          <w:rtl/>
        </w:rPr>
        <w:t>هايتي</w:t>
      </w:r>
    </w:p>
    <w:p w:rsidR="00294EAC" w:rsidRDefault="00294EAC" w:rsidP="00294EAC">
      <w:pPr>
        <w:pStyle w:val="NormalParaAR"/>
        <w:spacing w:after="0"/>
        <w:ind w:left="1701"/>
        <w:rPr>
          <w:rtl/>
        </w:rPr>
      </w:pPr>
      <w:r>
        <w:rPr>
          <w:rFonts w:hint="cs"/>
          <w:rtl/>
        </w:rPr>
        <w:t xml:space="preserve">إيران (جمهورية </w:t>
      </w:r>
      <w:r>
        <w:rPr>
          <w:rtl/>
        </w:rPr>
        <w:t>–</w:t>
      </w:r>
      <w:r>
        <w:rPr>
          <w:rFonts w:hint="cs"/>
          <w:rtl/>
        </w:rPr>
        <w:t xml:space="preserve"> الإسلامية)</w:t>
      </w:r>
    </w:p>
    <w:p w:rsidR="00294EAC" w:rsidRDefault="00294EAC" w:rsidP="00294EAC">
      <w:pPr>
        <w:pStyle w:val="NormalParaAR"/>
        <w:spacing w:after="0"/>
        <w:ind w:left="1701"/>
        <w:rPr>
          <w:rtl/>
        </w:rPr>
      </w:pPr>
      <w:r>
        <w:rPr>
          <w:rFonts w:hint="cs"/>
          <w:rtl/>
        </w:rPr>
        <w:t>إسرائيل</w:t>
      </w:r>
    </w:p>
    <w:p w:rsidR="00294EAC" w:rsidRDefault="00294EAC" w:rsidP="00294EAC">
      <w:pPr>
        <w:pStyle w:val="NormalParaAR"/>
        <w:spacing w:after="0"/>
        <w:ind w:left="1701"/>
        <w:rPr>
          <w:rtl/>
        </w:rPr>
      </w:pPr>
      <w:r>
        <w:rPr>
          <w:rFonts w:hint="cs"/>
          <w:rtl/>
        </w:rPr>
        <w:t>إيطاليا</w:t>
      </w:r>
    </w:p>
    <w:p w:rsidR="00294EAC" w:rsidRDefault="00294EAC" w:rsidP="00294EAC">
      <w:pPr>
        <w:pStyle w:val="NormalParaAR"/>
        <w:spacing w:after="0"/>
        <w:ind w:left="1701"/>
        <w:rPr>
          <w:rtl/>
        </w:rPr>
      </w:pPr>
      <w:r>
        <w:rPr>
          <w:rFonts w:hint="cs"/>
          <w:rtl/>
        </w:rPr>
        <w:t>المكسيك</w:t>
      </w:r>
    </w:p>
    <w:p w:rsidR="00294EAC" w:rsidRDefault="00294EAC" w:rsidP="00294EAC">
      <w:pPr>
        <w:pStyle w:val="NormalParaAR"/>
        <w:spacing w:after="0"/>
        <w:ind w:left="1701"/>
        <w:rPr>
          <w:rtl/>
        </w:rPr>
      </w:pPr>
      <w:r>
        <w:rPr>
          <w:rFonts w:hint="cs"/>
          <w:rtl/>
        </w:rPr>
        <w:t>الجبل الأسود</w:t>
      </w:r>
    </w:p>
    <w:p w:rsidR="00F65883" w:rsidRDefault="00F65883" w:rsidP="00294EAC">
      <w:pPr>
        <w:pStyle w:val="NormalParaAR"/>
        <w:spacing w:after="0"/>
        <w:ind w:left="1701"/>
        <w:rPr>
          <w:rtl/>
        </w:rPr>
      </w:pPr>
      <w:r>
        <w:rPr>
          <w:rFonts w:hint="cs"/>
          <w:rtl/>
        </w:rPr>
        <w:t>جمهورية مولدوفا</w:t>
      </w:r>
    </w:p>
    <w:p w:rsidR="00294EAC" w:rsidRDefault="00294EAC" w:rsidP="00294EAC">
      <w:pPr>
        <w:pStyle w:val="NormalParaAR"/>
        <w:spacing w:after="0"/>
        <w:ind w:left="1701"/>
        <w:rPr>
          <w:rtl/>
        </w:rPr>
      </w:pPr>
      <w:r>
        <w:rPr>
          <w:rFonts w:hint="cs"/>
          <w:rtl/>
        </w:rPr>
        <w:t>صربيا</w:t>
      </w:r>
    </w:p>
    <w:p w:rsidR="00294EAC" w:rsidRDefault="00294EAC" w:rsidP="00294EAC">
      <w:pPr>
        <w:pStyle w:val="NormalParaAR"/>
        <w:spacing w:after="0"/>
        <w:ind w:left="1701"/>
        <w:rPr>
          <w:rtl/>
        </w:rPr>
      </w:pPr>
      <w:r>
        <w:rPr>
          <w:rFonts w:hint="cs"/>
          <w:rtl/>
        </w:rPr>
        <w:t>سلوفاكيا</w:t>
      </w:r>
    </w:p>
    <w:p w:rsidR="00F65883" w:rsidRDefault="00F65883" w:rsidP="00294EAC">
      <w:pPr>
        <w:pStyle w:val="NormalParaAR"/>
        <w:spacing w:after="0"/>
        <w:ind w:left="1701"/>
      </w:pPr>
      <w:r>
        <w:rPr>
          <w:rFonts w:hint="cs"/>
          <w:rtl/>
        </w:rPr>
        <w:t>تونس</w:t>
      </w: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pPr>
    </w:p>
    <w:p w:rsidR="00F65883" w:rsidRDefault="00F65883" w:rsidP="00294EAC">
      <w:pPr>
        <w:pStyle w:val="NormalParaAR"/>
        <w:spacing w:after="0"/>
        <w:ind w:left="1701"/>
        <w:rPr>
          <w:rtl/>
        </w:rPr>
        <w:sectPr w:rsidR="00F65883" w:rsidSect="00F65883">
          <w:type w:val="continuous"/>
          <w:pgSz w:w="11907" w:h="16840" w:code="9"/>
          <w:pgMar w:top="567" w:right="1418" w:bottom="1418" w:left="1134" w:header="510" w:footer="1021" w:gutter="0"/>
          <w:cols w:num="2" w:space="720"/>
          <w:titlePg/>
          <w:bidi/>
          <w:docGrid w:linePitch="299"/>
        </w:sectPr>
      </w:pPr>
    </w:p>
    <w:p w:rsidR="00294EAC" w:rsidRDefault="00294EAC" w:rsidP="00294EAC">
      <w:pPr>
        <w:pStyle w:val="NormalParaAR"/>
        <w:spacing w:after="0"/>
        <w:ind w:left="1701"/>
        <w:rPr>
          <w:rtl/>
        </w:rPr>
      </w:pPr>
    </w:p>
    <w:p w:rsidR="00294EAC" w:rsidRDefault="00294EAC" w:rsidP="00F65883">
      <w:pPr>
        <w:pStyle w:val="NormalParaAR"/>
        <w:ind w:left="6" w:firstLine="567"/>
        <w:rPr>
          <w:rtl/>
        </w:rPr>
      </w:pPr>
      <w:r>
        <w:rPr>
          <w:rtl/>
        </w:rPr>
        <w:t>(ب)</w:t>
      </w:r>
      <w:r>
        <w:rPr>
          <w:rtl/>
        </w:rPr>
        <w:tab/>
        <w:t xml:space="preserve">وبالنسبة إلى </w:t>
      </w:r>
      <w:r w:rsidRPr="00191853">
        <w:rPr>
          <w:i/>
          <w:iCs/>
          <w:rtl/>
        </w:rPr>
        <w:t>ال</w:t>
      </w:r>
      <w:r w:rsidRPr="00191853">
        <w:rPr>
          <w:rFonts w:hint="cs"/>
          <w:i/>
          <w:iCs/>
          <w:rtl/>
        </w:rPr>
        <w:t>و</w:t>
      </w:r>
      <w:r w:rsidRPr="00191853">
        <w:rPr>
          <w:i/>
          <w:iCs/>
          <w:rtl/>
        </w:rPr>
        <w:t>فد</w:t>
      </w:r>
      <w:r w:rsidR="00F65883">
        <w:rPr>
          <w:rFonts w:hint="cs"/>
          <w:i/>
          <w:iCs/>
          <w:rtl/>
        </w:rPr>
        <w:t>ين</w:t>
      </w:r>
      <w:r w:rsidRPr="00191853">
        <w:rPr>
          <w:i/>
          <w:iCs/>
          <w:rtl/>
        </w:rPr>
        <w:t xml:space="preserve"> الخاص</w:t>
      </w:r>
      <w:r w:rsidR="00F65883">
        <w:rPr>
          <w:rFonts w:hint="cs"/>
          <w:i/>
          <w:iCs/>
          <w:rtl/>
        </w:rPr>
        <w:t>ين</w:t>
      </w:r>
      <w:r>
        <w:rPr>
          <w:rtl/>
        </w:rPr>
        <w:t xml:space="preserve">، </w:t>
      </w:r>
      <w:r w:rsidRPr="00C44908">
        <w:rPr>
          <w:i/>
          <w:iCs/>
          <w:rtl/>
        </w:rPr>
        <w:t>أوراق اعتماد</w:t>
      </w:r>
      <w:r>
        <w:rPr>
          <w:rtl/>
        </w:rPr>
        <w:t xml:space="preserve"> </w:t>
      </w:r>
      <w:r w:rsidR="00F65883">
        <w:rPr>
          <w:rFonts w:hint="cs"/>
          <w:rtl/>
        </w:rPr>
        <w:t xml:space="preserve">وفد المنظمة الأفريقية للملكية الفكرية </w:t>
      </w:r>
      <w:r w:rsidR="00F65883">
        <w:t>(OAPI)</w:t>
      </w:r>
      <w:r w:rsidR="00F65883">
        <w:rPr>
          <w:rFonts w:hint="cs"/>
          <w:rtl/>
        </w:rPr>
        <w:t xml:space="preserve"> و</w:t>
      </w:r>
      <w:r>
        <w:rPr>
          <w:rFonts w:hint="cs"/>
          <w:rtl/>
        </w:rPr>
        <w:t xml:space="preserve">وفد الاتحاد </w:t>
      </w:r>
      <w:r>
        <w:rPr>
          <w:rtl/>
        </w:rPr>
        <w:t>الأوروبي</w:t>
      </w:r>
      <w:r>
        <w:rPr>
          <w:rFonts w:hint="cs"/>
          <w:rtl/>
        </w:rPr>
        <w:t xml:space="preserve"> (</w:t>
      </w:r>
      <w:r w:rsidR="00F65883">
        <w:rPr>
          <w:rFonts w:hint="cs"/>
          <w:rtl/>
        </w:rPr>
        <w:t>2</w:t>
      </w:r>
      <w:r>
        <w:rPr>
          <w:rFonts w:hint="cs"/>
          <w:rtl/>
        </w:rPr>
        <w:t>)</w:t>
      </w:r>
      <w:r>
        <w:rPr>
          <w:rtl/>
        </w:rPr>
        <w:t>.</w:t>
      </w:r>
    </w:p>
    <w:p w:rsidR="00294EAC" w:rsidRDefault="00294EAC" w:rsidP="0002531D">
      <w:pPr>
        <w:pStyle w:val="NormalParaAR"/>
        <w:keepNext/>
        <w:ind w:left="6" w:firstLine="567"/>
        <w:rPr>
          <w:rtl/>
        </w:rPr>
      </w:pPr>
      <w:r>
        <w:rPr>
          <w:rtl/>
        </w:rPr>
        <w:t>(ج)</w:t>
      </w:r>
      <w:r>
        <w:rPr>
          <w:rtl/>
        </w:rPr>
        <w:tab/>
        <w:t xml:space="preserve">وبالنسبة إلى </w:t>
      </w:r>
      <w:r w:rsidRPr="00967F73">
        <w:rPr>
          <w:rFonts w:hint="cs"/>
          <w:i/>
          <w:iCs/>
          <w:rtl/>
        </w:rPr>
        <w:t xml:space="preserve">الوفود </w:t>
      </w:r>
      <w:r w:rsidRPr="00967F73">
        <w:rPr>
          <w:i/>
          <w:iCs/>
          <w:rtl/>
        </w:rPr>
        <w:t>المراقبة</w:t>
      </w:r>
      <w:r>
        <w:rPr>
          <w:rFonts w:hint="cs"/>
          <w:rtl/>
        </w:rPr>
        <w:t>،</w:t>
      </w:r>
    </w:p>
    <w:p w:rsidR="00F65883" w:rsidRDefault="00F65883" w:rsidP="0002531D">
      <w:pPr>
        <w:pStyle w:val="NormalParaAR"/>
        <w:keepNext/>
        <w:ind w:left="1700" w:hanging="567"/>
        <w:rPr>
          <w:rtl/>
        </w:rPr>
      </w:pPr>
      <w:r>
        <w:rPr>
          <w:rFonts w:hint="cs"/>
          <w:rtl/>
        </w:rPr>
        <w:t>"1"</w:t>
      </w:r>
      <w:r>
        <w:rPr>
          <w:rFonts w:hint="cs"/>
          <w:rtl/>
        </w:rPr>
        <w:tab/>
        <w:t>أوراق الاعتماد والتفويض الكامل لوفدي الدولتين التاليتين (2):</w:t>
      </w:r>
    </w:p>
    <w:p w:rsidR="00045F48" w:rsidRDefault="00045F48" w:rsidP="00045F48">
      <w:pPr>
        <w:pStyle w:val="NormalParaAR"/>
        <w:spacing w:after="0"/>
        <w:ind w:left="1701"/>
        <w:rPr>
          <w:rtl/>
        </w:rPr>
      </w:pPr>
      <w:r>
        <w:rPr>
          <w:rFonts w:hint="cs"/>
          <w:rtl/>
        </w:rPr>
        <w:t>مالي</w:t>
      </w:r>
    </w:p>
    <w:p w:rsidR="00045F48" w:rsidRDefault="00045F48" w:rsidP="00045F48">
      <w:pPr>
        <w:pStyle w:val="NormalParaAR"/>
        <w:ind w:left="1700"/>
        <w:rPr>
          <w:rtl/>
        </w:rPr>
      </w:pPr>
      <w:r>
        <w:rPr>
          <w:rFonts w:hint="cs"/>
          <w:rtl/>
        </w:rPr>
        <w:t>رومانيا</w:t>
      </w:r>
    </w:p>
    <w:p w:rsidR="00D30D00" w:rsidRDefault="00D30D00" w:rsidP="0002531D">
      <w:pPr>
        <w:pStyle w:val="NormalParaAR"/>
        <w:keepNext/>
        <w:ind w:left="1701" w:hanging="567"/>
        <w:rPr>
          <w:rtl/>
        </w:rPr>
      </w:pPr>
      <w:r>
        <w:rPr>
          <w:rtl/>
        </w:rPr>
        <w:t>"2"</w:t>
      </w:r>
      <w:r>
        <w:rPr>
          <w:rtl/>
        </w:rPr>
        <w:tab/>
      </w:r>
      <w:r w:rsidRPr="00D30D00">
        <w:rPr>
          <w:i/>
          <w:iCs/>
          <w:rtl/>
        </w:rPr>
        <w:t>وأوراق اعتماد</w:t>
      </w:r>
      <w:r w:rsidRPr="00D30D00">
        <w:rPr>
          <w:rtl/>
        </w:rPr>
        <w:t xml:space="preserve"> وفود الدول التالي ذكرها (دون </w:t>
      </w:r>
      <w:r w:rsidRPr="00D30D00">
        <w:rPr>
          <w:i/>
          <w:iCs/>
          <w:rtl/>
        </w:rPr>
        <w:t>التفويض الكامل</w:t>
      </w:r>
      <w:r w:rsidRPr="00D30D00">
        <w:rPr>
          <w:rtl/>
        </w:rPr>
        <w:t>) (</w:t>
      </w:r>
      <w:r>
        <w:rPr>
          <w:rFonts w:hint="cs"/>
          <w:rtl/>
        </w:rPr>
        <w:t>78</w:t>
      </w:r>
      <w:r w:rsidRPr="00D30D00">
        <w:rPr>
          <w:rtl/>
        </w:rPr>
        <w:t>):</w:t>
      </w:r>
    </w:p>
    <w:p w:rsidR="00D30D00" w:rsidRDefault="00D30D00" w:rsidP="00D30D00">
      <w:pPr>
        <w:pStyle w:val="NormalParaAR"/>
        <w:ind w:left="1701" w:hanging="567"/>
        <w:rPr>
          <w:rtl/>
        </w:rPr>
        <w:sectPr w:rsidR="00D30D00" w:rsidSect="0029384F">
          <w:type w:val="continuous"/>
          <w:pgSz w:w="11907" w:h="16840" w:code="9"/>
          <w:pgMar w:top="567" w:right="1418" w:bottom="1418" w:left="1134" w:header="510" w:footer="1021" w:gutter="0"/>
          <w:cols w:space="720"/>
          <w:titlePg/>
          <w:docGrid w:linePitch="299"/>
        </w:sectPr>
      </w:pPr>
    </w:p>
    <w:p w:rsidR="00D30D00" w:rsidRDefault="00D30D00" w:rsidP="00D30D00">
      <w:pPr>
        <w:pStyle w:val="NormalParaAR"/>
        <w:spacing w:after="0"/>
        <w:ind w:left="1701"/>
        <w:rPr>
          <w:rtl/>
        </w:rPr>
      </w:pPr>
      <w:r>
        <w:rPr>
          <w:rFonts w:hint="cs"/>
          <w:rtl/>
        </w:rPr>
        <w:lastRenderedPageBreak/>
        <w:t>أفغانستان</w:t>
      </w:r>
    </w:p>
    <w:p w:rsidR="00D30D00" w:rsidRDefault="00D30D00" w:rsidP="00D30D00">
      <w:pPr>
        <w:pStyle w:val="NormalParaAR"/>
        <w:spacing w:after="0"/>
        <w:ind w:left="1701"/>
        <w:rPr>
          <w:rtl/>
        </w:rPr>
      </w:pPr>
      <w:r>
        <w:rPr>
          <w:rFonts w:hint="cs"/>
          <w:rtl/>
        </w:rPr>
        <w:t>ألبانيا</w:t>
      </w:r>
    </w:p>
    <w:p w:rsidR="00D30D00" w:rsidRDefault="00D30D00" w:rsidP="00D30D00">
      <w:pPr>
        <w:pStyle w:val="NormalParaAR"/>
        <w:spacing w:after="0"/>
        <w:ind w:left="1701"/>
        <w:rPr>
          <w:rtl/>
        </w:rPr>
      </w:pPr>
      <w:r>
        <w:rPr>
          <w:rFonts w:hint="cs"/>
          <w:rtl/>
        </w:rPr>
        <w:t>الأرجنتين</w:t>
      </w:r>
    </w:p>
    <w:p w:rsidR="00D30D00" w:rsidRDefault="00D30D00" w:rsidP="00D30D00">
      <w:pPr>
        <w:pStyle w:val="NormalParaAR"/>
        <w:spacing w:after="0"/>
        <w:ind w:left="1701"/>
        <w:rPr>
          <w:rtl/>
        </w:rPr>
      </w:pPr>
      <w:r>
        <w:rPr>
          <w:rFonts w:hint="cs"/>
          <w:rtl/>
        </w:rPr>
        <w:t>أستراليا</w:t>
      </w:r>
    </w:p>
    <w:p w:rsidR="00D30D00" w:rsidRDefault="00D30D00" w:rsidP="00D30D00">
      <w:pPr>
        <w:pStyle w:val="NormalParaAR"/>
        <w:spacing w:after="0"/>
        <w:ind w:left="1701"/>
        <w:rPr>
          <w:rtl/>
        </w:rPr>
      </w:pPr>
      <w:r>
        <w:rPr>
          <w:rFonts w:hint="cs"/>
          <w:rtl/>
        </w:rPr>
        <w:t>النمسا</w:t>
      </w:r>
    </w:p>
    <w:p w:rsidR="00D30D00" w:rsidRDefault="00D30D00" w:rsidP="00D30D00">
      <w:pPr>
        <w:pStyle w:val="NormalParaAR"/>
        <w:spacing w:after="0"/>
        <w:ind w:left="1701"/>
        <w:rPr>
          <w:rtl/>
        </w:rPr>
      </w:pPr>
      <w:r>
        <w:rPr>
          <w:rFonts w:hint="cs"/>
          <w:rtl/>
        </w:rPr>
        <w:t>بربادوس</w:t>
      </w:r>
    </w:p>
    <w:p w:rsidR="00D30D00" w:rsidRDefault="00D30D00" w:rsidP="00D30D00">
      <w:pPr>
        <w:pStyle w:val="NormalParaAR"/>
        <w:spacing w:after="0"/>
        <w:ind w:left="1701"/>
        <w:rPr>
          <w:rtl/>
        </w:rPr>
      </w:pPr>
      <w:r>
        <w:rPr>
          <w:rFonts w:hint="cs"/>
          <w:rtl/>
        </w:rPr>
        <w:t>بيلاروس</w:t>
      </w:r>
    </w:p>
    <w:p w:rsidR="00D30D00" w:rsidRDefault="00D30D00" w:rsidP="00D30D00">
      <w:pPr>
        <w:pStyle w:val="NormalParaAR"/>
        <w:spacing w:after="0"/>
        <w:ind w:left="1701"/>
        <w:rPr>
          <w:rtl/>
        </w:rPr>
      </w:pPr>
      <w:r>
        <w:rPr>
          <w:rFonts w:hint="cs"/>
          <w:rtl/>
        </w:rPr>
        <w:t>بلجيكا</w:t>
      </w:r>
    </w:p>
    <w:p w:rsidR="00D30D00" w:rsidRDefault="00D30D00" w:rsidP="00D30D00">
      <w:pPr>
        <w:pStyle w:val="NormalParaAR"/>
        <w:spacing w:after="0"/>
        <w:ind w:left="1701"/>
        <w:rPr>
          <w:rtl/>
        </w:rPr>
      </w:pPr>
      <w:r>
        <w:rPr>
          <w:rFonts w:hint="cs"/>
          <w:rtl/>
        </w:rPr>
        <w:lastRenderedPageBreak/>
        <w:t>بنن</w:t>
      </w:r>
    </w:p>
    <w:p w:rsidR="00D30D00" w:rsidRDefault="00D30D00" w:rsidP="00D30D00">
      <w:pPr>
        <w:pStyle w:val="NormalParaAR"/>
        <w:spacing w:after="0"/>
        <w:ind w:left="1701"/>
        <w:rPr>
          <w:rtl/>
        </w:rPr>
      </w:pPr>
      <w:r>
        <w:rPr>
          <w:rFonts w:hint="cs"/>
          <w:rtl/>
        </w:rPr>
        <w:t>البرازيل</w:t>
      </w:r>
    </w:p>
    <w:p w:rsidR="00E5256C" w:rsidRDefault="00E5256C" w:rsidP="00D30D00">
      <w:pPr>
        <w:pStyle w:val="NormalParaAR"/>
        <w:spacing w:after="0"/>
        <w:ind w:left="1701"/>
        <w:rPr>
          <w:rtl/>
        </w:rPr>
      </w:pPr>
      <w:r>
        <w:rPr>
          <w:rFonts w:hint="cs"/>
          <w:rtl/>
        </w:rPr>
        <w:t>بوروندي</w:t>
      </w:r>
    </w:p>
    <w:p w:rsidR="00E5256C" w:rsidRDefault="00E5256C" w:rsidP="00D30D00">
      <w:pPr>
        <w:pStyle w:val="NormalParaAR"/>
        <w:spacing w:after="0"/>
        <w:ind w:left="1701"/>
        <w:rPr>
          <w:rtl/>
        </w:rPr>
      </w:pPr>
      <w:r>
        <w:rPr>
          <w:rFonts w:hint="cs"/>
          <w:rtl/>
        </w:rPr>
        <w:t>كابو فيردي</w:t>
      </w:r>
    </w:p>
    <w:p w:rsidR="00D30D00" w:rsidRDefault="00D30D00" w:rsidP="00D30D00">
      <w:pPr>
        <w:pStyle w:val="NormalParaAR"/>
        <w:spacing w:after="0"/>
        <w:ind w:left="1701"/>
        <w:rPr>
          <w:rtl/>
        </w:rPr>
      </w:pPr>
      <w:r>
        <w:rPr>
          <w:rFonts w:hint="cs"/>
          <w:rtl/>
        </w:rPr>
        <w:t>الكاميرون</w:t>
      </w:r>
    </w:p>
    <w:p w:rsidR="00D30D00" w:rsidRDefault="00D30D00" w:rsidP="00D30D00">
      <w:pPr>
        <w:pStyle w:val="NormalParaAR"/>
        <w:spacing w:after="0"/>
        <w:ind w:left="1701"/>
        <w:rPr>
          <w:rtl/>
        </w:rPr>
      </w:pPr>
      <w:r>
        <w:rPr>
          <w:rFonts w:hint="cs"/>
          <w:rtl/>
        </w:rPr>
        <w:t>كندا</w:t>
      </w:r>
    </w:p>
    <w:p w:rsidR="00E5256C" w:rsidRDefault="00E5256C" w:rsidP="00D30D00">
      <w:pPr>
        <w:pStyle w:val="NormalParaAR"/>
        <w:spacing w:after="0"/>
        <w:ind w:left="1701"/>
        <w:rPr>
          <w:rtl/>
        </w:rPr>
      </w:pPr>
      <w:r>
        <w:rPr>
          <w:rFonts w:hint="cs"/>
          <w:rtl/>
        </w:rPr>
        <w:t>شيلي</w:t>
      </w:r>
    </w:p>
    <w:p w:rsidR="00D30D00" w:rsidRDefault="00D30D00" w:rsidP="00D30D00">
      <w:pPr>
        <w:pStyle w:val="NormalParaAR"/>
        <w:spacing w:after="0"/>
        <w:ind w:left="1701"/>
        <w:rPr>
          <w:rtl/>
        </w:rPr>
      </w:pPr>
      <w:r>
        <w:rPr>
          <w:rFonts w:hint="cs"/>
          <w:rtl/>
        </w:rPr>
        <w:t>الصين</w:t>
      </w:r>
    </w:p>
    <w:p w:rsidR="00E5256C" w:rsidRDefault="00E5256C" w:rsidP="00D30D00">
      <w:pPr>
        <w:pStyle w:val="NormalParaAR"/>
        <w:spacing w:after="0"/>
        <w:ind w:left="1701"/>
        <w:rPr>
          <w:rtl/>
        </w:rPr>
      </w:pPr>
      <w:r>
        <w:rPr>
          <w:rFonts w:hint="cs"/>
          <w:rtl/>
        </w:rPr>
        <w:lastRenderedPageBreak/>
        <w:t>كولومبيا</w:t>
      </w:r>
    </w:p>
    <w:p w:rsidR="00D30D00" w:rsidRDefault="00D30D00" w:rsidP="00D30D00">
      <w:pPr>
        <w:pStyle w:val="NormalParaAR"/>
        <w:spacing w:after="0"/>
        <w:ind w:left="1701"/>
        <w:rPr>
          <w:rtl/>
        </w:rPr>
      </w:pPr>
      <w:r>
        <w:rPr>
          <w:rFonts w:hint="cs"/>
          <w:rtl/>
        </w:rPr>
        <w:t>كوت ديفوار</w:t>
      </w:r>
    </w:p>
    <w:p w:rsidR="00E5256C" w:rsidRDefault="00E5256C" w:rsidP="00D30D00">
      <w:pPr>
        <w:pStyle w:val="NormalParaAR"/>
        <w:spacing w:after="0"/>
        <w:ind w:left="1701"/>
        <w:rPr>
          <w:rtl/>
        </w:rPr>
      </w:pPr>
      <w:r>
        <w:rPr>
          <w:rFonts w:hint="cs"/>
          <w:rtl/>
        </w:rPr>
        <w:t>كرواتيا</w:t>
      </w:r>
    </w:p>
    <w:p w:rsidR="00D30D00" w:rsidRDefault="00E5256C" w:rsidP="00D30D00">
      <w:pPr>
        <w:pStyle w:val="NormalParaAR"/>
        <w:spacing w:after="0"/>
        <w:ind w:left="1701"/>
        <w:rPr>
          <w:rtl/>
        </w:rPr>
      </w:pPr>
      <w:r>
        <w:rPr>
          <w:rFonts w:hint="cs"/>
          <w:rtl/>
        </w:rPr>
        <w:t>جمهورية الكونغو الديمقراطية</w:t>
      </w:r>
    </w:p>
    <w:p w:rsidR="00E5256C" w:rsidRDefault="00E5256C" w:rsidP="00D30D00">
      <w:pPr>
        <w:pStyle w:val="NormalParaAR"/>
        <w:spacing w:after="0"/>
        <w:ind w:left="1701"/>
        <w:rPr>
          <w:rtl/>
        </w:rPr>
      </w:pPr>
      <w:r>
        <w:rPr>
          <w:rFonts w:hint="cs"/>
          <w:rtl/>
        </w:rPr>
        <w:t>الدانمرك</w:t>
      </w:r>
    </w:p>
    <w:p w:rsidR="00D30D00" w:rsidRDefault="00D30D00" w:rsidP="00D30D00">
      <w:pPr>
        <w:pStyle w:val="NormalParaAR"/>
        <w:spacing w:after="0"/>
        <w:ind w:left="1701"/>
        <w:rPr>
          <w:rtl/>
        </w:rPr>
      </w:pPr>
      <w:r>
        <w:rPr>
          <w:rFonts w:hint="cs"/>
          <w:rtl/>
        </w:rPr>
        <w:t>الجمهورية الدومينيكية</w:t>
      </w:r>
    </w:p>
    <w:p w:rsidR="00D30D00" w:rsidRDefault="00D30D00" w:rsidP="00D30D00">
      <w:pPr>
        <w:pStyle w:val="NormalParaAR"/>
        <w:spacing w:after="0"/>
        <w:ind w:left="1701"/>
        <w:rPr>
          <w:rtl/>
        </w:rPr>
      </w:pPr>
      <w:r>
        <w:rPr>
          <w:rFonts w:hint="cs"/>
          <w:rtl/>
        </w:rPr>
        <w:t>إكوادور</w:t>
      </w:r>
    </w:p>
    <w:p w:rsidR="00D30D00" w:rsidRDefault="00D30D00" w:rsidP="00D30D00">
      <w:pPr>
        <w:pStyle w:val="NormalParaAR"/>
        <w:spacing w:after="0"/>
        <w:ind w:left="1701"/>
        <w:rPr>
          <w:rtl/>
        </w:rPr>
      </w:pPr>
      <w:r>
        <w:rPr>
          <w:rFonts w:hint="cs"/>
          <w:rtl/>
        </w:rPr>
        <w:t>مصر</w:t>
      </w:r>
    </w:p>
    <w:p w:rsidR="00D30D00" w:rsidRDefault="00D30D00" w:rsidP="00D30D00">
      <w:pPr>
        <w:pStyle w:val="NormalParaAR"/>
        <w:spacing w:after="0"/>
        <w:ind w:left="1701"/>
        <w:rPr>
          <w:rtl/>
        </w:rPr>
      </w:pPr>
      <w:r>
        <w:rPr>
          <w:rFonts w:hint="cs"/>
          <w:rtl/>
        </w:rPr>
        <w:t>السلفادور</w:t>
      </w:r>
    </w:p>
    <w:p w:rsidR="00D30D00" w:rsidRDefault="00D30D00" w:rsidP="00D30D00">
      <w:pPr>
        <w:pStyle w:val="NormalParaAR"/>
        <w:spacing w:after="0"/>
        <w:ind w:left="1701"/>
        <w:rPr>
          <w:rtl/>
        </w:rPr>
      </w:pPr>
      <w:r>
        <w:rPr>
          <w:rFonts w:hint="cs"/>
          <w:rtl/>
        </w:rPr>
        <w:t>إستونيا</w:t>
      </w:r>
    </w:p>
    <w:p w:rsidR="00D30D00" w:rsidRDefault="00D30D00" w:rsidP="00D30D00">
      <w:pPr>
        <w:pStyle w:val="NormalParaAR"/>
        <w:spacing w:after="0"/>
        <w:ind w:left="1701"/>
        <w:rPr>
          <w:rtl/>
        </w:rPr>
      </w:pPr>
      <w:r>
        <w:rPr>
          <w:rFonts w:hint="cs"/>
          <w:rtl/>
        </w:rPr>
        <w:t>إثيوبيا</w:t>
      </w:r>
    </w:p>
    <w:p w:rsidR="00D30D00" w:rsidRDefault="00D30D00" w:rsidP="00D30D00">
      <w:pPr>
        <w:pStyle w:val="NormalParaAR"/>
        <w:spacing w:after="0"/>
        <w:ind w:left="1701"/>
        <w:rPr>
          <w:rtl/>
        </w:rPr>
      </w:pPr>
      <w:r>
        <w:rPr>
          <w:rFonts w:hint="cs"/>
          <w:rtl/>
        </w:rPr>
        <w:t>فنلندا</w:t>
      </w:r>
    </w:p>
    <w:p w:rsidR="00E5256C" w:rsidRDefault="00E5256C" w:rsidP="00D30D00">
      <w:pPr>
        <w:pStyle w:val="NormalParaAR"/>
        <w:spacing w:after="0"/>
        <w:ind w:left="1701"/>
        <w:rPr>
          <w:rtl/>
        </w:rPr>
      </w:pPr>
      <w:r>
        <w:rPr>
          <w:rFonts w:hint="cs"/>
          <w:rtl/>
        </w:rPr>
        <w:t>ألمانيا</w:t>
      </w:r>
    </w:p>
    <w:p w:rsidR="00E5256C" w:rsidRDefault="00E5256C" w:rsidP="00D30D00">
      <w:pPr>
        <w:pStyle w:val="NormalParaAR"/>
        <w:spacing w:after="0"/>
        <w:ind w:left="1701"/>
        <w:rPr>
          <w:rtl/>
        </w:rPr>
      </w:pPr>
      <w:r>
        <w:rPr>
          <w:rFonts w:hint="cs"/>
          <w:rtl/>
        </w:rPr>
        <w:t>غانا</w:t>
      </w:r>
    </w:p>
    <w:p w:rsidR="00E5256C" w:rsidRDefault="00E5256C" w:rsidP="00D30D00">
      <w:pPr>
        <w:pStyle w:val="NormalParaAR"/>
        <w:spacing w:after="0"/>
        <w:ind w:left="1701"/>
        <w:rPr>
          <w:rtl/>
        </w:rPr>
      </w:pPr>
      <w:r>
        <w:rPr>
          <w:rFonts w:hint="cs"/>
          <w:rtl/>
        </w:rPr>
        <w:t>اليونان</w:t>
      </w:r>
    </w:p>
    <w:p w:rsidR="00E5256C" w:rsidRDefault="00E5256C" w:rsidP="00D30D00">
      <w:pPr>
        <w:pStyle w:val="NormalParaAR"/>
        <w:spacing w:after="0"/>
        <w:ind w:left="1701"/>
        <w:rPr>
          <w:rtl/>
        </w:rPr>
      </w:pPr>
      <w:r>
        <w:rPr>
          <w:rFonts w:hint="cs"/>
          <w:rtl/>
        </w:rPr>
        <w:t>غواتيمالا</w:t>
      </w:r>
    </w:p>
    <w:p w:rsidR="00E5256C" w:rsidRDefault="00E5256C" w:rsidP="00D30D00">
      <w:pPr>
        <w:pStyle w:val="NormalParaAR"/>
        <w:spacing w:after="0"/>
        <w:ind w:left="1701"/>
        <w:rPr>
          <w:rtl/>
        </w:rPr>
      </w:pPr>
      <w:r>
        <w:rPr>
          <w:rFonts w:hint="cs"/>
          <w:rtl/>
        </w:rPr>
        <w:t>غينيا</w:t>
      </w:r>
    </w:p>
    <w:p w:rsidR="00E5256C" w:rsidRDefault="00E5256C" w:rsidP="00D30D00">
      <w:pPr>
        <w:pStyle w:val="NormalParaAR"/>
        <w:spacing w:after="0"/>
        <w:ind w:left="1701"/>
        <w:rPr>
          <w:rtl/>
        </w:rPr>
      </w:pPr>
      <w:r>
        <w:rPr>
          <w:rFonts w:hint="cs"/>
          <w:rtl/>
        </w:rPr>
        <w:t>هندوراس</w:t>
      </w:r>
    </w:p>
    <w:p w:rsidR="00D30D00" w:rsidRDefault="00D30D00" w:rsidP="00D30D00">
      <w:pPr>
        <w:pStyle w:val="NormalParaAR"/>
        <w:spacing w:after="0"/>
        <w:ind w:left="1701"/>
        <w:rPr>
          <w:rtl/>
        </w:rPr>
      </w:pPr>
      <w:r>
        <w:rPr>
          <w:rFonts w:hint="cs"/>
          <w:rtl/>
        </w:rPr>
        <w:t>الهند</w:t>
      </w:r>
    </w:p>
    <w:p w:rsidR="00D30D00" w:rsidRDefault="00D30D00" w:rsidP="00D30D00">
      <w:pPr>
        <w:pStyle w:val="NormalParaAR"/>
        <w:spacing w:after="0"/>
        <w:ind w:left="1701"/>
        <w:rPr>
          <w:rtl/>
        </w:rPr>
      </w:pPr>
      <w:r>
        <w:rPr>
          <w:rFonts w:hint="cs"/>
          <w:rtl/>
        </w:rPr>
        <w:t>إندونيسيا</w:t>
      </w:r>
    </w:p>
    <w:p w:rsidR="00D30D00" w:rsidRDefault="00E5256C" w:rsidP="00D30D00">
      <w:pPr>
        <w:pStyle w:val="NormalParaAR"/>
        <w:spacing w:after="0"/>
        <w:ind w:left="1701"/>
        <w:rPr>
          <w:rtl/>
        </w:rPr>
      </w:pPr>
      <w:r>
        <w:rPr>
          <w:rFonts w:hint="cs"/>
          <w:rtl/>
        </w:rPr>
        <w:t>إيرلندا</w:t>
      </w:r>
    </w:p>
    <w:p w:rsidR="00D30D00" w:rsidRDefault="00D30D00" w:rsidP="00D30D00">
      <w:pPr>
        <w:pStyle w:val="NormalParaAR"/>
        <w:spacing w:after="0"/>
        <w:ind w:left="1701"/>
        <w:rPr>
          <w:rtl/>
        </w:rPr>
      </w:pPr>
      <w:r>
        <w:rPr>
          <w:rFonts w:hint="cs"/>
          <w:rtl/>
        </w:rPr>
        <w:t>جامايكا</w:t>
      </w:r>
    </w:p>
    <w:p w:rsidR="00D30D00" w:rsidRDefault="00D30D00" w:rsidP="00D30D00">
      <w:pPr>
        <w:pStyle w:val="NormalParaAR"/>
        <w:spacing w:after="0"/>
        <w:ind w:left="1701"/>
        <w:rPr>
          <w:rtl/>
        </w:rPr>
      </w:pPr>
      <w:r>
        <w:rPr>
          <w:rFonts w:hint="cs"/>
          <w:rtl/>
        </w:rPr>
        <w:t>اليابان</w:t>
      </w:r>
    </w:p>
    <w:p w:rsidR="00B6510E" w:rsidRDefault="00B6510E" w:rsidP="00D30D00">
      <w:pPr>
        <w:pStyle w:val="NormalParaAR"/>
        <w:spacing w:after="0"/>
        <w:ind w:left="1701"/>
        <w:rPr>
          <w:rtl/>
        </w:rPr>
      </w:pPr>
      <w:r>
        <w:rPr>
          <w:rFonts w:hint="cs"/>
          <w:rtl/>
        </w:rPr>
        <w:t>الأردن</w:t>
      </w:r>
    </w:p>
    <w:p w:rsidR="00B6510E" w:rsidRDefault="00B6510E" w:rsidP="00D30D00">
      <w:pPr>
        <w:pStyle w:val="NormalParaAR"/>
        <w:spacing w:after="0"/>
        <w:ind w:left="1701"/>
        <w:rPr>
          <w:rtl/>
        </w:rPr>
      </w:pPr>
      <w:r>
        <w:rPr>
          <w:rFonts w:hint="cs"/>
          <w:rtl/>
        </w:rPr>
        <w:t>لاتفيا</w:t>
      </w:r>
    </w:p>
    <w:p w:rsidR="00D30D00" w:rsidRDefault="00D30D00" w:rsidP="00D30D00">
      <w:pPr>
        <w:pStyle w:val="NormalParaAR"/>
        <w:spacing w:after="0"/>
        <w:ind w:left="1701"/>
        <w:rPr>
          <w:rtl/>
        </w:rPr>
      </w:pPr>
      <w:r>
        <w:rPr>
          <w:rFonts w:hint="cs"/>
          <w:rtl/>
        </w:rPr>
        <w:t>ليتوانيا</w:t>
      </w:r>
    </w:p>
    <w:p w:rsidR="00B6510E" w:rsidRDefault="00B6510E" w:rsidP="00D30D00">
      <w:pPr>
        <w:pStyle w:val="NormalParaAR"/>
        <w:spacing w:after="0"/>
        <w:ind w:left="1701"/>
        <w:rPr>
          <w:rtl/>
        </w:rPr>
      </w:pPr>
      <w:r>
        <w:rPr>
          <w:rFonts w:hint="cs"/>
          <w:rtl/>
        </w:rPr>
        <w:t>لكسمبرغ</w:t>
      </w:r>
    </w:p>
    <w:p w:rsidR="00D30D00" w:rsidRDefault="00D30D00" w:rsidP="00D30D00">
      <w:pPr>
        <w:pStyle w:val="NormalParaAR"/>
        <w:spacing w:after="0"/>
        <w:ind w:left="1701"/>
        <w:rPr>
          <w:rtl/>
        </w:rPr>
      </w:pPr>
      <w:r>
        <w:rPr>
          <w:rFonts w:hint="cs"/>
          <w:rtl/>
        </w:rPr>
        <w:t>مدغشقر</w:t>
      </w:r>
    </w:p>
    <w:p w:rsidR="00B6510E" w:rsidRDefault="00B6510E" w:rsidP="00B6510E">
      <w:pPr>
        <w:pStyle w:val="NormalParaAR"/>
        <w:spacing w:after="0"/>
        <w:ind w:left="1701"/>
        <w:rPr>
          <w:rtl/>
        </w:rPr>
      </w:pPr>
      <w:r>
        <w:rPr>
          <w:rFonts w:hint="cs"/>
          <w:rtl/>
        </w:rPr>
        <w:t>موريتانيا</w:t>
      </w:r>
    </w:p>
    <w:p w:rsidR="00B6510E" w:rsidRDefault="00B6510E" w:rsidP="00B6510E">
      <w:pPr>
        <w:pStyle w:val="NormalParaAR"/>
        <w:spacing w:after="0"/>
        <w:ind w:left="1701"/>
        <w:rPr>
          <w:rtl/>
        </w:rPr>
      </w:pPr>
      <w:r>
        <w:rPr>
          <w:rFonts w:hint="cs"/>
          <w:rtl/>
        </w:rPr>
        <w:t>المغرب</w:t>
      </w:r>
    </w:p>
    <w:p w:rsidR="00D30D00" w:rsidRDefault="00D30D00" w:rsidP="00D30D00">
      <w:pPr>
        <w:pStyle w:val="NormalParaAR"/>
        <w:spacing w:after="0"/>
        <w:ind w:left="1701"/>
        <w:rPr>
          <w:rtl/>
        </w:rPr>
      </w:pPr>
      <w:r>
        <w:rPr>
          <w:rFonts w:hint="cs"/>
          <w:rtl/>
        </w:rPr>
        <w:t>موزمبيق</w:t>
      </w:r>
    </w:p>
    <w:p w:rsidR="00D30D00" w:rsidRDefault="00D30D00" w:rsidP="00D30D00">
      <w:pPr>
        <w:pStyle w:val="NormalParaAR"/>
        <w:spacing w:after="0"/>
        <w:ind w:left="1701"/>
        <w:rPr>
          <w:rtl/>
        </w:rPr>
      </w:pPr>
      <w:r>
        <w:rPr>
          <w:rFonts w:hint="cs"/>
          <w:rtl/>
        </w:rPr>
        <w:lastRenderedPageBreak/>
        <w:t>ميانمار</w:t>
      </w:r>
    </w:p>
    <w:p w:rsidR="00D30D00" w:rsidRDefault="00D30D00" w:rsidP="00D30D00">
      <w:pPr>
        <w:pStyle w:val="NormalParaAR"/>
        <w:spacing w:after="0"/>
        <w:ind w:left="1701"/>
        <w:rPr>
          <w:rtl/>
        </w:rPr>
      </w:pPr>
      <w:r>
        <w:rPr>
          <w:rFonts w:hint="cs"/>
          <w:rtl/>
        </w:rPr>
        <w:t>هولندا</w:t>
      </w:r>
    </w:p>
    <w:p w:rsidR="00B6510E" w:rsidRDefault="00B6510E" w:rsidP="00D30D00">
      <w:pPr>
        <w:pStyle w:val="NormalParaAR"/>
        <w:spacing w:after="0"/>
        <w:ind w:left="1701"/>
        <w:rPr>
          <w:rtl/>
        </w:rPr>
      </w:pPr>
      <w:r>
        <w:rPr>
          <w:rFonts w:hint="cs"/>
          <w:rtl/>
        </w:rPr>
        <w:t>نيوزيلندا</w:t>
      </w:r>
    </w:p>
    <w:p w:rsidR="00B6510E" w:rsidRDefault="00B6510E" w:rsidP="00D30D00">
      <w:pPr>
        <w:pStyle w:val="NormalParaAR"/>
        <w:spacing w:after="0"/>
        <w:ind w:left="1701"/>
        <w:rPr>
          <w:rtl/>
        </w:rPr>
      </w:pPr>
      <w:r>
        <w:rPr>
          <w:rFonts w:hint="cs"/>
          <w:rtl/>
        </w:rPr>
        <w:t>النيجر</w:t>
      </w:r>
    </w:p>
    <w:p w:rsidR="00D30D00" w:rsidRDefault="00D30D00" w:rsidP="00D30D00">
      <w:pPr>
        <w:pStyle w:val="NormalParaAR"/>
        <w:spacing w:after="0"/>
        <w:ind w:left="1701"/>
        <w:rPr>
          <w:rtl/>
        </w:rPr>
      </w:pPr>
      <w:r>
        <w:rPr>
          <w:rFonts w:hint="cs"/>
          <w:rtl/>
        </w:rPr>
        <w:t>النرويج</w:t>
      </w:r>
    </w:p>
    <w:p w:rsidR="00D30D00" w:rsidRDefault="00D30D00" w:rsidP="00D30D00">
      <w:pPr>
        <w:pStyle w:val="NormalParaAR"/>
        <w:spacing w:after="0"/>
        <w:ind w:left="1701"/>
        <w:rPr>
          <w:rtl/>
        </w:rPr>
      </w:pPr>
      <w:r>
        <w:rPr>
          <w:rFonts w:hint="cs"/>
          <w:rtl/>
        </w:rPr>
        <w:t>عُمان</w:t>
      </w:r>
    </w:p>
    <w:p w:rsidR="00D30D00" w:rsidRDefault="00D30D00" w:rsidP="00D30D00">
      <w:pPr>
        <w:pStyle w:val="NormalParaAR"/>
        <w:spacing w:after="0"/>
        <w:ind w:left="1701"/>
        <w:rPr>
          <w:rtl/>
        </w:rPr>
      </w:pPr>
      <w:r>
        <w:rPr>
          <w:rFonts w:hint="cs"/>
          <w:rtl/>
        </w:rPr>
        <w:t>باكستان</w:t>
      </w:r>
    </w:p>
    <w:p w:rsidR="00D30D00" w:rsidRDefault="00D30D00" w:rsidP="00D30D00">
      <w:pPr>
        <w:pStyle w:val="NormalParaAR"/>
        <w:spacing w:after="0"/>
        <w:ind w:left="1701"/>
        <w:rPr>
          <w:rtl/>
        </w:rPr>
      </w:pPr>
      <w:r>
        <w:rPr>
          <w:rFonts w:hint="cs"/>
          <w:rtl/>
        </w:rPr>
        <w:t>بنما</w:t>
      </w:r>
    </w:p>
    <w:p w:rsidR="00D30D00" w:rsidRDefault="00D30D00" w:rsidP="00D30D00">
      <w:pPr>
        <w:pStyle w:val="NormalParaAR"/>
        <w:spacing w:after="0"/>
        <w:ind w:left="1701"/>
        <w:rPr>
          <w:rtl/>
        </w:rPr>
      </w:pPr>
      <w:r>
        <w:rPr>
          <w:rFonts w:hint="cs"/>
          <w:rtl/>
        </w:rPr>
        <w:t>الفلبين</w:t>
      </w:r>
    </w:p>
    <w:p w:rsidR="00B6510E" w:rsidRDefault="00B6510E" w:rsidP="00D30D00">
      <w:pPr>
        <w:pStyle w:val="NormalParaAR"/>
        <w:spacing w:after="0"/>
        <w:ind w:left="1701"/>
        <w:rPr>
          <w:rtl/>
        </w:rPr>
      </w:pPr>
      <w:r>
        <w:rPr>
          <w:rFonts w:hint="cs"/>
          <w:rtl/>
        </w:rPr>
        <w:t>قطر</w:t>
      </w:r>
    </w:p>
    <w:p w:rsidR="00D30D00" w:rsidRDefault="00D30D00" w:rsidP="00D30D00">
      <w:pPr>
        <w:pStyle w:val="NormalParaAR"/>
        <w:spacing w:after="0"/>
        <w:ind w:left="1701"/>
        <w:rPr>
          <w:rtl/>
        </w:rPr>
      </w:pPr>
      <w:r>
        <w:rPr>
          <w:rFonts w:hint="cs"/>
          <w:rtl/>
        </w:rPr>
        <w:t>جمهورية كوريا</w:t>
      </w:r>
    </w:p>
    <w:p w:rsidR="00B6510E" w:rsidRDefault="00B6510E" w:rsidP="00D30D00">
      <w:pPr>
        <w:pStyle w:val="NormalParaAR"/>
        <w:spacing w:after="0"/>
        <w:ind w:left="1701"/>
        <w:rPr>
          <w:rtl/>
        </w:rPr>
      </w:pPr>
      <w:r>
        <w:rPr>
          <w:rFonts w:hint="cs"/>
          <w:rtl/>
        </w:rPr>
        <w:t>رومانيا</w:t>
      </w:r>
    </w:p>
    <w:p w:rsidR="00D30D00" w:rsidRDefault="00D30D00" w:rsidP="00D30D00">
      <w:pPr>
        <w:pStyle w:val="NormalParaAR"/>
        <w:spacing w:after="0"/>
        <w:ind w:left="1701"/>
        <w:rPr>
          <w:rtl/>
        </w:rPr>
      </w:pPr>
      <w:r>
        <w:rPr>
          <w:rFonts w:hint="cs"/>
          <w:rtl/>
        </w:rPr>
        <w:t>الاتحاد الروسي</w:t>
      </w:r>
    </w:p>
    <w:p w:rsidR="00B6510E" w:rsidRDefault="00B6510E" w:rsidP="00D30D00">
      <w:pPr>
        <w:pStyle w:val="NormalParaAR"/>
        <w:spacing w:after="0"/>
        <w:ind w:left="1701"/>
        <w:rPr>
          <w:rtl/>
        </w:rPr>
      </w:pPr>
      <w:r>
        <w:rPr>
          <w:rFonts w:hint="cs"/>
          <w:rtl/>
        </w:rPr>
        <w:t>سان مارينو</w:t>
      </w:r>
    </w:p>
    <w:p w:rsidR="00B6510E" w:rsidRDefault="00B6510E" w:rsidP="00D30D00">
      <w:pPr>
        <w:pStyle w:val="NormalParaAR"/>
        <w:spacing w:after="0"/>
        <w:ind w:left="1701"/>
        <w:rPr>
          <w:rtl/>
        </w:rPr>
      </w:pPr>
      <w:r>
        <w:rPr>
          <w:rFonts w:hint="cs"/>
          <w:rtl/>
        </w:rPr>
        <w:t>المملكة العربية السعودية</w:t>
      </w:r>
    </w:p>
    <w:p w:rsidR="00D30D00" w:rsidRDefault="00B6510E" w:rsidP="00D30D00">
      <w:pPr>
        <w:pStyle w:val="NormalParaAR"/>
        <w:spacing w:after="0"/>
        <w:ind w:left="1701"/>
        <w:rPr>
          <w:rtl/>
        </w:rPr>
      </w:pPr>
      <w:r>
        <w:rPr>
          <w:rFonts w:hint="cs"/>
          <w:rtl/>
        </w:rPr>
        <w:t>السنغال</w:t>
      </w:r>
    </w:p>
    <w:p w:rsidR="00B6510E" w:rsidRDefault="00B6510E" w:rsidP="00B6510E">
      <w:pPr>
        <w:pStyle w:val="NormalParaAR"/>
        <w:spacing w:after="0"/>
        <w:ind w:left="1701"/>
      </w:pPr>
      <w:r>
        <w:rPr>
          <w:rFonts w:hint="cs"/>
          <w:rtl/>
        </w:rPr>
        <w:t>سنغافورة</w:t>
      </w:r>
    </w:p>
    <w:p w:rsidR="00D30D00" w:rsidRDefault="00D30D00" w:rsidP="00D30D00">
      <w:pPr>
        <w:pStyle w:val="NormalParaAR"/>
        <w:spacing w:after="0"/>
        <w:ind w:left="1701"/>
        <w:rPr>
          <w:rtl/>
        </w:rPr>
      </w:pPr>
      <w:r>
        <w:rPr>
          <w:rFonts w:hint="cs"/>
          <w:rtl/>
        </w:rPr>
        <w:t>سلوفينيا</w:t>
      </w:r>
    </w:p>
    <w:p w:rsidR="00B6510E" w:rsidRDefault="00B6510E" w:rsidP="00D30D00">
      <w:pPr>
        <w:pStyle w:val="NormalParaAR"/>
        <w:spacing w:after="0"/>
        <w:ind w:left="1701"/>
        <w:rPr>
          <w:rtl/>
        </w:rPr>
      </w:pPr>
      <w:r>
        <w:rPr>
          <w:rFonts w:hint="cs"/>
          <w:rtl/>
        </w:rPr>
        <w:t>إسبانيا</w:t>
      </w:r>
    </w:p>
    <w:p w:rsidR="00D30D00" w:rsidRDefault="00B6510E" w:rsidP="00D30D00">
      <w:pPr>
        <w:pStyle w:val="NormalParaAR"/>
        <w:spacing w:after="0"/>
        <w:ind w:left="1701"/>
        <w:rPr>
          <w:rtl/>
        </w:rPr>
      </w:pPr>
      <w:r>
        <w:rPr>
          <w:rFonts w:hint="cs"/>
          <w:rtl/>
        </w:rPr>
        <w:t>سري لانكا</w:t>
      </w:r>
    </w:p>
    <w:p w:rsidR="00D30D00" w:rsidRDefault="00D30D00" w:rsidP="00D30D00">
      <w:pPr>
        <w:pStyle w:val="NormalParaAR"/>
        <w:spacing w:after="0"/>
        <w:ind w:left="1701"/>
        <w:rPr>
          <w:rtl/>
        </w:rPr>
      </w:pPr>
      <w:r>
        <w:rPr>
          <w:rFonts w:hint="cs"/>
          <w:rtl/>
        </w:rPr>
        <w:t>السويد</w:t>
      </w:r>
    </w:p>
    <w:p w:rsidR="00B6510E" w:rsidRDefault="00B6510E" w:rsidP="00D30D00">
      <w:pPr>
        <w:pStyle w:val="NormalParaAR"/>
        <w:spacing w:after="0"/>
        <w:ind w:left="1701"/>
        <w:rPr>
          <w:rtl/>
        </w:rPr>
      </w:pPr>
      <w:r>
        <w:rPr>
          <w:rFonts w:hint="cs"/>
          <w:rtl/>
        </w:rPr>
        <w:t>سويسرا</w:t>
      </w:r>
    </w:p>
    <w:p w:rsidR="00D30D00" w:rsidRDefault="00D30D00" w:rsidP="00D30D00">
      <w:pPr>
        <w:pStyle w:val="NormalParaAR"/>
        <w:spacing w:after="0"/>
        <w:ind w:left="1701"/>
        <w:rPr>
          <w:rtl/>
        </w:rPr>
      </w:pPr>
      <w:r>
        <w:rPr>
          <w:rFonts w:hint="cs"/>
          <w:rtl/>
        </w:rPr>
        <w:t>تايلند</w:t>
      </w:r>
    </w:p>
    <w:p w:rsidR="0002531D" w:rsidRDefault="0002531D" w:rsidP="00D30D00">
      <w:pPr>
        <w:pStyle w:val="NormalParaAR"/>
        <w:spacing w:after="0"/>
        <w:ind w:left="1701"/>
        <w:rPr>
          <w:rtl/>
        </w:rPr>
      </w:pPr>
      <w:r>
        <w:rPr>
          <w:rFonts w:hint="cs"/>
          <w:rtl/>
        </w:rPr>
        <w:t>تركمانستان</w:t>
      </w:r>
    </w:p>
    <w:p w:rsidR="00D30D00" w:rsidRDefault="00D30D00" w:rsidP="00D30D00">
      <w:pPr>
        <w:pStyle w:val="NormalParaAR"/>
        <w:spacing w:after="0"/>
        <w:ind w:left="1701"/>
        <w:rPr>
          <w:rtl/>
        </w:rPr>
      </w:pPr>
      <w:r>
        <w:rPr>
          <w:rFonts w:hint="cs"/>
          <w:rtl/>
        </w:rPr>
        <w:t>تركيا</w:t>
      </w:r>
    </w:p>
    <w:p w:rsidR="00D30D00" w:rsidRDefault="00D30D00" w:rsidP="00D30D00">
      <w:pPr>
        <w:pStyle w:val="NormalParaAR"/>
        <w:spacing w:after="0"/>
        <w:ind w:left="1701"/>
        <w:rPr>
          <w:rtl/>
        </w:rPr>
      </w:pPr>
      <w:r>
        <w:rPr>
          <w:rFonts w:hint="cs"/>
          <w:rtl/>
        </w:rPr>
        <w:t>أوكرانيا</w:t>
      </w:r>
    </w:p>
    <w:p w:rsidR="0002531D" w:rsidRDefault="0002531D" w:rsidP="00D30D00">
      <w:pPr>
        <w:pStyle w:val="NormalParaAR"/>
        <w:spacing w:after="0"/>
        <w:ind w:left="1701"/>
        <w:rPr>
          <w:rtl/>
        </w:rPr>
      </w:pPr>
      <w:r>
        <w:rPr>
          <w:rFonts w:hint="cs"/>
          <w:rtl/>
        </w:rPr>
        <w:t>الولايات المتحدة الأمريكية</w:t>
      </w:r>
    </w:p>
    <w:p w:rsidR="00D30D00" w:rsidRDefault="0002531D" w:rsidP="00D30D00">
      <w:pPr>
        <w:pStyle w:val="NormalParaAR"/>
        <w:spacing w:after="0"/>
        <w:ind w:left="1701"/>
        <w:rPr>
          <w:rtl/>
        </w:rPr>
      </w:pPr>
      <w:r>
        <w:rPr>
          <w:rFonts w:hint="cs"/>
          <w:rtl/>
        </w:rPr>
        <w:t>المملكة المتحدة</w:t>
      </w:r>
    </w:p>
    <w:p w:rsidR="00D30D00" w:rsidRDefault="00D30D00" w:rsidP="00D30D00">
      <w:pPr>
        <w:pStyle w:val="NormalParaAR"/>
        <w:spacing w:after="0"/>
        <w:ind w:left="1701"/>
        <w:rPr>
          <w:rtl/>
        </w:rPr>
      </w:pPr>
      <w:r>
        <w:rPr>
          <w:rFonts w:hint="cs"/>
          <w:rtl/>
        </w:rPr>
        <w:t>أوروغواي</w:t>
      </w:r>
    </w:p>
    <w:p w:rsidR="00D30D00" w:rsidRDefault="0002531D" w:rsidP="00D30D00">
      <w:pPr>
        <w:pStyle w:val="NormalParaAR"/>
        <w:spacing w:after="0"/>
        <w:ind w:left="1701"/>
        <w:rPr>
          <w:rtl/>
        </w:rPr>
      </w:pPr>
      <w:r>
        <w:rPr>
          <w:rFonts w:hint="cs"/>
          <w:rtl/>
        </w:rPr>
        <w:t>فييت نام</w:t>
      </w:r>
    </w:p>
    <w:p w:rsidR="00D30D00" w:rsidRDefault="00D30D00" w:rsidP="00D30D00">
      <w:pPr>
        <w:pStyle w:val="NormalParaAR"/>
        <w:spacing w:after="0"/>
        <w:ind w:left="1701"/>
        <w:rPr>
          <w:rtl/>
        </w:rPr>
      </w:pPr>
      <w:r>
        <w:rPr>
          <w:rFonts w:hint="cs"/>
          <w:rtl/>
        </w:rPr>
        <w:t>زمبابوي.</w:t>
      </w:r>
    </w:p>
    <w:p w:rsidR="00D30D00" w:rsidRDefault="00D30D00" w:rsidP="00D30D00">
      <w:pPr>
        <w:pStyle w:val="NormalParaAR"/>
        <w:ind w:left="6" w:firstLine="567"/>
        <w:rPr>
          <w:rtl/>
        </w:rPr>
        <w:sectPr w:rsidR="00D30D00" w:rsidSect="00431FC7">
          <w:type w:val="continuous"/>
          <w:pgSz w:w="11907" w:h="16840" w:code="9"/>
          <w:pgMar w:top="567" w:right="1418" w:bottom="1418" w:left="1134" w:header="510" w:footer="1021" w:gutter="0"/>
          <w:cols w:num="2" w:space="284"/>
          <w:titlePg/>
          <w:bidi/>
          <w:docGrid w:linePitch="299"/>
        </w:sectPr>
      </w:pPr>
    </w:p>
    <w:p w:rsidR="0002531D" w:rsidRDefault="0002531D" w:rsidP="00D30D00">
      <w:pPr>
        <w:pStyle w:val="NormalParaAR"/>
        <w:ind w:left="6" w:firstLine="567"/>
        <w:rPr>
          <w:rtl/>
        </w:rPr>
      </w:pPr>
    </w:p>
    <w:p w:rsidR="00294EAC" w:rsidRDefault="00294EAC" w:rsidP="0002531D">
      <w:pPr>
        <w:pStyle w:val="NormalParaAR"/>
        <w:keepNext/>
        <w:ind w:left="6" w:firstLine="567"/>
        <w:rPr>
          <w:rtl/>
        </w:rPr>
      </w:pPr>
      <w:r>
        <w:rPr>
          <w:rtl/>
        </w:rPr>
        <w:t>(</w:t>
      </w:r>
      <w:r>
        <w:rPr>
          <w:rFonts w:hint="cs"/>
          <w:rtl/>
        </w:rPr>
        <w:t>د)</w:t>
      </w:r>
      <w:r>
        <w:rPr>
          <w:rtl/>
        </w:rPr>
        <w:tab/>
        <w:t xml:space="preserve">وبالنسبة إلى </w:t>
      </w:r>
      <w:r w:rsidRPr="0002531D">
        <w:rPr>
          <w:rFonts w:hint="cs"/>
          <w:i/>
          <w:iCs/>
          <w:rtl/>
        </w:rPr>
        <w:t>المراقبين</w:t>
      </w:r>
      <w:r>
        <w:rPr>
          <w:rtl/>
        </w:rPr>
        <w:t xml:space="preserve">، </w:t>
      </w:r>
      <w:r w:rsidRPr="00174745">
        <w:rPr>
          <w:i/>
          <w:iCs/>
          <w:rtl/>
        </w:rPr>
        <w:t>خطابات أو وثائق تعيين</w:t>
      </w:r>
      <w:r>
        <w:rPr>
          <w:rtl/>
        </w:rPr>
        <w:t xml:space="preserve"> ممثلي </w:t>
      </w:r>
      <w:r>
        <w:rPr>
          <w:rFonts w:hint="cs"/>
          <w:rtl/>
        </w:rPr>
        <w:t xml:space="preserve">المراقبين </w:t>
      </w:r>
      <w:r>
        <w:rPr>
          <w:rtl/>
        </w:rPr>
        <w:t>التالي ذكر</w:t>
      </w:r>
      <w:r>
        <w:rPr>
          <w:rFonts w:hint="cs"/>
          <w:rtl/>
        </w:rPr>
        <w:t>هم</w:t>
      </w:r>
      <w:r>
        <w:rPr>
          <w:rtl/>
        </w:rPr>
        <w:t>:</w:t>
      </w:r>
    </w:p>
    <w:p w:rsidR="00294EAC" w:rsidRDefault="00294EAC" w:rsidP="00AA4686">
      <w:pPr>
        <w:pStyle w:val="NormalParaAR"/>
        <w:ind w:left="1075"/>
        <w:rPr>
          <w:rtl/>
        </w:rPr>
      </w:pPr>
      <w:r>
        <w:rPr>
          <w:rtl/>
        </w:rPr>
        <w:t>"1"</w:t>
      </w:r>
      <w:r>
        <w:rPr>
          <w:rtl/>
        </w:rPr>
        <w:tab/>
      </w:r>
      <w:r w:rsidRPr="00077DB5">
        <w:rPr>
          <w:i/>
          <w:iCs/>
          <w:rtl/>
        </w:rPr>
        <w:t>المنظمات الحكومية الدولية</w:t>
      </w:r>
      <w:r>
        <w:rPr>
          <w:rtl/>
        </w:rPr>
        <w:t xml:space="preserve">: </w:t>
      </w:r>
      <w:r>
        <w:rPr>
          <w:rFonts w:hint="cs"/>
          <w:rtl/>
        </w:rPr>
        <w:t>الاتحاد الأفريقي</w:t>
      </w:r>
      <w:r w:rsidR="00C94A94">
        <w:rPr>
          <w:rFonts w:hint="cs"/>
          <w:rtl/>
        </w:rPr>
        <w:t xml:space="preserve"> </w:t>
      </w:r>
      <w:r w:rsidR="00C94A94">
        <w:t>(AU)</w:t>
      </w:r>
      <w:r>
        <w:rPr>
          <w:rFonts w:hint="cs"/>
          <w:rtl/>
        </w:rPr>
        <w:t xml:space="preserve"> </w:t>
      </w:r>
      <w:r w:rsidR="00AA4686">
        <w:rPr>
          <w:rFonts w:hint="cs"/>
          <w:rtl/>
        </w:rPr>
        <w:t>و</w:t>
      </w:r>
      <w:r w:rsidR="00AA4686" w:rsidRPr="00AA4686">
        <w:rPr>
          <w:rtl/>
        </w:rPr>
        <w:t xml:space="preserve">مكتب بنيلوكس للملكية الفكرية </w:t>
      </w:r>
      <w:r w:rsidR="00AA4686">
        <w:t>(BOIP)</w:t>
      </w:r>
      <w:r w:rsidR="00AA4686">
        <w:rPr>
          <w:rFonts w:hint="cs"/>
          <w:rtl/>
        </w:rPr>
        <w:t xml:space="preserve"> والمنظمة الدولية للفرنكوفونية </w:t>
      </w:r>
      <w:r w:rsidR="00AA4686">
        <w:t>(OIF)</w:t>
      </w:r>
      <w:r w:rsidR="00AA4686">
        <w:rPr>
          <w:rFonts w:hint="cs"/>
          <w:rtl/>
        </w:rPr>
        <w:t xml:space="preserve"> ومركز الجنوب </w:t>
      </w:r>
      <w:r w:rsidR="00C94A94">
        <w:t>(SC)</w:t>
      </w:r>
      <w:r w:rsidR="00C94A94">
        <w:rPr>
          <w:rFonts w:hint="cs"/>
          <w:rtl/>
        </w:rPr>
        <w:t xml:space="preserve"> </w:t>
      </w:r>
      <w:r w:rsidR="00AA4686">
        <w:rPr>
          <w:rFonts w:hint="cs"/>
          <w:rtl/>
        </w:rPr>
        <w:t>ومنظمة التجارة العالمية</w:t>
      </w:r>
      <w:r w:rsidR="00C94A94">
        <w:rPr>
          <w:rFonts w:hint="cs"/>
          <w:rtl/>
        </w:rPr>
        <w:t xml:space="preserve"> </w:t>
      </w:r>
      <w:r w:rsidR="00C94A94">
        <w:t>(WTO)</w:t>
      </w:r>
      <w:r w:rsidR="00AA4686">
        <w:rPr>
          <w:rFonts w:hint="cs"/>
          <w:rtl/>
        </w:rPr>
        <w:t xml:space="preserve"> (5).</w:t>
      </w:r>
    </w:p>
    <w:p w:rsidR="00A24543" w:rsidRPr="00A24543" w:rsidRDefault="00294EAC" w:rsidP="00B020F0">
      <w:pPr>
        <w:pStyle w:val="NormalParaAR"/>
        <w:ind w:left="1077"/>
        <w:rPr>
          <w:rtl/>
          <w:lang w:val="fr-CH"/>
        </w:rPr>
      </w:pPr>
      <w:r>
        <w:rPr>
          <w:rtl/>
        </w:rPr>
        <w:t>"2"</w:t>
      </w:r>
      <w:r>
        <w:rPr>
          <w:rtl/>
        </w:rPr>
        <w:tab/>
      </w:r>
      <w:r w:rsidRPr="00F61DAC">
        <w:rPr>
          <w:i/>
          <w:iCs/>
          <w:rtl/>
        </w:rPr>
        <w:t>المنظمات غير الحكومية</w:t>
      </w:r>
      <w:r>
        <w:rPr>
          <w:rtl/>
        </w:rPr>
        <w:t xml:space="preserve">: </w:t>
      </w:r>
      <w:r w:rsidR="00E36603" w:rsidRPr="00E36603">
        <w:rPr>
          <w:rtl/>
        </w:rPr>
        <w:t>جمعية مالكي العلامات التجارية الأوروبيين (</w:t>
      </w:r>
      <w:r w:rsidR="00E36603" w:rsidRPr="00E36603">
        <w:t>MARQUES</w:t>
      </w:r>
      <w:r w:rsidR="00E36603" w:rsidRPr="00E36603">
        <w:rPr>
          <w:rtl/>
        </w:rPr>
        <w:t>)، الجمعية البرازيلية للملكية الصناعية (</w:t>
      </w:r>
      <w:r w:rsidR="00E36603" w:rsidRPr="00E36603">
        <w:t>ABPI</w:t>
      </w:r>
      <w:r w:rsidR="00E36603" w:rsidRPr="00E36603">
        <w:rPr>
          <w:rtl/>
        </w:rPr>
        <w:t>)، مركز الدراسات الدولية للملكية الصناعية (</w:t>
      </w:r>
      <w:r w:rsidR="00E36603" w:rsidRPr="00E36603">
        <w:t>CEIPI</w:t>
      </w:r>
      <w:r w:rsidR="00E36603" w:rsidRPr="00E36603">
        <w:rPr>
          <w:rtl/>
        </w:rPr>
        <w:t xml:space="preserve">)، الجمعية المعنية </w:t>
      </w:r>
      <w:r w:rsidR="00E36603" w:rsidRPr="00E36603">
        <w:rPr>
          <w:rtl/>
        </w:rPr>
        <w:lastRenderedPageBreak/>
        <w:t>بأسماء الأغذية العامة (</w:t>
      </w:r>
      <w:r w:rsidR="00E36603" w:rsidRPr="00E36603">
        <w:t>CCFN</w:t>
      </w:r>
      <w:r w:rsidR="00E36603" w:rsidRPr="00E36603">
        <w:rPr>
          <w:rtl/>
        </w:rPr>
        <w:t xml:space="preserve">)، </w:t>
      </w:r>
      <w:r w:rsidR="00A24543" w:rsidRPr="00A24543">
        <w:rPr>
          <w:rtl/>
        </w:rPr>
        <w:t>الجمعية الأوروبية لطلاب الحقوق (</w:t>
      </w:r>
      <w:r w:rsidR="00A24543" w:rsidRPr="00A24543">
        <w:t>ELSA International</w:t>
      </w:r>
      <w:r w:rsidR="00A24543" w:rsidRPr="00A24543">
        <w:rPr>
          <w:rtl/>
        </w:rPr>
        <w:t>)</w:t>
      </w:r>
      <w:r w:rsidR="00A24543">
        <w:rPr>
          <w:rFonts w:hint="cs"/>
          <w:rtl/>
        </w:rPr>
        <w:t>،</w:t>
      </w:r>
      <w:r w:rsidR="00A24543" w:rsidRPr="00A24543">
        <w:rPr>
          <w:rtl/>
        </w:rPr>
        <w:t xml:space="preserve"> برنامج الصحة والبيئة (</w:t>
      </w:r>
      <w:r w:rsidR="00A24543" w:rsidRPr="00A24543">
        <w:t>HEP</w:t>
      </w:r>
      <w:r w:rsidR="00A24543" w:rsidRPr="00A24543">
        <w:rPr>
          <w:rtl/>
        </w:rPr>
        <w:t>)</w:t>
      </w:r>
      <w:r w:rsidR="00A24543">
        <w:rPr>
          <w:rFonts w:hint="cs"/>
          <w:rtl/>
        </w:rPr>
        <w:t xml:space="preserve">، </w:t>
      </w:r>
      <w:r w:rsidR="00A24543" w:rsidRPr="00FB0EC4">
        <w:rPr>
          <w:rtl/>
        </w:rPr>
        <w:t>جمعية الأمريكتين للملكية الصناعية (</w:t>
      </w:r>
      <w:r w:rsidR="00A24543" w:rsidRPr="00FB0EC4">
        <w:t>ASIPI</w:t>
      </w:r>
      <w:r w:rsidR="00A24543" w:rsidRPr="00FB0EC4">
        <w:rPr>
          <w:rtl/>
        </w:rPr>
        <w:t>)</w:t>
      </w:r>
      <w:r w:rsidR="00A24543">
        <w:rPr>
          <w:rFonts w:hint="cs"/>
          <w:rtl/>
        </w:rPr>
        <w:t xml:space="preserve">، </w:t>
      </w:r>
      <w:r w:rsidR="00A24543" w:rsidRPr="00FB0EC4">
        <w:rPr>
          <w:rtl/>
        </w:rPr>
        <w:t>الجمعية الدولية لحماية الملكية الصناعية (</w:t>
      </w:r>
      <w:r w:rsidR="00A24543" w:rsidRPr="00FB0EC4">
        <w:t>AIPPI</w:t>
      </w:r>
      <w:r w:rsidR="00A24543" w:rsidRPr="00FB0EC4">
        <w:rPr>
          <w:rtl/>
        </w:rPr>
        <w:t>)</w:t>
      </w:r>
      <w:r w:rsidR="00A24543">
        <w:rPr>
          <w:rFonts w:hint="cs"/>
          <w:rtl/>
        </w:rPr>
        <w:t>، ا</w:t>
      </w:r>
      <w:r w:rsidR="00A24543" w:rsidRPr="00A24543">
        <w:rPr>
          <w:rtl/>
        </w:rPr>
        <w:t>للجنة الحكومية الدولية المعنية بتسخير العلم والتكنولوجيا لأغراض التنمي</w:t>
      </w:r>
      <w:r w:rsidR="00A24543">
        <w:rPr>
          <w:rFonts w:hint="cs"/>
          <w:rtl/>
        </w:rPr>
        <w:t xml:space="preserve">ة </w:t>
      </w:r>
      <w:r w:rsidR="00A24543">
        <w:t>(ICSTD)</w:t>
      </w:r>
      <w:r w:rsidR="00A24543">
        <w:rPr>
          <w:rFonts w:hint="cs"/>
          <w:rtl/>
        </w:rPr>
        <w:t>،</w:t>
      </w:r>
      <w:r w:rsidR="00A24543">
        <w:rPr>
          <w:rFonts w:hint="cs"/>
          <w:rtl/>
          <w:lang w:val="fr-CH"/>
        </w:rPr>
        <w:t xml:space="preserve"> </w:t>
      </w:r>
      <w:r w:rsidR="00A24543" w:rsidRPr="00E36603">
        <w:rPr>
          <w:rtl/>
        </w:rPr>
        <w:t>الاتحاد الدولي لوكلاء الملكية الصناعية (</w:t>
      </w:r>
      <w:r w:rsidR="00A24543" w:rsidRPr="00E36603">
        <w:t>FICPI</w:t>
      </w:r>
      <w:r w:rsidR="00A24543" w:rsidRPr="00E36603">
        <w:rPr>
          <w:rtl/>
        </w:rPr>
        <w:t>)،</w:t>
      </w:r>
      <w:r w:rsidR="00A24543">
        <w:rPr>
          <w:rFonts w:hint="cs"/>
          <w:rtl/>
        </w:rPr>
        <w:t xml:space="preserve"> </w:t>
      </w:r>
      <w:r w:rsidR="00A24543" w:rsidRPr="00A24543">
        <w:rPr>
          <w:rtl/>
        </w:rPr>
        <w:t>الجمعية الدولية لتنمية الملكية الفكرية (</w:t>
      </w:r>
      <w:r w:rsidR="00A24543" w:rsidRPr="00A24543">
        <w:t>ADALPI</w:t>
      </w:r>
      <w:r w:rsidR="00A24543" w:rsidRPr="00A24543">
        <w:rPr>
          <w:rtl/>
        </w:rPr>
        <w:t>)</w:t>
      </w:r>
      <w:r w:rsidR="00A24543">
        <w:rPr>
          <w:rFonts w:hint="cs"/>
          <w:rtl/>
        </w:rPr>
        <w:t>،</w:t>
      </w:r>
      <w:r w:rsidR="00A24543" w:rsidRPr="00A24543">
        <w:rPr>
          <w:rtl/>
        </w:rPr>
        <w:t xml:space="preserve"> </w:t>
      </w:r>
      <w:r w:rsidR="00A24543" w:rsidRPr="00E36603">
        <w:rPr>
          <w:rtl/>
        </w:rPr>
        <w:t>الرابطة الدولية للعلامات التجارية (</w:t>
      </w:r>
      <w:r w:rsidR="00A24543" w:rsidRPr="00E36603">
        <w:t>INTA</w:t>
      </w:r>
      <w:r w:rsidR="00A24543" w:rsidRPr="00E36603">
        <w:rPr>
          <w:rtl/>
        </w:rPr>
        <w:t>)</w:t>
      </w:r>
      <w:r w:rsidR="00A24543">
        <w:rPr>
          <w:rFonts w:hint="cs"/>
          <w:rtl/>
        </w:rPr>
        <w:t xml:space="preserve">، </w:t>
      </w:r>
      <w:r w:rsidR="00A24543" w:rsidRPr="00A24543">
        <w:rPr>
          <w:rtl/>
        </w:rPr>
        <w:t>الجمعية الدولية لقانون النبيذ (</w:t>
      </w:r>
      <w:r w:rsidR="00A24543" w:rsidRPr="00A24543">
        <w:t>AIDV</w:t>
      </w:r>
      <w:r w:rsidR="00A24543" w:rsidRPr="00A24543">
        <w:rPr>
          <w:rtl/>
        </w:rPr>
        <w:t>)</w:t>
      </w:r>
      <w:r w:rsidR="00A24543" w:rsidRPr="00E36603">
        <w:rPr>
          <w:rtl/>
        </w:rPr>
        <w:t>، المؤسسة الدولية لإيكولوجيا المعرفة</w:t>
      </w:r>
      <w:r w:rsidR="00B020F0">
        <w:rPr>
          <w:rFonts w:hint="cs"/>
          <w:rtl/>
        </w:rPr>
        <w:t> </w:t>
      </w:r>
      <w:r w:rsidR="00A24543" w:rsidRPr="00E36603">
        <w:rPr>
          <w:rtl/>
        </w:rPr>
        <w:t>(</w:t>
      </w:r>
      <w:r w:rsidR="00A24543" w:rsidRPr="00E36603">
        <w:t>KEI</w:t>
      </w:r>
      <w:r w:rsidR="00A24543" w:rsidRPr="00E36603">
        <w:rPr>
          <w:rtl/>
        </w:rPr>
        <w:t>)،</w:t>
      </w:r>
      <w:r w:rsidR="00A24543">
        <w:rPr>
          <w:rFonts w:hint="cs"/>
          <w:rtl/>
        </w:rPr>
        <w:t xml:space="preserve"> </w:t>
      </w:r>
      <w:r w:rsidR="00A24543" w:rsidRPr="00A24543">
        <w:rPr>
          <w:rtl/>
        </w:rPr>
        <w:t>منظمة الشبكة الدولية للبيانات الجغرافية (</w:t>
      </w:r>
      <w:proofErr w:type="spellStart"/>
      <w:r w:rsidR="00A24543" w:rsidRPr="00A24543">
        <w:t>oriGIn</w:t>
      </w:r>
      <w:proofErr w:type="spellEnd"/>
      <w:r w:rsidR="00A24543" w:rsidRPr="00A24543">
        <w:rPr>
          <w:rtl/>
        </w:rPr>
        <w:t>)</w:t>
      </w:r>
      <w:r w:rsidR="00B020F0">
        <w:rPr>
          <w:rFonts w:hint="cs"/>
          <w:rtl/>
        </w:rPr>
        <w:t xml:space="preserve"> (15).</w:t>
      </w:r>
    </w:p>
    <w:p w:rsidR="00294EAC" w:rsidRDefault="00294EAC" w:rsidP="008E56CF">
      <w:pPr>
        <w:pStyle w:val="NumberedParaAR"/>
        <w:rPr>
          <w:rtl/>
        </w:rPr>
      </w:pPr>
      <w:r>
        <w:rPr>
          <w:rtl/>
        </w:rPr>
        <w:t xml:space="preserve">وتوصي اللجنة </w:t>
      </w:r>
      <w:r>
        <w:rPr>
          <w:rFonts w:hint="cs"/>
          <w:rtl/>
        </w:rPr>
        <w:t xml:space="preserve">إلى </w:t>
      </w:r>
      <w:r>
        <w:rPr>
          <w:rtl/>
        </w:rPr>
        <w:t xml:space="preserve">المؤتمر المنعقد في جلسة عامة بأن يقبل أوراق الاعتماد والتفويض الكامل للوفود الوارد ذكرها في الفقرة 7(أ)"1" </w:t>
      </w:r>
      <w:r>
        <w:rPr>
          <w:rFonts w:hint="cs"/>
          <w:rtl/>
        </w:rPr>
        <w:t>و7(</w:t>
      </w:r>
      <w:r w:rsidR="008E56CF">
        <w:rPr>
          <w:rFonts w:hint="cs"/>
          <w:rtl/>
        </w:rPr>
        <w:t>ج</w:t>
      </w:r>
      <w:r>
        <w:rPr>
          <w:rFonts w:hint="cs"/>
          <w:rtl/>
        </w:rPr>
        <w:t>)</w:t>
      </w:r>
      <w:r w:rsidR="008E56CF">
        <w:rPr>
          <w:rFonts w:hint="cs"/>
          <w:rtl/>
        </w:rPr>
        <w:t>"1"</w:t>
      </w:r>
      <w:r>
        <w:rPr>
          <w:rFonts w:hint="cs"/>
          <w:rtl/>
        </w:rPr>
        <w:t xml:space="preserve"> </w:t>
      </w:r>
      <w:r>
        <w:rPr>
          <w:rtl/>
        </w:rPr>
        <w:t>أعلاه، وأوراق الاعتماد للوفود الوارد ذكرها في الفقرة 7(أ)"2"</w:t>
      </w:r>
      <w:r w:rsidR="008E56CF">
        <w:rPr>
          <w:rFonts w:hint="cs"/>
          <w:rtl/>
        </w:rPr>
        <w:t xml:space="preserve"> و7(ب)</w:t>
      </w:r>
      <w:r>
        <w:rPr>
          <w:rtl/>
        </w:rPr>
        <w:t xml:space="preserve"> </w:t>
      </w:r>
      <w:r w:rsidR="009C6164">
        <w:rPr>
          <w:rFonts w:hint="cs"/>
          <w:rtl/>
        </w:rPr>
        <w:t xml:space="preserve">و7(ج)"2" </w:t>
      </w:r>
      <w:r>
        <w:rPr>
          <w:rtl/>
        </w:rPr>
        <w:t>أعلاه، وخطابات أو وثائق تعيين ممثلي المنظمات الوارد ذكرها في الفقرة 7(</w:t>
      </w:r>
      <w:r>
        <w:rPr>
          <w:rFonts w:hint="cs"/>
          <w:rtl/>
        </w:rPr>
        <w:t>د</w:t>
      </w:r>
      <w:r>
        <w:rPr>
          <w:rtl/>
        </w:rPr>
        <w:t>) أعلاه.</w:t>
      </w:r>
    </w:p>
    <w:p w:rsidR="00294EAC" w:rsidRDefault="00294EAC" w:rsidP="00294EAC">
      <w:pPr>
        <w:pStyle w:val="NumberedParaAR"/>
        <w:rPr>
          <w:rtl/>
        </w:rPr>
      </w:pPr>
      <w:r>
        <w:rPr>
          <w:rtl/>
        </w:rPr>
        <w:t xml:space="preserve">وعبرت اللجنة عن الرغبة في أن تلفت الأمانة نظر الوفود الأعضاء أو الوفود المراقبة التي لم تقدم أوراق الاعتماد أو التفويض الكامل وممثلي </w:t>
      </w:r>
      <w:r>
        <w:rPr>
          <w:rFonts w:hint="cs"/>
          <w:rtl/>
        </w:rPr>
        <w:t xml:space="preserve">المراقبين </w:t>
      </w:r>
      <w:r>
        <w:rPr>
          <w:rtl/>
        </w:rPr>
        <w:t>الذين لم يقدموا الخطابات أو الوثائق الأخرى للتعيين</w:t>
      </w:r>
      <w:r>
        <w:rPr>
          <w:rFonts w:hint="cs"/>
          <w:rtl/>
        </w:rPr>
        <w:t>،</w:t>
      </w:r>
      <w:r>
        <w:rPr>
          <w:rtl/>
        </w:rPr>
        <w:t xml:space="preserve"> إلى المادة 6 ("أوراق الاعتماد والتفويض الكامل") والمادة 7 ("خطابات التعيين") والمادة 10 ("المشاركة المؤقتة") من النظام الداخلي.</w:t>
      </w:r>
    </w:p>
    <w:p w:rsidR="00294EAC" w:rsidRDefault="00294EAC" w:rsidP="00294EAC">
      <w:pPr>
        <w:pStyle w:val="NumberedParaAR"/>
        <w:rPr>
          <w:rtl/>
        </w:rPr>
      </w:pPr>
      <w:r>
        <w:rPr>
          <w:rFonts w:hint="cs"/>
          <w:rtl/>
        </w:rPr>
        <w:t>و</w:t>
      </w:r>
      <w:r>
        <w:rPr>
          <w:rtl/>
        </w:rPr>
        <w:t>قررت اللجنة أن تعد الأمانة تقريرا عن اجتماعها وتصدره كتقرير لها، على أن يقدمه رئيس اللجنة إلى المؤتمر المنعقد في جلسة عامة.</w:t>
      </w:r>
    </w:p>
    <w:p w:rsidR="00294EAC" w:rsidRDefault="00294EAC" w:rsidP="00C94A94">
      <w:pPr>
        <w:pStyle w:val="NumberedParaAR"/>
        <w:rPr>
          <w:rtl/>
        </w:rPr>
      </w:pPr>
      <w:r>
        <w:rPr>
          <w:rtl/>
        </w:rPr>
        <w:t>وقررت اللجنة أن تجتمع من جديد لفحص أية بلاغات إضافية تتعلق بالوفود الأعضاء أو الوفد</w:t>
      </w:r>
      <w:r w:rsidR="00C94A94">
        <w:rPr>
          <w:rFonts w:hint="cs"/>
          <w:rtl/>
          <w:lang w:val="fr-CH"/>
        </w:rPr>
        <w:t>ين</w:t>
      </w:r>
      <w:r>
        <w:rPr>
          <w:rtl/>
        </w:rPr>
        <w:t xml:space="preserve"> الخاص</w:t>
      </w:r>
      <w:r w:rsidR="00C94A94">
        <w:rPr>
          <w:rFonts w:hint="cs"/>
          <w:rtl/>
        </w:rPr>
        <w:t>ي</w:t>
      </w:r>
      <w:r w:rsidR="009C6164">
        <w:rPr>
          <w:rFonts w:hint="cs"/>
          <w:rtl/>
        </w:rPr>
        <w:t>ن</w:t>
      </w:r>
      <w:r>
        <w:rPr>
          <w:rtl/>
        </w:rPr>
        <w:t xml:space="preserve"> أو الوفود المراقبة أو المراقب</w:t>
      </w:r>
      <w:r>
        <w:rPr>
          <w:rFonts w:hint="cs"/>
          <w:rtl/>
        </w:rPr>
        <w:t>ين</w:t>
      </w:r>
      <w:r>
        <w:rPr>
          <w:rtl/>
        </w:rPr>
        <w:t xml:space="preserve"> قد تتسلمها الأمانة بعد اختتام اجتماعها.</w:t>
      </w:r>
    </w:p>
    <w:p w:rsidR="00294EAC" w:rsidRDefault="00294EAC" w:rsidP="00294EAC">
      <w:pPr>
        <w:pStyle w:val="EndofDocumentAR"/>
        <w:rPr>
          <w:rtl/>
        </w:rPr>
      </w:pPr>
    </w:p>
    <w:p w:rsidR="00294EAC" w:rsidRPr="001667B6" w:rsidRDefault="00294EAC" w:rsidP="00294EAC">
      <w:pPr>
        <w:pStyle w:val="EndofDocumentAR"/>
      </w:pPr>
      <w:r>
        <w:rPr>
          <w:rFonts w:hint="cs"/>
          <w:rtl/>
        </w:rPr>
        <w:t>[نهاية الوثيقة]</w:t>
      </w:r>
    </w:p>
    <w:p w:rsidR="00E36CD9" w:rsidRDefault="00E36CD9" w:rsidP="007F38D1">
      <w:pPr>
        <w:pStyle w:val="NormalParaAR"/>
      </w:pPr>
    </w:p>
    <w:p w:rsidR="00CB79E4" w:rsidRDefault="00CB79E4" w:rsidP="007F38D1">
      <w:pPr>
        <w:pStyle w:val="NormalParaAR"/>
      </w:pPr>
    </w:p>
    <w:sectPr w:rsidR="00CB79E4" w:rsidSect="00F65883">
      <w:type w:val="continuous"/>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64" w:rsidRDefault="008F6064">
      <w:r>
        <w:separator/>
      </w:r>
    </w:p>
  </w:endnote>
  <w:endnote w:type="continuationSeparator" w:id="0">
    <w:p w:rsidR="008F6064" w:rsidRDefault="008F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64" w:rsidRDefault="008F6064" w:rsidP="009622BF">
      <w:pPr>
        <w:bidi/>
      </w:pPr>
      <w:bookmarkStart w:id="0" w:name="OLE_LINK1"/>
      <w:bookmarkStart w:id="1" w:name="OLE_LINK2"/>
      <w:r>
        <w:separator/>
      </w:r>
      <w:bookmarkEnd w:id="0"/>
      <w:bookmarkEnd w:id="1"/>
    </w:p>
  </w:footnote>
  <w:footnote w:type="continuationSeparator" w:id="0">
    <w:p w:rsidR="008F6064" w:rsidRDefault="008F606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AC" w:rsidRDefault="00F65883" w:rsidP="00F65883">
    <w:r>
      <w:t>LI</w:t>
    </w:r>
    <w:r w:rsidR="00294EAC">
      <w:t>/DC/</w:t>
    </w:r>
    <w:r>
      <w:t>10</w:t>
    </w:r>
  </w:p>
  <w:p w:rsidR="00294EAC" w:rsidRDefault="00294EAC" w:rsidP="00D61541">
    <w:r>
      <w:fldChar w:fldCharType="begin"/>
    </w:r>
    <w:r>
      <w:instrText xml:space="preserve"> PAGE  \* MERGEFORMAT </w:instrText>
    </w:r>
    <w:r>
      <w:fldChar w:fldCharType="separate"/>
    </w:r>
    <w:r w:rsidR="001E6191">
      <w:rPr>
        <w:noProof/>
      </w:rPr>
      <w:t>2</w:t>
    </w:r>
    <w:r>
      <w:fldChar w:fldCharType="end"/>
    </w:r>
  </w:p>
  <w:p w:rsidR="00294EAC" w:rsidRDefault="00294EA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A6AA7" w:rsidP="00294EAC">
    <w:r>
      <w:t>LI</w:t>
    </w:r>
    <w:r w:rsidR="002F77FC">
      <w:t>/</w:t>
    </w:r>
    <w:r>
      <w:t>DC</w:t>
    </w:r>
    <w:r w:rsidR="002F77FC">
      <w:t>/</w:t>
    </w:r>
    <w:r w:rsidR="00294EAC">
      <w:t>10</w:t>
    </w:r>
  </w:p>
  <w:p w:rsidR="002F77FC" w:rsidRDefault="002F77FC" w:rsidP="00D61541">
    <w:r>
      <w:fldChar w:fldCharType="begin"/>
    </w:r>
    <w:r>
      <w:instrText xml:space="preserve"> PAGE  \* MERGEFORMAT </w:instrText>
    </w:r>
    <w:r>
      <w:fldChar w:fldCharType="separate"/>
    </w:r>
    <w:r w:rsidR="001E6191">
      <w:rPr>
        <w:noProof/>
      </w:rPr>
      <w:t>5</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883" w:rsidRDefault="00F65883" w:rsidP="00F65883">
    <w:r>
      <w:t>LI/DC/10</w:t>
    </w:r>
  </w:p>
  <w:p w:rsidR="00F65883" w:rsidRDefault="00F65883" w:rsidP="00F65883">
    <w:r>
      <w:fldChar w:fldCharType="begin"/>
    </w:r>
    <w:r>
      <w:instrText xml:space="preserve"> PAGE  \* MERGEFORMAT </w:instrText>
    </w:r>
    <w:r>
      <w:fldChar w:fldCharType="separate"/>
    </w:r>
    <w:r w:rsidR="001E6191">
      <w:rPr>
        <w:noProof/>
      </w:rPr>
      <w:t>3</w:t>
    </w:r>
    <w:r>
      <w:fldChar w:fldCharType="end"/>
    </w:r>
  </w:p>
  <w:p w:rsidR="00F65883" w:rsidRDefault="00F65883" w:rsidP="00F658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A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31D"/>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5F48"/>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7EB"/>
    <w:rsid w:val="001D6A48"/>
    <w:rsid w:val="001E1043"/>
    <w:rsid w:val="001E10E1"/>
    <w:rsid w:val="001E175F"/>
    <w:rsid w:val="001E19F7"/>
    <w:rsid w:val="001E2669"/>
    <w:rsid w:val="001E3FB9"/>
    <w:rsid w:val="001E4083"/>
    <w:rsid w:val="001E5588"/>
    <w:rsid w:val="001E56CB"/>
    <w:rsid w:val="001E56FC"/>
    <w:rsid w:val="001E582D"/>
    <w:rsid w:val="001E6191"/>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4EAC"/>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739"/>
    <w:rsid w:val="00473CA1"/>
    <w:rsid w:val="0047572C"/>
    <w:rsid w:val="00476407"/>
    <w:rsid w:val="004773F7"/>
    <w:rsid w:val="00481F5F"/>
    <w:rsid w:val="004821D0"/>
    <w:rsid w:val="00482CB2"/>
    <w:rsid w:val="00483D06"/>
    <w:rsid w:val="00485A4A"/>
    <w:rsid w:val="00485CF7"/>
    <w:rsid w:val="004862C2"/>
    <w:rsid w:val="004863F7"/>
    <w:rsid w:val="00486830"/>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B86"/>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9AE"/>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6CF"/>
    <w:rsid w:val="008E5E2C"/>
    <w:rsid w:val="008E78F1"/>
    <w:rsid w:val="008F03CE"/>
    <w:rsid w:val="008F075B"/>
    <w:rsid w:val="008F0E9E"/>
    <w:rsid w:val="008F2913"/>
    <w:rsid w:val="008F2A4E"/>
    <w:rsid w:val="008F2AE9"/>
    <w:rsid w:val="008F332B"/>
    <w:rsid w:val="008F52D0"/>
    <w:rsid w:val="008F58BB"/>
    <w:rsid w:val="008F6064"/>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164"/>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54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2C1"/>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686"/>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0F0"/>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602"/>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10E"/>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A94"/>
    <w:rsid w:val="00C94D44"/>
    <w:rsid w:val="00C95EEE"/>
    <w:rsid w:val="00C974CB"/>
    <w:rsid w:val="00C97929"/>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AD3"/>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2B5"/>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D00"/>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603"/>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56C"/>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883"/>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0EC4"/>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basedOn w:val="DefaultParagraphFont"/>
    <w:link w:val="NormalParaAR"/>
    <w:rsid w:val="00294EAC"/>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basedOn w:val="DefaultParagraphFont"/>
    <w:link w:val="NormalParaAR"/>
    <w:rsid w:val="00294EAC"/>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879A-2D2E-4FC5-A902-E8066A40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5833</Characters>
  <Application>Microsoft Office Word</Application>
  <DocSecurity>4</DocSecurity>
  <Lines>972</Lines>
  <Paragraphs>232</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AHMIDOUCH Noureddine</dc:creator>
  <cp:lastModifiedBy>COUSIN Raquel</cp:lastModifiedBy>
  <cp:revision>2</cp:revision>
  <cp:lastPrinted>2015-05-13T15:14:00Z</cp:lastPrinted>
  <dcterms:created xsi:type="dcterms:W3CDTF">2015-05-13T15:24:00Z</dcterms:created>
  <dcterms:modified xsi:type="dcterms:W3CDTF">2015-05-13T15:24:00Z</dcterms:modified>
</cp:coreProperties>
</file>