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1B7D1A" w:rsidRPr="00F25803" w:rsidTr="00272BE5">
        <w:trPr>
          <w:trHeight w:val="1977"/>
        </w:trPr>
        <w:tc>
          <w:tcPr>
            <w:tcW w:w="4594" w:type="dxa"/>
            <w:tcBorders>
              <w:bottom w:val="single" w:sz="4" w:space="0" w:color="auto"/>
            </w:tcBorders>
            <w:tcMar>
              <w:bottom w:w="170" w:type="dxa"/>
            </w:tcMar>
          </w:tcPr>
          <w:p w:rsidR="001B7D1A" w:rsidRPr="00F25803" w:rsidRDefault="001B7D1A" w:rsidP="00272BE5">
            <w:pPr>
              <w:jc w:val="both"/>
            </w:pPr>
            <w:r w:rsidRPr="00F25803">
              <w:rPr>
                <w:noProof/>
                <w:lang w:eastAsia="en-US"/>
              </w:rPr>
              <w:drawing>
                <wp:anchor distT="0" distB="0" distL="114300" distR="114300" simplePos="0" relativeHeight="251659264" behindDoc="1" locked="0" layoutInCell="0" allowOverlap="1" wp14:anchorId="23D8E8FF" wp14:editId="536F4AB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B7D1A" w:rsidRPr="00F25803" w:rsidRDefault="001B7D1A" w:rsidP="00272BE5"/>
        </w:tc>
        <w:tc>
          <w:tcPr>
            <w:tcW w:w="425" w:type="dxa"/>
            <w:tcBorders>
              <w:bottom w:val="single" w:sz="4" w:space="0" w:color="auto"/>
            </w:tcBorders>
            <w:tcMar>
              <w:left w:w="0" w:type="dxa"/>
              <w:right w:w="0" w:type="dxa"/>
            </w:tcMar>
          </w:tcPr>
          <w:p w:rsidR="001B7D1A" w:rsidRPr="00F25803" w:rsidRDefault="001B7D1A" w:rsidP="00272BE5">
            <w:pPr>
              <w:jc w:val="right"/>
            </w:pPr>
            <w:r w:rsidRPr="00F25803">
              <w:rPr>
                <w:b/>
                <w:sz w:val="40"/>
                <w:szCs w:val="40"/>
              </w:rPr>
              <w:t>C</w:t>
            </w:r>
          </w:p>
        </w:tc>
      </w:tr>
      <w:tr w:rsidR="001B7D1A" w:rsidRPr="0090731E" w:rsidTr="00272BE5">
        <w:trPr>
          <w:trHeight w:hRule="exact" w:val="340"/>
        </w:trPr>
        <w:tc>
          <w:tcPr>
            <w:tcW w:w="9356" w:type="dxa"/>
            <w:gridSpan w:val="3"/>
            <w:tcBorders>
              <w:top w:val="single" w:sz="4" w:space="0" w:color="auto"/>
            </w:tcBorders>
            <w:tcMar>
              <w:top w:w="170" w:type="dxa"/>
              <w:left w:w="0" w:type="dxa"/>
              <w:right w:w="0" w:type="dxa"/>
            </w:tcMar>
            <w:vAlign w:val="bottom"/>
          </w:tcPr>
          <w:p w:rsidR="001B7D1A" w:rsidRPr="0090731E" w:rsidRDefault="001B7D1A" w:rsidP="00272BE5">
            <w:pPr>
              <w:jc w:val="right"/>
              <w:rPr>
                <w:rFonts w:ascii="Arial Black" w:hAnsi="Arial Black"/>
                <w:caps/>
                <w:sz w:val="15"/>
              </w:rPr>
            </w:pPr>
            <w:r>
              <w:rPr>
                <w:rFonts w:ascii="Arial Black" w:hAnsi="Arial Black"/>
                <w:caps/>
                <w:sz w:val="15"/>
              </w:rPr>
              <w:t>cws/5/</w:t>
            </w:r>
            <w:r>
              <w:rPr>
                <w:rFonts w:ascii="Arial Black" w:hAnsi="Arial Black" w:hint="eastAsia"/>
                <w:caps/>
                <w:sz w:val="15"/>
              </w:rPr>
              <w:t>3</w:t>
            </w:r>
            <w:r>
              <w:rPr>
                <w:rFonts w:ascii="Arial Black" w:hAnsi="Arial Black"/>
                <w:caps/>
                <w:sz w:val="15"/>
              </w:rPr>
              <w:t xml:space="preserve"> </w:t>
            </w:r>
            <w:r w:rsidRPr="0090731E">
              <w:rPr>
                <w:rFonts w:ascii="Arial Black" w:hAnsi="Arial Black"/>
                <w:caps/>
                <w:sz w:val="15"/>
              </w:rPr>
              <w:t xml:space="preserve">   </w:t>
            </w:r>
          </w:p>
        </w:tc>
      </w:tr>
      <w:tr w:rsidR="001B7D1A" w:rsidRPr="0090731E" w:rsidTr="00272BE5">
        <w:trPr>
          <w:trHeight w:hRule="exact" w:val="170"/>
        </w:trPr>
        <w:tc>
          <w:tcPr>
            <w:tcW w:w="9356" w:type="dxa"/>
            <w:gridSpan w:val="3"/>
            <w:noWrap/>
            <w:tcMar>
              <w:left w:w="0" w:type="dxa"/>
              <w:right w:w="0" w:type="dxa"/>
            </w:tcMar>
            <w:vAlign w:val="bottom"/>
          </w:tcPr>
          <w:p w:rsidR="001B7D1A" w:rsidRPr="0090731E" w:rsidRDefault="001B7D1A" w:rsidP="00272BE5">
            <w:pPr>
              <w:jc w:val="right"/>
              <w:rPr>
                <w:rFonts w:ascii="Arial Black" w:hAnsi="Arial Black"/>
                <w:caps/>
                <w:sz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
        </w:tc>
      </w:tr>
      <w:tr w:rsidR="001B7D1A" w:rsidRPr="0090731E" w:rsidTr="00272BE5">
        <w:trPr>
          <w:trHeight w:hRule="exact" w:val="198"/>
        </w:trPr>
        <w:tc>
          <w:tcPr>
            <w:tcW w:w="9356" w:type="dxa"/>
            <w:gridSpan w:val="3"/>
            <w:tcMar>
              <w:left w:w="0" w:type="dxa"/>
              <w:right w:w="0" w:type="dxa"/>
            </w:tcMar>
            <w:vAlign w:val="bottom"/>
          </w:tcPr>
          <w:p w:rsidR="001B7D1A" w:rsidRPr="0090731E" w:rsidRDefault="001B7D1A" w:rsidP="00272BE5">
            <w:pPr>
              <w:jc w:val="right"/>
              <w:rPr>
                <w:rFonts w:ascii="Arial Black" w:hAnsi="Arial Black"/>
                <w:caps/>
                <w:sz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Pr>
                <w:rFonts w:ascii="Arial Black" w:eastAsia="SimHei" w:hAnsi="Arial Black" w:hint="eastAsia"/>
                <w:sz w:val="15"/>
                <w:szCs w:val="15"/>
                <w:lang w:val="pt-BR"/>
              </w:rPr>
              <w:t>4</w:t>
            </w:r>
            <w:r w:rsidRPr="00CB7F0C">
              <w:rPr>
                <w:rFonts w:ascii="SimHei" w:eastAsia="SimHei" w:hAnsi="Times New Roman" w:hint="eastAsia"/>
                <w:b/>
                <w:sz w:val="15"/>
                <w:szCs w:val="15"/>
              </w:rPr>
              <w:t>月</w:t>
            </w:r>
            <w:r w:rsidRPr="002F5E64">
              <w:rPr>
                <w:rFonts w:ascii="Arial Black" w:eastAsia="SimHei" w:hAnsi="Arial Black" w:hint="eastAsia"/>
                <w:sz w:val="15"/>
                <w:szCs w:val="15"/>
                <w:lang w:val="pt-BR"/>
              </w:rPr>
              <w:t>7</w:t>
            </w:r>
            <w:r w:rsidRPr="00CB7F0C">
              <w:rPr>
                <w:rFonts w:ascii="SimHei" w:eastAsia="SimHei" w:hAnsi="Times New Roman" w:hint="eastAsia"/>
                <w:b/>
                <w:sz w:val="15"/>
                <w:szCs w:val="15"/>
              </w:rPr>
              <w:t>日</w:t>
            </w:r>
          </w:p>
        </w:tc>
      </w:tr>
    </w:tbl>
    <w:p w:rsidR="001B7D1A" w:rsidRPr="00F25803" w:rsidRDefault="001B7D1A" w:rsidP="001B7D1A"/>
    <w:p w:rsidR="001B7D1A" w:rsidRPr="00F25803" w:rsidRDefault="001B7D1A" w:rsidP="001B7D1A"/>
    <w:p w:rsidR="001B7D1A" w:rsidRPr="00F25803" w:rsidRDefault="001B7D1A" w:rsidP="001B7D1A"/>
    <w:p w:rsidR="001B7D1A" w:rsidRPr="00F25803" w:rsidRDefault="001B7D1A" w:rsidP="001B7D1A"/>
    <w:p w:rsidR="001B7D1A" w:rsidRPr="00F25803" w:rsidRDefault="001B7D1A" w:rsidP="001B7D1A"/>
    <w:p w:rsidR="001B7D1A" w:rsidRPr="00F25803" w:rsidRDefault="001B7D1A" w:rsidP="001B7D1A">
      <w:pPr>
        <w:spacing w:line="360" w:lineRule="atLeast"/>
        <w:rPr>
          <w:rFonts w:ascii="SimHei" w:eastAsia="SimHei"/>
          <w:sz w:val="28"/>
          <w:szCs w:val="28"/>
        </w:rPr>
      </w:pPr>
      <w:r w:rsidRPr="00F25803">
        <w:rPr>
          <w:rFonts w:ascii="SimHei" w:eastAsia="SimHei" w:hint="eastAsia"/>
          <w:sz w:val="28"/>
          <w:szCs w:val="28"/>
        </w:rPr>
        <w:t>世界知识产权组织标准委员会</w:t>
      </w:r>
      <w:r>
        <w:rPr>
          <w:rFonts w:ascii="SimHei" w:eastAsia="SimHei" w:hint="eastAsia"/>
          <w:sz w:val="28"/>
          <w:szCs w:val="28"/>
        </w:rPr>
        <w:t>（</w:t>
      </w:r>
      <w:r w:rsidRPr="00F25803">
        <w:rPr>
          <w:rFonts w:ascii="SimHei" w:eastAsia="SimHei" w:hint="eastAsia"/>
          <w:sz w:val="28"/>
          <w:szCs w:val="28"/>
        </w:rPr>
        <w:t>CWS</w:t>
      </w:r>
      <w:r>
        <w:rPr>
          <w:rFonts w:ascii="SimHei" w:eastAsia="SimHei" w:hint="eastAsia"/>
          <w:sz w:val="28"/>
          <w:szCs w:val="28"/>
        </w:rPr>
        <w:t>）</w:t>
      </w:r>
    </w:p>
    <w:p w:rsidR="001B7D1A" w:rsidRPr="00F25803" w:rsidRDefault="001B7D1A" w:rsidP="001B7D1A">
      <w:pPr>
        <w:rPr>
          <w:szCs w:val="22"/>
        </w:rPr>
      </w:pPr>
    </w:p>
    <w:p w:rsidR="001B7D1A" w:rsidRPr="00F25803" w:rsidRDefault="001B7D1A" w:rsidP="001B7D1A">
      <w:pPr>
        <w:rPr>
          <w:sz w:val="24"/>
          <w:szCs w:val="24"/>
        </w:rPr>
      </w:pPr>
    </w:p>
    <w:p w:rsidR="001B7D1A" w:rsidRPr="00F25803" w:rsidRDefault="001B7D1A" w:rsidP="001B7D1A">
      <w:pPr>
        <w:spacing w:line="360" w:lineRule="atLeast"/>
        <w:textAlignment w:val="bottom"/>
        <w:rPr>
          <w:rFonts w:ascii="KaiTi" w:eastAsia="KaiTi"/>
          <w:b/>
          <w:sz w:val="24"/>
          <w:szCs w:val="24"/>
        </w:rPr>
      </w:pPr>
      <w:r w:rsidRPr="00F25803">
        <w:rPr>
          <w:rFonts w:ascii="KaiTi" w:eastAsia="KaiTi" w:hint="eastAsia"/>
          <w:b/>
          <w:sz w:val="24"/>
          <w:szCs w:val="24"/>
        </w:rPr>
        <w:t>第</w:t>
      </w:r>
      <w:r>
        <w:rPr>
          <w:rFonts w:ascii="KaiTi" w:eastAsia="KaiTi" w:hint="eastAsia"/>
          <w:b/>
          <w:sz w:val="24"/>
          <w:szCs w:val="24"/>
        </w:rPr>
        <w:t>五</w:t>
      </w:r>
      <w:r w:rsidRPr="00F25803">
        <w:rPr>
          <w:rFonts w:ascii="KaiTi" w:eastAsia="KaiTi" w:hint="eastAsia"/>
          <w:b/>
          <w:sz w:val="24"/>
          <w:szCs w:val="24"/>
        </w:rPr>
        <w:t>届会议</w:t>
      </w:r>
    </w:p>
    <w:p w:rsidR="001B7D1A" w:rsidRPr="00C965E0" w:rsidRDefault="001B7D1A" w:rsidP="001B7D1A">
      <w:pPr>
        <w:spacing w:line="360" w:lineRule="atLeast"/>
        <w:textAlignment w:val="bottom"/>
        <w:rPr>
          <w:rFonts w:ascii="KaiTi" w:eastAsia="KaiTi" w:hAnsi="KaiTi"/>
          <w:b/>
          <w:sz w:val="24"/>
          <w:szCs w:val="24"/>
        </w:rPr>
      </w:pPr>
      <w:r w:rsidRPr="00C965E0">
        <w:rPr>
          <w:rFonts w:ascii="KaiTi" w:eastAsia="KaiTi" w:hAnsi="KaiTi" w:hint="eastAsia"/>
          <w:b/>
          <w:sz w:val="24"/>
          <w:szCs w:val="24"/>
        </w:rPr>
        <w:t>2017年5月29日至6月2日，日内瓦</w:t>
      </w:r>
    </w:p>
    <w:p w:rsidR="00E83DC4" w:rsidRDefault="00E83DC4" w:rsidP="00E83DC4"/>
    <w:p w:rsidR="00A967BE" w:rsidRDefault="00A967BE" w:rsidP="00E83DC4"/>
    <w:p w:rsidR="00E83DC4" w:rsidRDefault="00E83DC4" w:rsidP="00E83DC4"/>
    <w:p w:rsidR="00E83DC4" w:rsidRPr="001B7D1A" w:rsidRDefault="00E83DC4" w:rsidP="00E83DC4">
      <w:pPr>
        <w:rPr>
          <w:rFonts w:ascii="KaiTi" w:eastAsia="KaiTi" w:hAnsi="KaiTi" w:cs="Times New Roman"/>
          <w:kern w:val="2"/>
          <w:sz w:val="24"/>
          <w:szCs w:val="32"/>
        </w:rPr>
      </w:pPr>
      <w:r w:rsidRPr="001B7D1A">
        <w:rPr>
          <w:rFonts w:ascii="KaiTi" w:eastAsia="KaiTi" w:hAnsi="KaiTi" w:cs="Times New Roman" w:hint="eastAsia"/>
          <w:kern w:val="2"/>
          <w:sz w:val="24"/>
          <w:szCs w:val="32"/>
        </w:rPr>
        <w:t>WIPO大会第四十八届会议关于标准委员会</w:t>
      </w:r>
      <w:r w:rsidR="00A967BE">
        <w:rPr>
          <w:rFonts w:ascii="KaiTi" w:eastAsia="KaiTi" w:hAnsi="KaiTi" w:cs="Times New Roman" w:hint="eastAsia"/>
          <w:kern w:val="2"/>
          <w:sz w:val="24"/>
          <w:szCs w:val="32"/>
        </w:rPr>
        <w:t>（</w:t>
      </w:r>
      <w:r w:rsidRPr="001B7D1A">
        <w:rPr>
          <w:rFonts w:ascii="KaiTi" w:eastAsia="KaiTi" w:hAnsi="KaiTi" w:cs="Times New Roman" w:hint="eastAsia"/>
          <w:kern w:val="2"/>
          <w:sz w:val="24"/>
          <w:szCs w:val="32"/>
        </w:rPr>
        <w:t>包括发展议程事项</w:t>
      </w:r>
      <w:r w:rsidR="00A967BE">
        <w:rPr>
          <w:rFonts w:ascii="KaiTi" w:eastAsia="KaiTi" w:hAnsi="KaiTi" w:cs="Times New Roman" w:hint="eastAsia"/>
          <w:kern w:val="2"/>
          <w:sz w:val="24"/>
          <w:szCs w:val="32"/>
        </w:rPr>
        <w:t>）</w:t>
      </w:r>
      <w:r w:rsidRPr="001B7D1A">
        <w:rPr>
          <w:rFonts w:ascii="KaiTi" w:eastAsia="KaiTi" w:hAnsi="KaiTi" w:cs="Times New Roman" w:hint="eastAsia"/>
          <w:kern w:val="2"/>
          <w:sz w:val="24"/>
          <w:szCs w:val="32"/>
        </w:rPr>
        <w:t>的决定</w:t>
      </w:r>
      <w:r w:rsidRPr="001B7D1A">
        <w:rPr>
          <w:rFonts w:ascii="KaiTi" w:eastAsia="KaiTi" w:hAnsi="KaiTi" w:cs="Times New Roman"/>
          <w:kern w:val="2"/>
          <w:szCs w:val="32"/>
          <w:vertAlign w:val="superscript"/>
        </w:rPr>
        <w:footnoteReference w:id="2"/>
      </w:r>
    </w:p>
    <w:p w:rsidR="00E83DC4" w:rsidRDefault="00E83DC4" w:rsidP="00E83DC4"/>
    <w:p w:rsidR="00E83DC4" w:rsidRDefault="00E83DC4" w:rsidP="00E83DC4"/>
    <w:p w:rsidR="004C079B" w:rsidRPr="00FD7B12" w:rsidRDefault="00E83DC4" w:rsidP="004C079B">
      <w:pPr>
        <w:rPr>
          <w:rFonts w:ascii="KaiTi" w:eastAsia="KaiTi" w:hAnsi="STKaiti" w:cs="Times New Roman"/>
          <w:kern w:val="2"/>
          <w:szCs w:val="24"/>
        </w:rPr>
      </w:pPr>
      <w:r w:rsidRPr="00FD7B12">
        <w:rPr>
          <w:rFonts w:ascii="KaiTi" w:eastAsia="KaiTi" w:hAnsi="STKaiti" w:cs="Times New Roman" w:hint="eastAsia"/>
          <w:kern w:val="2"/>
          <w:szCs w:val="24"/>
        </w:rPr>
        <w:t>秘书处编拟的文件</w:t>
      </w:r>
    </w:p>
    <w:p w:rsidR="004C079B" w:rsidRDefault="004C079B" w:rsidP="004C079B"/>
    <w:p w:rsidR="00FD7B12" w:rsidRDefault="00FD7B12" w:rsidP="004C079B"/>
    <w:p w:rsidR="004C079B" w:rsidRDefault="004C079B" w:rsidP="004C079B"/>
    <w:p w:rsidR="001B169E" w:rsidRDefault="001B169E" w:rsidP="004C079B"/>
    <w:p w:rsidR="004C079B" w:rsidRDefault="004C079B" w:rsidP="004C079B"/>
    <w:p w:rsidR="003B5AA3" w:rsidRPr="00FD7B12" w:rsidRDefault="00E83DC4" w:rsidP="00A967BE">
      <w:pPr>
        <w:pStyle w:val="ONUME"/>
        <w:spacing w:afterLines="50" w:after="120" w:line="340" w:lineRule="atLeast"/>
        <w:jc w:val="both"/>
        <w:rPr>
          <w:rFonts w:asciiTheme="minorEastAsia" w:eastAsiaTheme="minorEastAsia" w:hAnsiTheme="minorEastAsia"/>
          <w:szCs w:val="21"/>
        </w:rPr>
      </w:pPr>
      <w:r w:rsidRPr="00FD7B12">
        <w:rPr>
          <w:rFonts w:asciiTheme="minorEastAsia" w:eastAsiaTheme="minorEastAsia" w:hAnsiTheme="minorEastAsia" w:hint="eastAsia"/>
          <w:szCs w:val="21"/>
        </w:rPr>
        <w:t>在</w:t>
      </w:r>
      <w:r w:rsidR="000930AB" w:rsidRPr="00FD7B12">
        <w:rPr>
          <w:rFonts w:asciiTheme="minorEastAsia" w:eastAsiaTheme="minorEastAsia" w:hAnsiTheme="minorEastAsia" w:hint="eastAsia"/>
          <w:szCs w:val="21"/>
        </w:rPr>
        <w:t>2016年3月21日至24日</w:t>
      </w:r>
      <w:r w:rsidRPr="00FD7B12">
        <w:rPr>
          <w:rFonts w:asciiTheme="minorEastAsia" w:eastAsiaTheme="minorEastAsia" w:hAnsiTheme="minorEastAsia" w:hint="eastAsia"/>
          <w:szCs w:val="21"/>
        </w:rPr>
        <w:t>举行的</w:t>
      </w:r>
      <w:bookmarkStart w:id="0" w:name="_Hlk481512646"/>
      <w:r w:rsidRPr="00FD7B12">
        <w:rPr>
          <w:rFonts w:asciiTheme="minorEastAsia" w:eastAsiaTheme="minorEastAsia" w:hAnsiTheme="minorEastAsia" w:hint="eastAsia"/>
          <w:szCs w:val="21"/>
        </w:rPr>
        <w:t>第四届会议续会</w:t>
      </w:r>
      <w:bookmarkEnd w:id="0"/>
      <w:r w:rsidRPr="00FD7B12">
        <w:rPr>
          <w:rFonts w:asciiTheme="minorEastAsia" w:eastAsiaTheme="minorEastAsia" w:hAnsiTheme="minorEastAsia" w:hint="eastAsia"/>
          <w:szCs w:val="21"/>
        </w:rPr>
        <w:t>上，WIPO标准委员会</w:t>
      </w:r>
      <w:r w:rsidR="00A967BE" w:rsidRPr="00FD7B12">
        <w:rPr>
          <w:rFonts w:asciiTheme="minorEastAsia" w:eastAsiaTheme="minorEastAsia" w:hAnsiTheme="minorEastAsia" w:hint="eastAsia"/>
          <w:szCs w:val="21"/>
        </w:rPr>
        <w:t>（</w:t>
      </w:r>
      <w:r w:rsidRPr="00FD7B12">
        <w:rPr>
          <w:rFonts w:asciiTheme="minorEastAsia" w:eastAsiaTheme="minorEastAsia" w:hAnsiTheme="minorEastAsia" w:hint="eastAsia"/>
          <w:szCs w:val="21"/>
        </w:rPr>
        <w:t>CWS</w:t>
      </w:r>
      <w:r w:rsidR="00A967BE" w:rsidRPr="00FD7B12">
        <w:rPr>
          <w:rFonts w:asciiTheme="minorEastAsia" w:eastAsiaTheme="minorEastAsia" w:hAnsiTheme="minorEastAsia" w:hint="eastAsia"/>
          <w:szCs w:val="21"/>
        </w:rPr>
        <w:t>）</w:t>
      </w:r>
      <w:r w:rsidR="000930AB" w:rsidRPr="00FD7B12">
        <w:rPr>
          <w:rFonts w:asciiTheme="minorEastAsia" w:eastAsiaTheme="minorEastAsia" w:hAnsiTheme="minorEastAsia" w:hint="eastAsia"/>
          <w:szCs w:val="21"/>
        </w:rPr>
        <w:t>讨论了议程</w:t>
      </w:r>
      <w:r w:rsidR="000A2593" w:rsidRPr="00FD7B12">
        <w:rPr>
          <w:rFonts w:asciiTheme="minorEastAsia" w:eastAsiaTheme="minorEastAsia" w:hAnsiTheme="minorEastAsia" w:hint="eastAsia"/>
          <w:szCs w:val="21"/>
        </w:rPr>
        <w:t>第4项</w:t>
      </w:r>
      <w:r w:rsidR="000930AB" w:rsidRPr="00FD7B12">
        <w:rPr>
          <w:rFonts w:asciiTheme="minorEastAsia" w:eastAsiaTheme="minorEastAsia" w:hAnsiTheme="minorEastAsia" w:hint="eastAsia"/>
          <w:szCs w:val="21"/>
        </w:rPr>
        <w:t>：“WIPO大会第四十七届会议关于标准委员会</w:t>
      </w:r>
      <w:r w:rsidR="00A967BE" w:rsidRPr="00FD7B12">
        <w:rPr>
          <w:rFonts w:asciiTheme="minorEastAsia" w:eastAsiaTheme="minorEastAsia" w:hAnsiTheme="minorEastAsia" w:hint="eastAsia"/>
          <w:szCs w:val="21"/>
        </w:rPr>
        <w:t>（</w:t>
      </w:r>
      <w:r w:rsidR="000930AB" w:rsidRPr="00FD7B12">
        <w:rPr>
          <w:rFonts w:asciiTheme="minorEastAsia" w:eastAsiaTheme="minorEastAsia" w:hAnsiTheme="minorEastAsia" w:hint="eastAsia"/>
          <w:szCs w:val="21"/>
        </w:rPr>
        <w:t>包括发展议程事项</w:t>
      </w:r>
      <w:r w:rsidR="00A967BE" w:rsidRPr="00FD7B12">
        <w:rPr>
          <w:rFonts w:asciiTheme="minorEastAsia" w:eastAsiaTheme="minorEastAsia" w:hAnsiTheme="minorEastAsia" w:hint="eastAsia"/>
          <w:szCs w:val="21"/>
        </w:rPr>
        <w:t>）</w:t>
      </w:r>
      <w:r w:rsidR="000930AB" w:rsidRPr="00FD7B12">
        <w:rPr>
          <w:rFonts w:asciiTheme="minorEastAsia" w:eastAsiaTheme="minorEastAsia" w:hAnsiTheme="minorEastAsia" w:hint="eastAsia"/>
          <w:szCs w:val="21"/>
        </w:rPr>
        <w:t>的决定”。各代表团就标准委员会是否应对其落实发展议程各项建议进行报告表达了不同的观点。为了便于该议程项目的讨论，主席建议在该届会议期间进行一次非正式讨论。</w:t>
      </w:r>
      <w:r w:rsidR="00E86FEC" w:rsidRPr="00FD7B12">
        <w:rPr>
          <w:rFonts w:asciiTheme="minorEastAsia" w:eastAsiaTheme="minorEastAsia" w:hAnsiTheme="minorEastAsia" w:hint="eastAsia"/>
          <w:szCs w:val="21"/>
        </w:rPr>
        <w:t>标准委员会收到了一份关于非正式讨论结果的报告，并注意到，各代表团指出，该届会议</w:t>
      </w:r>
      <w:r w:rsidR="000A2593" w:rsidRPr="00FD7B12">
        <w:rPr>
          <w:rFonts w:asciiTheme="minorEastAsia" w:eastAsiaTheme="minorEastAsia" w:hAnsiTheme="minorEastAsia" w:hint="eastAsia"/>
          <w:szCs w:val="21"/>
        </w:rPr>
        <w:t>所</w:t>
      </w:r>
      <w:r w:rsidR="00E86FEC" w:rsidRPr="00FD7B12">
        <w:rPr>
          <w:rFonts w:asciiTheme="minorEastAsia" w:eastAsiaTheme="minorEastAsia" w:hAnsiTheme="minorEastAsia" w:hint="eastAsia"/>
          <w:szCs w:val="21"/>
        </w:rPr>
        <w:t>批准的新的</w:t>
      </w:r>
      <w:bookmarkStart w:id="1" w:name="_Hlk481511920"/>
      <w:r w:rsidR="00E86FEC" w:rsidRPr="00FD7B12">
        <w:rPr>
          <w:rFonts w:asciiTheme="minorEastAsia" w:eastAsiaTheme="minorEastAsia" w:hAnsiTheme="minorEastAsia" w:hint="eastAsia"/>
          <w:szCs w:val="21"/>
        </w:rPr>
        <w:t>WIPO标准</w:t>
      </w:r>
      <w:bookmarkEnd w:id="1"/>
      <w:r w:rsidR="00E86FEC" w:rsidRPr="00FD7B12">
        <w:rPr>
          <w:rFonts w:asciiTheme="minorEastAsia" w:eastAsiaTheme="minorEastAsia" w:hAnsiTheme="minorEastAsia" w:hint="eastAsia"/>
          <w:szCs w:val="21"/>
        </w:rPr>
        <w:t>使用情况调查可以成为收集各工业产权局执行WIPO标准事实性信息的良好依据。标准委员会同意在</w:t>
      </w:r>
      <w:r w:rsidR="00BB58A6" w:rsidRPr="00FD7B12">
        <w:rPr>
          <w:rFonts w:asciiTheme="minorEastAsia" w:eastAsiaTheme="minorEastAsia" w:hAnsiTheme="minorEastAsia" w:hint="eastAsia"/>
          <w:szCs w:val="21"/>
        </w:rPr>
        <w:t>第五</w:t>
      </w:r>
      <w:r w:rsidR="00E86FEC" w:rsidRPr="00FD7B12">
        <w:rPr>
          <w:rFonts w:asciiTheme="minorEastAsia" w:eastAsiaTheme="minorEastAsia" w:hAnsiTheme="minorEastAsia" w:hint="eastAsia"/>
          <w:szCs w:val="21"/>
        </w:rPr>
        <w:t>届会议上继续就议程第4项的未决问题进行讨论。（见文件</w:t>
      </w:r>
      <w:r w:rsidR="00E86FEC" w:rsidRPr="00FD7B12">
        <w:rPr>
          <w:rFonts w:asciiTheme="minorEastAsia" w:eastAsiaTheme="minorEastAsia" w:hAnsiTheme="minorEastAsia"/>
          <w:szCs w:val="21"/>
          <w:lang w:eastAsia="ko-KR"/>
        </w:rPr>
        <w:t>CWS/4BIS/16</w:t>
      </w:r>
      <w:r w:rsidR="00E86FEC" w:rsidRPr="00FD7B12">
        <w:rPr>
          <w:rFonts w:asciiTheme="minorEastAsia" w:eastAsiaTheme="minorEastAsia" w:hAnsiTheme="minorEastAsia" w:hint="eastAsia"/>
          <w:szCs w:val="21"/>
        </w:rPr>
        <w:t>第13</w:t>
      </w:r>
      <w:r w:rsidR="00AE51F7" w:rsidRPr="00FD7B12">
        <w:rPr>
          <w:rFonts w:asciiTheme="minorEastAsia" w:eastAsiaTheme="minorEastAsia" w:hAnsiTheme="minorEastAsia" w:hint="eastAsia"/>
          <w:szCs w:val="21"/>
        </w:rPr>
        <w:t>段</w:t>
      </w:r>
      <w:r w:rsidR="00E86FEC" w:rsidRPr="00FD7B12">
        <w:rPr>
          <w:rFonts w:asciiTheme="minorEastAsia" w:eastAsiaTheme="minorEastAsia" w:hAnsiTheme="minorEastAsia" w:hint="eastAsia"/>
          <w:szCs w:val="21"/>
        </w:rPr>
        <w:t>至</w:t>
      </w:r>
      <w:r w:rsidR="00AE51F7" w:rsidRPr="00FD7B12">
        <w:rPr>
          <w:rFonts w:asciiTheme="minorEastAsia" w:eastAsiaTheme="minorEastAsia" w:hAnsiTheme="minorEastAsia" w:hint="eastAsia"/>
          <w:szCs w:val="21"/>
        </w:rPr>
        <w:t>第</w:t>
      </w:r>
      <w:r w:rsidR="00E86FEC" w:rsidRPr="00FD7B12">
        <w:rPr>
          <w:rFonts w:asciiTheme="minorEastAsia" w:eastAsiaTheme="minorEastAsia" w:hAnsiTheme="minorEastAsia" w:hint="eastAsia"/>
          <w:szCs w:val="21"/>
        </w:rPr>
        <w:t>23段。）</w:t>
      </w:r>
    </w:p>
    <w:p w:rsidR="00F774E1" w:rsidRPr="00FD7B12" w:rsidRDefault="00D11D03" w:rsidP="00A967BE">
      <w:pPr>
        <w:pStyle w:val="ONUME"/>
        <w:spacing w:afterLines="50" w:after="120" w:line="340" w:lineRule="atLeast"/>
        <w:jc w:val="both"/>
        <w:rPr>
          <w:rFonts w:asciiTheme="minorEastAsia" w:eastAsiaTheme="minorEastAsia" w:hAnsiTheme="minorEastAsia"/>
          <w:szCs w:val="21"/>
        </w:rPr>
      </w:pPr>
      <w:r w:rsidRPr="00FD7B12">
        <w:rPr>
          <w:rFonts w:asciiTheme="minorEastAsia" w:eastAsiaTheme="minorEastAsia" w:hAnsiTheme="minorEastAsia" w:hint="eastAsia"/>
          <w:szCs w:val="21"/>
        </w:rPr>
        <w:t>秘书处通过调查问卷进行了调查，</w:t>
      </w:r>
      <w:r w:rsidR="003C22EF" w:rsidRPr="00FD7B12">
        <w:rPr>
          <w:rFonts w:asciiTheme="minorEastAsia" w:eastAsiaTheme="minorEastAsia" w:hAnsiTheme="minorEastAsia" w:hint="eastAsia"/>
          <w:szCs w:val="21"/>
        </w:rPr>
        <w:t>并</w:t>
      </w:r>
      <w:r w:rsidRPr="00FD7B12">
        <w:rPr>
          <w:rFonts w:asciiTheme="minorEastAsia" w:eastAsiaTheme="minorEastAsia" w:hAnsiTheme="minorEastAsia" w:hint="eastAsia"/>
          <w:szCs w:val="21"/>
        </w:rPr>
        <w:t>在</w:t>
      </w:r>
      <w:r w:rsidR="005C25BD" w:rsidRPr="00FD7B12">
        <w:rPr>
          <w:rFonts w:asciiTheme="minorEastAsia" w:eastAsiaTheme="minorEastAsia" w:hAnsiTheme="minorEastAsia" w:hint="eastAsia"/>
          <w:szCs w:val="21"/>
        </w:rPr>
        <w:t>首页中重点强调要突出</w:t>
      </w:r>
      <w:r w:rsidRPr="00FD7B12">
        <w:rPr>
          <w:rFonts w:asciiTheme="minorEastAsia" w:eastAsiaTheme="minorEastAsia" w:hAnsiTheme="minorEastAsia" w:hint="eastAsia"/>
          <w:szCs w:val="21"/>
        </w:rPr>
        <w:t>执行</w:t>
      </w:r>
      <w:r w:rsidR="005C25BD" w:rsidRPr="00FD7B12">
        <w:rPr>
          <w:rFonts w:asciiTheme="minorEastAsia" w:eastAsiaTheme="minorEastAsia" w:hAnsiTheme="minorEastAsia" w:hint="eastAsia"/>
          <w:szCs w:val="21"/>
        </w:rPr>
        <w:t>WIPO标准时</w:t>
      </w:r>
      <w:r w:rsidRPr="00FD7B12">
        <w:rPr>
          <w:rFonts w:asciiTheme="minorEastAsia" w:eastAsiaTheme="minorEastAsia" w:hAnsiTheme="minorEastAsia" w:hint="eastAsia"/>
          <w:szCs w:val="21"/>
        </w:rPr>
        <w:t>遇到</w:t>
      </w:r>
      <w:r w:rsidR="005C25BD" w:rsidRPr="00FD7B12">
        <w:rPr>
          <w:rFonts w:asciiTheme="minorEastAsia" w:eastAsiaTheme="minorEastAsia" w:hAnsiTheme="minorEastAsia" w:hint="eastAsia"/>
          <w:szCs w:val="21"/>
        </w:rPr>
        <w:t>的任何问题，以及</w:t>
      </w:r>
      <w:r w:rsidR="000A2593" w:rsidRPr="00FD7B12">
        <w:rPr>
          <w:rFonts w:asciiTheme="minorEastAsia" w:eastAsiaTheme="minorEastAsia" w:hAnsiTheme="minorEastAsia" w:hint="eastAsia"/>
          <w:szCs w:val="21"/>
        </w:rPr>
        <w:t>出现</w:t>
      </w:r>
      <w:r w:rsidR="005C25BD" w:rsidRPr="00FD7B12">
        <w:rPr>
          <w:rFonts w:asciiTheme="minorEastAsia" w:eastAsiaTheme="minorEastAsia" w:hAnsiTheme="minorEastAsia" w:hint="eastAsia"/>
          <w:szCs w:val="21"/>
        </w:rPr>
        <w:t>这些问题的原因</w:t>
      </w:r>
      <w:r w:rsidR="003C22EF" w:rsidRPr="00FD7B12">
        <w:rPr>
          <w:rFonts w:asciiTheme="minorEastAsia" w:eastAsiaTheme="minorEastAsia" w:hAnsiTheme="minorEastAsia" w:hint="eastAsia"/>
          <w:szCs w:val="21"/>
        </w:rPr>
        <w:t>。</w:t>
      </w:r>
      <w:r w:rsidRPr="00FD7B12">
        <w:rPr>
          <w:rFonts w:asciiTheme="minorEastAsia" w:eastAsiaTheme="minorEastAsia" w:hAnsiTheme="minorEastAsia" w:hint="eastAsia"/>
          <w:szCs w:val="21"/>
        </w:rPr>
        <w:t>调查结果</w:t>
      </w:r>
      <w:r w:rsidR="003C22EF" w:rsidRPr="00FD7B12">
        <w:rPr>
          <w:rFonts w:asciiTheme="minorEastAsia" w:eastAsiaTheme="minorEastAsia" w:hAnsiTheme="minorEastAsia" w:hint="eastAsia"/>
          <w:szCs w:val="21"/>
        </w:rPr>
        <w:t>现</w:t>
      </w:r>
      <w:r w:rsidRPr="00FD7B12">
        <w:rPr>
          <w:rFonts w:asciiTheme="minorEastAsia" w:eastAsiaTheme="minorEastAsia" w:hAnsiTheme="minorEastAsia" w:hint="eastAsia"/>
          <w:szCs w:val="21"/>
        </w:rPr>
        <w:t>提交给了</w:t>
      </w:r>
      <w:bookmarkStart w:id="2" w:name="_Hlk481512658"/>
      <w:r w:rsidRPr="00FD7B12">
        <w:rPr>
          <w:rFonts w:asciiTheme="minorEastAsia" w:eastAsiaTheme="minorEastAsia" w:hAnsiTheme="minorEastAsia" w:hint="eastAsia"/>
          <w:szCs w:val="21"/>
        </w:rPr>
        <w:t>标准委员会</w:t>
      </w:r>
      <w:bookmarkEnd w:id="2"/>
      <w:r w:rsidRPr="00FD7B12">
        <w:rPr>
          <w:rFonts w:asciiTheme="minorEastAsia" w:eastAsiaTheme="minorEastAsia" w:hAnsiTheme="minorEastAsia" w:hint="eastAsia"/>
          <w:szCs w:val="21"/>
        </w:rPr>
        <w:t>第五届会议（见文件</w:t>
      </w:r>
      <w:r w:rsidRPr="00FD7B12">
        <w:rPr>
          <w:rFonts w:asciiTheme="minorEastAsia" w:eastAsiaTheme="minorEastAsia" w:hAnsiTheme="minorEastAsia"/>
          <w:szCs w:val="21"/>
        </w:rPr>
        <w:t>CWS/5/2</w:t>
      </w:r>
      <w:r w:rsidRPr="00FD7B12">
        <w:rPr>
          <w:rFonts w:asciiTheme="minorEastAsia" w:eastAsiaTheme="minorEastAsia" w:hAnsiTheme="minorEastAsia" w:hint="eastAsia"/>
          <w:szCs w:val="21"/>
        </w:rPr>
        <w:t>）。</w:t>
      </w:r>
    </w:p>
    <w:p w:rsidR="00574EF3" w:rsidRPr="00FD7B12" w:rsidRDefault="00574EF3" w:rsidP="00A967BE">
      <w:pPr>
        <w:spacing w:afterLines="50" w:after="120" w:line="340" w:lineRule="atLeast"/>
        <w:jc w:val="both"/>
        <w:rPr>
          <w:rFonts w:asciiTheme="minorEastAsia" w:eastAsiaTheme="minorEastAsia" w:hAnsiTheme="minorEastAsia"/>
          <w:szCs w:val="21"/>
        </w:rPr>
      </w:pPr>
      <w:r w:rsidRPr="00FD7B12">
        <w:rPr>
          <w:rFonts w:asciiTheme="minorEastAsia" w:eastAsiaTheme="minorEastAsia" w:hAnsiTheme="minorEastAsia"/>
          <w:szCs w:val="21"/>
        </w:rPr>
        <w:br w:type="page"/>
      </w:r>
    </w:p>
    <w:p w:rsidR="004C079B" w:rsidRPr="00FD7B12" w:rsidRDefault="00FA745B" w:rsidP="00A967BE">
      <w:pPr>
        <w:pStyle w:val="ONUME"/>
        <w:spacing w:afterLines="50" w:after="120" w:line="340" w:lineRule="atLeast"/>
        <w:jc w:val="both"/>
        <w:rPr>
          <w:rFonts w:asciiTheme="minorEastAsia" w:eastAsiaTheme="minorEastAsia" w:hAnsiTheme="minorEastAsia"/>
          <w:szCs w:val="21"/>
        </w:rPr>
      </w:pPr>
      <w:r w:rsidRPr="00FD7B12">
        <w:rPr>
          <w:rFonts w:asciiTheme="minorEastAsia" w:eastAsiaTheme="minorEastAsia" w:hAnsiTheme="minorEastAsia" w:hint="eastAsia"/>
          <w:szCs w:val="21"/>
        </w:rPr>
        <w:lastRenderedPageBreak/>
        <w:t>WIPO大会在2016年10月3日至11日举行的第四十八届会议上讨论了标准委员会第四届会议续会</w:t>
      </w:r>
      <w:r w:rsidR="001C2CF1" w:rsidRPr="00FD7B12">
        <w:rPr>
          <w:rFonts w:asciiTheme="minorEastAsia" w:eastAsiaTheme="minorEastAsia" w:hAnsiTheme="minorEastAsia" w:hint="eastAsia"/>
          <w:szCs w:val="21"/>
        </w:rPr>
        <w:t>的报告。许多代表团</w:t>
      </w:r>
      <w:r w:rsidRPr="00FD7B12">
        <w:rPr>
          <w:rFonts w:asciiTheme="minorEastAsia" w:eastAsiaTheme="minorEastAsia" w:hAnsiTheme="minorEastAsia" w:hint="eastAsia"/>
          <w:szCs w:val="21"/>
        </w:rPr>
        <w:t>都</w:t>
      </w:r>
      <w:r w:rsidR="005D0D4A" w:rsidRPr="00FD7B12">
        <w:rPr>
          <w:rFonts w:asciiTheme="minorEastAsia" w:eastAsiaTheme="minorEastAsia" w:hAnsiTheme="minorEastAsia" w:hint="eastAsia"/>
          <w:szCs w:val="21"/>
        </w:rPr>
        <w:t>对</w:t>
      </w:r>
      <w:r w:rsidRPr="00FD7B12">
        <w:rPr>
          <w:rFonts w:asciiTheme="minorEastAsia" w:eastAsiaTheme="minorEastAsia" w:hAnsiTheme="minorEastAsia" w:hint="eastAsia"/>
          <w:szCs w:val="21"/>
        </w:rPr>
        <w:t>标准委员会恢复</w:t>
      </w:r>
      <w:r w:rsidR="001C2CF1" w:rsidRPr="00FD7B12">
        <w:rPr>
          <w:rFonts w:asciiTheme="minorEastAsia" w:eastAsiaTheme="minorEastAsia" w:hAnsiTheme="minorEastAsia" w:hint="eastAsia"/>
          <w:szCs w:val="21"/>
        </w:rPr>
        <w:t>工作</w:t>
      </w:r>
      <w:r w:rsidR="005D0D4A" w:rsidRPr="00FD7B12">
        <w:rPr>
          <w:rFonts w:asciiTheme="minorEastAsia" w:eastAsiaTheme="minorEastAsia" w:hAnsiTheme="minorEastAsia" w:hint="eastAsia"/>
          <w:szCs w:val="21"/>
        </w:rPr>
        <w:t>表示欢迎</w:t>
      </w:r>
      <w:r w:rsidR="001C2CF1" w:rsidRPr="00FD7B12">
        <w:rPr>
          <w:rFonts w:asciiTheme="minorEastAsia" w:eastAsiaTheme="minorEastAsia" w:hAnsiTheme="minorEastAsia" w:hint="eastAsia"/>
          <w:szCs w:val="21"/>
        </w:rPr>
        <w:t>，并强调了制定和</w:t>
      </w:r>
      <w:r w:rsidRPr="00FD7B12">
        <w:rPr>
          <w:rFonts w:asciiTheme="minorEastAsia" w:eastAsiaTheme="minorEastAsia" w:hAnsiTheme="minorEastAsia" w:hint="eastAsia"/>
          <w:szCs w:val="21"/>
        </w:rPr>
        <w:t>执行</w:t>
      </w:r>
      <w:r w:rsidR="001C2CF1" w:rsidRPr="00FD7B12">
        <w:rPr>
          <w:rFonts w:asciiTheme="minorEastAsia" w:eastAsiaTheme="minorEastAsia" w:hAnsiTheme="minorEastAsia" w:hint="eastAsia"/>
          <w:szCs w:val="21"/>
        </w:rPr>
        <w:t>WIPO标准的重要性。一些代表团强调了</w:t>
      </w:r>
      <w:r w:rsidRPr="00FD7B12">
        <w:rPr>
          <w:rFonts w:asciiTheme="minorEastAsia" w:eastAsiaTheme="minorEastAsia" w:hAnsiTheme="minorEastAsia" w:hint="eastAsia"/>
          <w:szCs w:val="21"/>
        </w:rPr>
        <w:t>标准委员会</w:t>
      </w:r>
      <w:r w:rsidR="001C2CF1" w:rsidRPr="00FD7B12">
        <w:rPr>
          <w:rFonts w:asciiTheme="minorEastAsia" w:eastAsiaTheme="minorEastAsia" w:hAnsiTheme="minorEastAsia" w:hint="eastAsia"/>
          <w:szCs w:val="21"/>
        </w:rPr>
        <w:t>与发展议程建议之间的关系。</w:t>
      </w:r>
      <w:r w:rsidR="00075A63" w:rsidRPr="00FD7B12">
        <w:rPr>
          <w:rFonts w:asciiTheme="minorEastAsia" w:eastAsiaTheme="minorEastAsia" w:hAnsiTheme="minorEastAsia" w:hint="eastAsia"/>
          <w:szCs w:val="21"/>
        </w:rPr>
        <w:t>有</w:t>
      </w:r>
      <w:r w:rsidR="001C2CF1" w:rsidRPr="00FD7B12">
        <w:rPr>
          <w:rFonts w:asciiTheme="minorEastAsia" w:eastAsiaTheme="minorEastAsia" w:hAnsiTheme="minorEastAsia" w:hint="eastAsia"/>
          <w:szCs w:val="21"/>
        </w:rPr>
        <w:t>一个代表团</w:t>
      </w:r>
      <w:r w:rsidR="00075A63" w:rsidRPr="00FD7B12">
        <w:rPr>
          <w:rFonts w:asciiTheme="minorEastAsia" w:eastAsiaTheme="minorEastAsia" w:hAnsiTheme="minorEastAsia" w:hint="eastAsia"/>
          <w:szCs w:val="21"/>
        </w:rPr>
        <w:t>对</w:t>
      </w:r>
      <w:r w:rsidR="001C2CF1" w:rsidRPr="00FD7B12">
        <w:rPr>
          <w:rFonts w:asciiTheme="minorEastAsia" w:eastAsiaTheme="minorEastAsia" w:hAnsiTheme="minorEastAsia" w:hint="eastAsia"/>
          <w:szCs w:val="21"/>
        </w:rPr>
        <w:t>调查结果</w:t>
      </w:r>
      <w:r w:rsidR="00075A63" w:rsidRPr="00FD7B12">
        <w:rPr>
          <w:rFonts w:asciiTheme="minorEastAsia" w:eastAsiaTheme="minorEastAsia" w:hAnsiTheme="minorEastAsia" w:hint="eastAsia"/>
          <w:szCs w:val="21"/>
        </w:rPr>
        <w:t>充满期待</w:t>
      </w:r>
      <w:r w:rsidR="001C2CF1" w:rsidRPr="00FD7B12">
        <w:rPr>
          <w:rFonts w:asciiTheme="minorEastAsia" w:eastAsiaTheme="minorEastAsia" w:hAnsiTheme="minorEastAsia" w:hint="eastAsia"/>
          <w:szCs w:val="21"/>
        </w:rPr>
        <w:t>，</w:t>
      </w:r>
      <w:r w:rsidR="00075A63" w:rsidRPr="00FD7B12">
        <w:rPr>
          <w:rFonts w:asciiTheme="minorEastAsia" w:eastAsiaTheme="minorEastAsia" w:hAnsiTheme="minorEastAsia" w:hint="eastAsia"/>
          <w:szCs w:val="21"/>
        </w:rPr>
        <w:t>期望</w:t>
      </w:r>
      <w:r w:rsidR="001C2CF1" w:rsidRPr="00FD7B12">
        <w:rPr>
          <w:rFonts w:asciiTheme="minorEastAsia" w:eastAsiaTheme="minorEastAsia" w:hAnsiTheme="minorEastAsia" w:hint="eastAsia"/>
          <w:szCs w:val="21"/>
        </w:rPr>
        <w:t>了解</w:t>
      </w:r>
      <w:r w:rsidR="00075A63" w:rsidRPr="00FD7B12">
        <w:rPr>
          <w:rFonts w:asciiTheme="minorEastAsia" w:eastAsiaTheme="minorEastAsia" w:hAnsiTheme="minorEastAsia" w:hint="eastAsia"/>
          <w:szCs w:val="21"/>
        </w:rPr>
        <w:t>正在制定的标准将对</w:t>
      </w:r>
      <w:r w:rsidR="001C2CF1" w:rsidRPr="00FD7B12">
        <w:rPr>
          <w:rFonts w:asciiTheme="minorEastAsia" w:eastAsiaTheme="minorEastAsia" w:hAnsiTheme="minorEastAsia" w:hint="eastAsia"/>
          <w:szCs w:val="21"/>
        </w:rPr>
        <w:t>发展中国家</w:t>
      </w:r>
      <w:r w:rsidR="00075A63" w:rsidRPr="00FD7B12">
        <w:rPr>
          <w:rFonts w:asciiTheme="minorEastAsia" w:eastAsiaTheme="minorEastAsia" w:hAnsiTheme="minorEastAsia" w:hint="eastAsia"/>
          <w:szCs w:val="21"/>
        </w:rPr>
        <w:t>的</w:t>
      </w:r>
      <w:r w:rsidR="001C2CF1" w:rsidRPr="00FD7B12">
        <w:rPr>
          <w:rFonts w:asciiTheme="minorEastAsia" w:eastAsiaTheme="minorEastAsia" w:hAnsiTheme="minorEastAsia" w:hint="eastAsia"/>
          <w:szCs w:val="21"/>
        </w:rPr>
        <w:t>国家知识产权局</w:t>
      </w:r>
      <w:r w:rsidR="00075A63" w:rsidRPr="00FD7B12">
        <w:rPr>
          <w:rFonts w:asciiTheme="minorEastAsia" w:eastAsiaTheme="minorEastAsia" w:hAnsiTheme="minorEastAsia" w:hint="eastAsia"/>
          <w:szCs w:val="21"/>
        </w:rPr>
        <w:t>产生何种影响</w:t>
      </w:r>
      <w:r w:rsidR="001C2CF1" w:rsidRPr="00FD7B12">
        <w:rPr>
          <w:rFonts w:asciiTheme="minorEastAsia" w:eastAsiaTheme="minorEastAsia" w:hAnsiTheme="minorEastAsia" w:hint="eastAsia"/>
          <w:szCs w:val="21"/>
        </w:rPr>
        <w:t>。最后，WIPO大会决定如下（见文件</w:t>
      </w:r>
      <w:r w:rsidR="00075A63" w:rsidRPr="00FD7B12">
        <w:rPr>
          <w:rFonts w:asciiTheme="minorEastAsia" w:eastAsiaTheme="minorEastAsia" w:hAnsiTheme="minorEastAsia"/>
          <w:szCs w:val="21"/>
        </w:rPr>
        <w:t>WO/GA/48/17</w:t>
      </w:r>
      <w:r w:rsidR="001C2CF1" w:rsidRPr="00FD7B12">
        <w:rPr>
          <w:rFonts w:asciiTheme="minorEastAsia" w:eastAsiaTheme="minorEastAsia" w:hAnsiTheme="minorEastAsia" w:hint="eastAsia"/>
          <w:szCs w:val="21"/>
        </w:rPr>
        <w:t>第196</w:t>
      </w:r>
      <w:r w:rsidR="00075A63" w:rsidRPr="00FD7B12">
        <w:rPr>
          <w:rFonts w:asciiTheme="minorEastAsia" w:eastAsiaTheme="minorEastAsia" w:hAnsiTheme="minorEastAsia" w:hint="eastAsia"/>
          <w:szCs w:val="21"/>
        </w:rPr>
        <w:t>段</w:t>
      </w:r>
      <w:r w:rsidR="00920667" w:rsidRPr="00FD7B12">
        <w:rPr>
          <w:rFonts w:asciiTheme="minorEastAsia" w:eastAsiaTheme="minorEastAsia" w:hAnsiTheme="minorEastAsia" w:hint="eastAsia"/>
          <w:szCs w:val="21"/>
        </w:rPr>
        <w:t>至</w:t>
      </w:r>
      <w:r w:rsidR="00075A63" w:rsidRPr="00FD7B12">
        <w:rPr>
          <w:rFonts w:asciiTheme="minorEastAsia" w:eastAsiaTheme="minorEastAsia" w:hAnsiTheme="minorEastAsia" w:hint="eastAsia"/>
          <w:szCs w:val="21"/>
        </w:rPr>
        <w:t>第</w:t>
      </w:r>
      <w:r w:rsidR="001C2CF1" w:rsidRPr="00FD7B12">
        <w:rPr>
          <w:rFonts w:asciiTheme="minorEastAsia" w:eastAsiaTheme="minorEastAsia" w:hAnsiTheme="minorEastAsia" w:hint="eastAsia"/>
          <w:szCs w:val="21"/>
        </w:rPr>
        <w:t>204段）：</w:t>
      </w:r>
    </w:p>
    <w:p w:rsidR="004C079B" w:rsidRPr="00FD7B12" w:rsidRDefault="004C079B" w:rsidP="009F1AEF">
      <w:pPr>
        <w:pStyle w:val="ONUME"/>
        <w:numPr>
          <w:ilvl w:val="0"/>
          <w:numId w:val="0"/>
        </w:numPr>
        <w:spacing w:afterLines="50" w:after="120" w:line="340" w:lineRule="atLeast"/>
        <w:ind w:left="567"/>
        <w:jc w:val="both"/>
        <w:rPr>
          <w:rFonts w:asciiTheme="minorEastAsia" w:eastAsiaTheme="minorEastAsia" w:hAnsiTheme="minorEastAsia"/>
          <w:szCs w:val="21"/>
        </w:rPr>
      </w:pPr>
      <w:r w:rsidRPr="00FD7B12">
        <w:rPr>
          <w:rFonts w:asciiTheme="minorEastAsia" w:eastAsiaTheme="minorEastAsia" w:hAnsiTheme="minorEastAsia"/>
          <w:szCs w:val="21"/>
        </w:rPr>
        <w:t>“</w:t>
      </w:r>
      <w:r w:rsidR="001C2CF1" w:rsidRPr="00FD7B12">
        <w:rPr>
          <w:rFonts w:asciiTheme="minorEastAsia" w:eastAsiaTheme="minorEastAsia" w:hAnsiTheme="minorEastAsia" w:hint="eastAsia"/>
          <w:szCs w:val="21"/>
        </w:rPr>
        <w:t>WIPO大会注意到</w:t>
      </w:r>
      <w:r w:rsidR="00973EA4" w:rsidRPr="00FD7B12">
        <w:rPr>
          <w:rFonts w:asciiTheme="minorEastAsia" w:eastAsiaTheme="minorEastAsia" w:hAnsiTheme="minorEastAsia" w:hint="eastAsia"/>
          <w:szCs w:val="21"/>
        </w:rPr>
        <w:t>“</w:t>
      </w:r>
      <w:r w:rsidR="00920667" w:rsidRPr="00FD7B12">
        <w:rPr>
          <w:rFonts w:asciiTheme="minorEastAsia" w:eastAsiaTheme="minorEastAsia" w:hAnsiTheme="minorEastAsia" w:hint="eastAsia"/>
          <w:szCs w:val="21"/>
        </w:rPr>
        <w:t>关于</w:t>
      </w:r>
      <w:r w:rsidR="001C2CF1" w:rsidRPr="00FD7B12">
        <w:rPr>
          <w:rFonts w:asciiTheme="minorEastAsia" w:eastAsiaTheme="minorEastAsia" w:hAnsiTheme="minorEastAsia" w:hint="eastAsia"/>
          <w:szCs w:val="21"/>
        </w:rPr>
        <w:t>WIPO</w:t>
      </w:r>
      <w:bookmarkStart w:id="3" w:name="_Hlk481513029"/>
      <w:r w:rsidR="001C2CF1" w:rsidRPr="00FD7B12">
        <w:rPr>
          <w:rFonts w:asciiTheme="minorEastAsia" w:eastAsiaTheme="minorEastAsia" w:hAnsiTheme="minorEastAsia" w:hint="eastAsia"/>
          <w:szCs w:val="21"/>
        </w:rPr>
        <w:t>标准委员会</w:t>
      </w:r>
      <w:bookmarkEnd w:id="3"/>
      <w:r w:rsidR="00A967BE" w:rsidRPr="00FD7B12">
        <w:rPr>
          <w:rFonts w:asciiTheme="minorEastAsia" w:eastAsiaTheme="minorEastAsia" w:hAnsiTheme="minorEastAsia"/>
          <w:szCs w:val="21"/>
        </w:rPr>
        <w:t>（</w:t>
      </w:r>
      <w:r w:rsidR="00973EA4" w:rsidRPr="00FD7B12">
        <w:rPr>
          <w:rFonts w:asciiTheme="minorEastAsia" w:eastAsiaTheme="minorEastAsia" w:hAnsiTheme="minorEastAsia"/>
          <w:szCs w:val="21"/>
        </w:rPr>
        <w:t>CWS</w:t>
      </w:r>
      <w:r w:rsidR="00A967BE" w:rsidRPr="00FD7B12">
        <w:rPr>
          <w:rFonts w:asciiTheme="minorEastAsia" w:eastAsiaTheme="minorEastAsia" w:hAnsiTheme="minorEastAsia"/>
          <w:szCs w:val="21"/>
        </w:rPr>
        <w:t>）</w:t>
      </w:r>
      <w:r w:rsidR="001C2CF1" w:rsidRPr="00FD7B12">
        <w:rPr>
          <w:rFonts w:asciiTheme="minorEastAsia" w:eastAsiaTheme="minorEastAsia" w:hAnsiTheme="minorEastAsia" w:hint="eastAsia"/>
          <w:szCs w:val="21"/>
        </w:rPr>
        <w:t>的报告</w:t>
      </w:r>
      <w:r w:rsidR="00973EA4" w:rsidRPr="00FD7B12">
        <w:rPr>
          <w:rFonts w:asciiTheme="minorEastAsia" w:eastAsiaTheme="minorEastAsia" w:hAnsiTheme="minorEastAsia" w:hint="eastAsia"/>
          <w:szCs w:val="21"/>
        </w:rPr>
        <w:t>”</w:t>
      </w:r>
      <w:r w:rsidR="001C2CF1" w:rsidRPr="00FD7B12">
        <w:rPr>
          <w:rFonts w:asciiTheme="minorEastAsia" w:eastAsiaTheme="minorEastAsia" w:hAnsiTheme="minorEastAsia" w:hint="eastAsia"/>
          <w:szCs w:val="21"/>
        </w:rPr>
        <w:t>（文件</w:t>
      </w:r>
      <w:r w:rsidR="00973EA4" w:rsidRPr="00FD7B12">
        <w:rPr>
          <w:rFonts w:asciiTheme="minorEastAsia" w:eastAsiaTheme="minorEastAsia" w:hAnsiTheme="minorEastAsia"/>
          <w:szCs w:val="21"/>
        </w:rPr>
        <w:t>WO/GA/48/10</w:t>
      </w:r>
      <w:r w:rsidR="001C2CF1" w:rsidRPr="00FD7B12">
        <w:rPr>
          <w:rFonts w:asciiTheme="minorEastAsia" w:eastAsiaTheme="minorEastAsia" w:hAnsiTheme="minorEastAsia" w:hint="eastAsia"/>
          <w:szCs w:val="21"/>
        </w:rPr>
        <w:t>）。</w:t>
      </w:r>
      <w:r w:rsidR="00990178" w:rsidRPr="00FD7B12">
        <w:rPr>
          <w:rFonts w:asciiTheme="minorEastAsia" w:eastAsiaTheme="minorEastAsia" w:hAnsiTheme="minorEastAsia"/>
          <w:szCs w:val="21"/>
        </w:rPr>
        <w:t>”</w:t>
      </w:r>
    </w:p>
    <w:p w:rsidR="004C079B" w:rsidRPr="00FD7B12" w:rsidRDefault="001C2CF1" w:rsidP="00FD7B12">
      <w:pPr>
        <w:pStyle w:val="ONUME"/>
        <w:spacing w:afterLines="50" w:after="120" w:line="340" w:lineRule="atLeast"/>
        <w:ind w:left="5529"/>
        <w:rPr>
          <w:rFonts w:ascii="KaiTi" w:eastAsia="KaiTi" w:hAnsi="KaiTi"/>
          <w:szCs w:val="21"/>
        </w:rPr>
      </w:pPr>
      <w:r w:rsidRPr="00FD7B12">
        <w:rPr>
          <w:rFonts w:ascii="KaiTi" w:eastAsia="KaiTi" w:hAnsi="KaiTi" w:hint="eastAsia"/>
          <w:szCs w:val="21"/>
        </w:rPr>
        <w:t>请</w:t>
      </w:r>
      <w:r w:rsidR="000A69D0" w:rsidRPr="00FD7B12">
        <w:rPr>
          <w:rFonts w:ascii="KaiTi" w:eastAsia="KaiTi" w:hAnsi="KaiTi" w:hint="eastAsia"/>
          <w:szCs w:val="21"/>
        </w:rPr>
        <w:t>标准委员会</w:t>
      </w:r>
      <w:r w:rsidRPr="00FD7B12">
        <w:rPr>
          <w:rFonts w:ascii="KaiTi" w:eastAsia="KaiTi" w:hAnsi="KaiTi" w:hint="eastAsia"/>
          <w:szCs w:val="21"/>
        </w:rPr>
        <w:t>注意WIPO大会第四十八届会议关于</w:t>
      </w:r>
      <w:r w:rsidR="000A69D0" w:rsidRPr="00FD7B12">
        <w:rPr>
          <w:rFonts w:ascii="KaiTi" w:eastAsia="KaiTi" w:hAnsi="KaiTi" w:hint="eastAsia"/>
          <w:szCs w:val="21"/>
        </w:rPr>
        <w:t>标准委员会</w:t>
      </w:r>
      <w:r w:rsidRPr="00FD7B12">
        <w:rPr>
          <w:rFonts w:ascii="KaiTi" w:eastAsia="KaiTi" w:hAnsi="KaiTi" w:hint="eastAsia"/>
          <w:szCs w:val="21"/>
        </w:rPr>
        <w:t>的决定。</w:t>
      </w:r>
    </w:p>
    <w:p w:rsidR="004C079B" w:rsidRPr="00FD7B12" w:rsidRDefault="004C079B" w:rsidP="00FD7B12">
      <w:pPr>
        <w:ind w:left="5529"/>
        <w:rPr>
          <w:sz w:val="24"/>
        </w:rPr>
      </w:pPr>
    </w:p>
    <w:p w:rsidR="004C079B" w:rsidRPr="00FD7B12" w:rsidRDefault="004C079B" w:rsidP="00FD7B12">
      <w:pPr>
        <w:ind w:left="5529"/>
        <w:rPr>
          <w:sz w:val="24"/>
        </w:rPr>
      </w:pPr>
      <w:bookmarkStart w:id="4" w:name="_GoBack"/>
      <w:bookmarkEnd w:id="4"/>
    </w:p>
    <w:p w:rsidR="004C079B" w:rsidRPr="00FD7B12" w:rsidRDefault="004C079B" w:rsidP="00FD7B12">
      <w:pPr>
        <w:pStyle w:val="Endofdocument-Annex"/>
        <w:spacing w:afterLines="50" w:after="120" w:line="340" w:lineRule="atLeast"/>
        <w:ind w:left="5529"/>
        <w:rPr>
          <w:rFonts w:ascii="KaiTi" w:eastAsia="KaiTi" w:hAnsi="KaiTi"/>
          <w:szCs w:val="21"/>
        </w:rPr>
      </w:pPr>
      <w:r w:rsidRPr="00FD7B12">
        <w:rPr>
          <w:rFonts w:ascii="KaiTi" w:eastAsia="KaiTi" w:hAnsi="KaiTi"/>
          <w:szCs w:val="21"/>
        </w:rPr>
        <w:t>[</w:t>
      </w:r>
      <w:r w:rsidR="001C2CF1" w:rsidRPr="00FD7B12">
        <w:rPr>
          <w:rFonts w:ascii="KaiTi" w:eastAsia="KaiTi" w:hAnsi="KaiTi" w:hint="eastAsia"/>
          <w:szCs w:val="21"/>
        </w:rPr>
        <w:t>文件完</w:t>
      </w:r>
      <w:r w:rsidRPr="00FD7B12">
        <w:rPr>
          <w:rFonts w:ascii="KaiTi" w:eastAsia="KaiTi" w:hAnsi="KaiTi"/>
          <w:szCs w:val="21"/>
        </w:rPr>
        <w:t>]</w:t>
      </w:r>
    </w:p>
    <w:sectPr w:rsidR="004C079B" w:rsidRPr="00FD7B12"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B06" w:rsidRDefault="001C4B06">
      <w:r>
        <w:separator/>
      </w:r>
    </w:p>
  </w:endnote>
  <w:endnote w:type="continuationSeparator" w:id="0">
    <w:p w:rsidR="001C4B06" w:rsidRDefault="001C4B06" w:rsidP="003B38C1">
      <w:r>
        <w:separator/>
      </w:r>
    </w:p>
    <w:p w:rsidR="001C4B06" w:rsidRPr="003B38C1" w:rsidRDefault="001C4B06" w:rsidP="003B38C1">
      <w:pPr>
        <w:spacing w:after="60"/>
        <w:rPr>
          <w:sz w:val="17"/>
        </w:rPr>
      </w:pPr>
      <w:r>
        <w:rPr>
          <w:sz w:val="17"/>
        </w:rPr>
        <w:t>[Endnote continued from previous page]</w:t>
      </w:r>
    </w:p>
  </w:endnote>
  <w:endnote w:type="continuationNotice" w:id="1">
    <w:p w:rsidR="001C4B06" w:rsidRPr="003B38C1" w:rsidRDefault="001C4B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B06" w:rsidRDefault="001C4B06">
      <w:r>
        <w:separator/>
      </w:r>
    </w:p>
  </w:footnote>
  <w:footnote w:type="continuationSeparator" w:id="0">
    <w:p w:rsidR="001C4B06" w:rsidRDefault="001C4B06" w:rsidP="008B60B2">
      <w:r>
        <w:separator/>
      </w:r>
    </w:p>
    <w:p w:rsidR="001C4B06" w:rsidRPr="00ED77FB" w:rsidRDefault="001C4B06" w:rsidP="008B60B2">
      <w:pPr>
        <w:spacing w:after="60"/>
        <w:rPr>
          <w:sz w:val="17"/>
          <w:szCs w:val="17"/>
        </w:rPr>
      </w:pPr>
      <w:r w:rsidRPr="00ED77FB">
        <w:rPr>
          <w:sz w:val="17"/>
          <w:szCs w:val="17"/>
        </w:rPr>
        <w:t>[Footnote continued from previous page]</w:t>
      </w:r>
    </w:p>
  </w:footnote>
  <w:footnote w:type="continuationNotice" w:id="1">
    <w:p w:rsidR="001C4B06" w:rsidRPr="00ED77FB" w:rsidRDefault="001C4B06" w:rsidP="008B60B2">
      <w:pPr>
        <w:spacing w:before="60"/>
        <w:jc w:val="right"/>
        <w:rPr>
          <w:sz w:val="17"/>
          <w:szCs w:val="17"/>
        </w:rPr>
      </w:pPr>
      <w:r w:rsidRPr="00ED77FB">
        <w:rPr>
          <w:sz w:val="17"/>
          <w:szCs w:val="17"/>
        </w:rPr>
        <w:t>[Footnote continued on next page]</w:t>
      </w:r>
    </w:p>
  </w:footnote>
  <w:footnote w:id="2">
    <w:p w:rsidR="00E83DC4" w:rsidRPr="00BE0108" w:rsidRDefault="00E83DC4" w:rsidP="00E83DC4">
      <w:pPr>
        <w:pStyle w:val="FootnoteText"/>
        <w:rPr>
          <w:rFonts w:asciiTheme="minorEastAsia" w:eastAsiaTheme="minorEastAsia" w:hAnsiTheme="minorEastAsia"/>
        </w:rPr>
      </w:pPr>
      <w:r w:rsidRPr="00BE0108">
        <w:rPr>
          <w:rStyle w:val="FootnoteReference"/>
          <w:rFonts w:asciiTheme="minorEastAsia" w:eastAsiaTheme="minorEastAsia" w:hAnsiTheme="minorEastAsia"/>
        </w:rPr>
        <w:footnoteRef/>
      </w:r>
      <w:r w:rsidR="002F5E64">
        <w:rPr>
          <w:rFonts w:asciiTheme="minorEastAsia" w:eastAsiaTheme="minorEastAsia" w:hAnsiTheme="minorEastAsia" w:hint="eastAsia"/>
        </w:rPr>
        <w:tab/>
      </w:r>
      <w:r w:rsidR="00CE5A5B" w:rsidRPr="00BE0108">
        <w:rPr>
          <w:rFonts w:asciiTheme="minorEastAsia" w:eastAsiaTheme="minorEastAsia" w:hAnsiTheme="minorEastAsia" w:hint="eastAsia"/>
        </w:rPr>
        <w:t>该议程项目不损害成员国在标准委员会是否与发展议程协调机制有关这一问题上的立场。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967BE" w:rsidRDefault="00A03DF8" w:rsidP="00477D6B">
    <w:pPr>
      <w:jc w:val="right"/>
      <w:rPr>
        <w:rFonts w:asciiTheme="minorEastAsia" w:eastAsiaTheme="minorEastAsia" w:hAnsiTheme="minorEastAsia"/>
        <w:sz w:val="21"/>
        <w:szCs w:val="21"/>
      </w:rPr>
    </w:pPr>
    <w:r w:rsidRPr="00A967BE">
      <w:rPr>
        <w:rFonts w:asciiTheme="minorEastAsia" w:eastAsiaTheme="minorEastAsia" w:hAnsiTheme="minorEastAsia"/>
        <w:sz w:val="21"/>
        <w:szCs w:val="21"/>
      </w:rPr>
      <w:t>CWS/</w:t>
    </w:r>
    <w:r w:rsidR="00FE7245" w:rsidRPr="00A967BE">
      <w:rPr>
        <w:rFonts w:asciiTheme="minorEastAsia" w:eastAsiaTheme="minorEastAsia" w:hAnsiTheme="minorEastAsia"/>
        <w:sz w:val="21"/>
        <w:szCs w:val="21"/>
      </w:rPr>
      <w:t>5</w:t>
    </w:r>
    <w:r w:rsidRPr="00A967BE">
      <w:rPr>
        <w:rFonts w:asciiTheme="minorEastAsia" w:eastAsiaTheme="minorEastAsia" w:hAnsiTheme="minorEastAsia"/>
        <w:sz w:val="21"/>
        <w:szCs w:val="21"/>
      </w:rPr>
      <w:t>/</w:t>
    </w:r>
    <w:r w:rsidR="00FE7245" w:rsidRPr="00A967BE">
      <w:rPr>
        <w:rFonts w:asciiTheme="minorEastAsia" w:eastAsiaTheme="minorEastAsia" w:hAnsiTheme="minorEastAsia"/>
        <w:sz w:val="21"/>
        <w:szCs w:val="21"/>
      </w:rPr>
      <w:t>3</w:t>
    </w:r>
  </w:p>
  <w:p w:rsidR="00EC4E49" w:rsidRPr="00A967BE" w:rsidRDefault="001C2CF1" w:rsidP="00477D6B">
    <w:pPr>
      <w:jc w:val="right"/>
      <w:rPr>
        <w:rFonts w:asciiTheme="minorEastAsia" w:eastAsiaTheme="minorEastAsia" w:hAnsiTheme="minorEastAsia"/>
        <w:sz w:val="21"/>
        <w:szCs w:val="21"/>
      </w:rPr>
    </w:pPr>
    <w:r w:rsidRPr="00A967BE">
      <w:rPr>
        <w:rFonts w:asciiTheme="minorEastAsia" w:eastAsiaTheme="minorEastAsia" w:hAnsiTheme="minorEastAsia" w:hint="eastAsia"/>
        <w:sz w:val="21"/>
        <w:szCs w:val="21"/>
      </w:rPr>
      <w:t>第</w:t>
    </w:r>
    <w:r w:rsidR="00EC4E49" w:rsidRPr="00A967BE">
      <w:rPr>
        <w:rFonts w:asciiTheme="minorEastAsia" w:eastAsiaTheme="minorEastAsia" w:hAnsiTheme="minorEastAsia"/>
        <w:sz w:val="21"/>
        <w:szCs w:val="21"/>
      </w:rPr>
      <w:fldChar w:fldCharType="begin"/>
    </w:r>
    <w:r w:rsidR="00EC4E49" w:rsidRPr="00A967BE">
      <w:rPr>
        <w:rFonts w:asciiTheme="minorEastAsia" w:eastAsiaTheme="minorEastAsia" w:hAnsiTheme="minorEastAsia"/>
        <w:sz w:val="21"/>
        <w:szCs w:val="21"/>
      </w:rPr>
      <w:instrText xml:space="preserve"> PAGE  \* MERGEFORMAT </w:instrText>
    </w:r>
    <w:r w:rsidR="00EC4E49" w:rsidRPr="00A967BE">
      <w:rPr>
        <w:rFonts w:asciiTheme="minorEastAsia" w:eastAsiaTheme="minorEastAsia" w:hAnsiTheme="minorEastAsia"/>
        <w:sz w:val="21"/>
        <w:szCs w:val="21"/>
      </w:rPr>
      <w:fldChar w:fldCharType="separate"/>
    </w:r>
    <w:r w:rsidR="00FD7B12">
      <w:rPr>
        <w:rFonts w:asciiTheme="minorEastAsia" w:eastAsiaTheme="minorEastAsia" w:hAnsiTheme="minorEastAsia"/>
        <w:noProof/>
        <w:sz w:val="21"/>
        <w:szCs w:val="21"/>
      </w:rPr>
      <w:t>2</w:t>
    </w:r>
    <w:r w:rsidR="00EC4E49" w:rsidRPr="00A967BE">
      <w:rPr>
        <w:rFonts w:asciiTheme="minorEastAsia" w:eastAsiaTheme="minorEastAsia" w:hAnsiTheme="minorEastAsia"/>
        <w:sz w:val="21"/>
        <w:szCs w:val="21"/>
      </w:rPr>
      <w:fldChar w:fldCharType="end"/>
    </w:r>
    <w:r w:rsidRPr="00A967BE">
      <w:rPr>
        <w:rFonts w:asciiTheme="minorEastAsia" w:eastAsiaTheme="minorEastAsia" w:hAnsiTheme="minorEastAsia" w:hint="eastAsia"/>
        <w:sz w:val="21"/>
        <w:szCs w:val="21"/>
      </w:rPr>
      <w:t>页</w:t>
    </w:r>
  </w:p>
  <w:p w:rsidR="00EC4E49" w:rsidRPr="00FD7B12" w:rsidRDefault="00EC4E49" w:rsidP="00477D6B">
    <w:pPr>
      <w:jc w:val="right"/>
      <w:rPr>
        <w:rFonts w:asciiTheme="minorEastAsia" w:eastAsiaTheme="minorEastAsia" w:hAnsiTheme="minorEastAsia"/>
        <w:sz w:val="21"/>
        <w:szCs w:val="21"/>
      </w:rPr>
    </w:pPr>
  </w:p>
  <w:p w:rsidR="00FD7B12" w:rsidRPr="00FD7B12" w:rsidRDefault="00FD7B12" w:rsidP="00477D6B">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2552"/>
        </w:tabs>
        <w:ind w:left="1985"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00EA9"/>
    <w:rsid w:val="00043CAA"/>
    <w:rsid w:val="00067B08"/>
    <w:rsid w:val="00075432"/>
    <w:rsid w:val="00075A63"/>
    <w:rsid w:val="000930AB"/>
    <w:rsid w:val="000968ED"/>
    <w:rsid w:val="000A2593"/>
    <w:rsid w:val="000A44BB"/>
    <w:rsid w:val="000A69D0"/>
    <w:rsid w:val="000A6EFF"/>
    <w:rsid w:val="000D362D"/>
    <w:rsid w:val="000F5E56"/>
    <w:rsid w:val="0013130F"/>
    <w:rsid w:val="001362EE"/>
    <w:rsid w:val="00166058"/>
    <w:rsid w:val="001832A6"/>
    <w:rsid w:val="001B169E"/>
    <w:rsid w:val="001B7D1A"/>
    <w:rsid w:val="001C2CF1"/>
    <w:rsid w:val="001C4B06"/>
    <w:rsid w:val="00223D10"/>
    <w:rsid w:val="002634C4"/>
    <w:rsid w:val="002728C1"/>
    <w:rsid w:val="002928D3"/>
    <w:rsid w:val="002A53B7"/>
    <w:rsid w:val="002C6794"/>
    <w:rsid w:val="002E492F"/>
    <w:rsid w:val="002F1FE6"/>
    <w:rsid w:val="002F4E68"/>
    <w:rsid w:val="002F5E64"/>
    <w:rsid w:val="00312F7F"/>
    <w:rsid w:val="00342A15"/>
    <w:rsid w:val="00361450"/>
    <w:rsid w:val="003673CF"/>
    <w:rsid w:val="003845C1"/>
    <w:rsid w:val="003A6F89"/>
    <w:rsid w:val="003B0876"/>
    <w:rsid w:val="003B29CE"/>
    <w:rsid w:val="003B38C1"/>
    <w:rsid w:val="003B5AA3"/>
    <w:rsid w:val="003C22EF"/>
    <w:rsid w:val="004130B8"/>
    <w:rsid w:val="00423E3E"/>
    <w:rsid w:val="00427AF4"/>
    <w:rsid w:val="004647DA"/>
    <w:rsid w:val="00474062"/>
    <w:rsid w:val="00477D6B"/>
    <w:rsid w:val="004A5299"/>
    <w:rsid w:val="004B4457"/>
    <w:rsid w:val="004C079B"/>
    <w:rsid w:val="005019FF"/>
    <w:rsid w:val="0053057A"/>
    <w:rsid w:val="00560A29"/>
    <w:rsid w:val="00574EF3"/>
    <w:rsid w:val="005C25BD"/>
    <w:rsid w:val="005C6649"/>
    <w:rsid w:val="005D0D4A"/>
    <w:rsid w:val="00605827"/>
    <w:rsid w:val="00622A81"/>
    <w:rsid w:val="00646050"/>
    <w:rsid w:val="00662341"/>
    <w:rsid w:val="006713CA"/>
    <w:rsid w:val="00676C5C"/>
    <w:rsid w:val="00735879"/>
    <w:rsid w:val="007548DA"/>
    <w:rsid w:val="00766CEE"/>
    <w:rsid w:val="007819D2"/>
    <w:rsid w:val="00784DFD"/>
    <w:rsid w:val="007C2240"/>
    <w:rsid w:val="007D0C7D"/>
    <w:rsid w:val="007D1613"/>
    <w:rsid w:val="00810D6C"/>
    <w:rsid w:val="00824401"/>
    <w:rsid w:val="0087691E"/>
    <w:rsid w:val="008B2CC1"/>
    <w:rsid w:val="008B60B2"/>
    <w:rsid w:val="008D1DBB"/>
    <w:rsid w:val="0090731E"/>
    <w:rsid w:val="00910C0D"/>
    <w:rsid w:val="00913781"/>
    <w:rsid w:val="00916EE2"/>
    <w:rsid w:val="00920667"/>
    <w:rsid w:val="00925CAB"/>
    <w:rsid w:val="00966A22"/>
    <w:rsid w:val="0096722F"/>
    <w:rsid w:val="00973EA4"/>
    <w:rsid w:val="00980843"/>
    <w:rsid w:val="009815C4"/>
    <w:rsid w:val="00990178"/>
    <w:rsid w:val="009E2791"/>
    <w:rsid w:val="009E3F6F"/>
    <w:rsid w:val="009F1AEF"/>
    <w:rsid w:val="009F499F"/>
    <w:rsid w:val="00A03DF8"/>
    <w:rsid w:val="00A32895"/>
    <w:rsid w:val="00A33B66"/>
    <w:rsid w:val="00A42DAF"/>
    <w:rsid w:val="00A45BD8"/>
    <w:rsid w:val="00A51D98"/>
    <w:rsid w:val="00A869B7"/>
    <w:rsid w:val="00A9671E"/>
    <w:rsid w:val="00A967BE"/>
    <w:rsid w:val="00AC205C"/>
    <w:rsid w:val="00AC3F4A"/>
    <w:rsid w:val="00AD23D3"/>
    <w:rsid w:val="00AE51F7"/>
    <w:rsid w:val="00AF0A6B"/>
    <w:rsid w:val="00B05A69"/>
    <w:rsid w:val="00B33D93"/>
    <w:rsid w:val="00B51484"/>
    <w:rsid w:val="00B9734B"/>
    <w:rsid w:val="00BB58A6"/>
    <w:rsid w:val="00BC78FD"/>
    <w:rsid w:val="00BE0108"/>
    <w:rsid w:val="00C11BFE"/>
    <w:rsid w:val="00C2498D"/>
    <w:rsid w:val="00C5061C"/>
    <w:rsid w:val="00CA2E05"/>
    <w:rsid w:val="00CE5A5B"/>
    <w:rsid w:val="00D05E11"/>
    <w:rsid w:val="00D11D03"/>
    <w:rsid w:val="00D30D31"/>
    <w:rsid w:val="00D45252"/>
    <w:rsid w:val="00D6101F"/>
    <w:rsid w:val="00D71B4D"/>
    <w:rsid w:val="00D93D55"/>
    <w:rsid w:val="00DA5413"/>
    <w:rsid w:val="00DC3A11"/>
    <w:rsid w:val="00DC44F4"/>
    <w:rsid w:val="00DF348E"/>
    <w:rsid w:val="00E333BD"/>
    <w:rsid w:val="00E335FE"/>
    <w:rsid w:val="00E726B6"/>
    <w:rsid w:val="00E8085B"/>
    <w:rsid w:val="00E83DC4"/>
    <w:rsid w:val="00E84598"/>
    <w:rsid w:val="00E86FEC"/>
    <w:rsid w:val="00EC4E49"/>
    <w:rsid w:val="00ED77FB"/>
    <w:rsid w:val="00EE45FA"/>
    <w:rsid w:val="00F66152"/>
    <w:rsid w:val="00F774E1"/>
    <w:rsid w:val="00FA745B"/>
    <w:rsid w:val="00FB674F"/>
    <w:rsid w:val="00FD7B12"/>
    <w:rsid w:val="00FE7245"/>
    <w:rsid w:val="00FF7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2552"/>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2552"/>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9818">
      <w:bodyDiv w:val="1"/>
      <w:marLeft w:val="0"/>
      <w:marRight w:val="0"/>
      <w:marTop w:val="0"/>
      <w:marBottom w:val="0"/>
      <w:divBdr>
        <w:top w:val="none" w:sz="0" w:space="0" w:color="auto"/>
        <w:left w:val="none" w:sz="0" w:space="0" w:color="auto"/>
        <w:bottom w:val="none" w:sz="0" w:space="0" w:color="auto"/>
        <w:right w:val="none" w:sz="0" w:space="0" w:color="auto"/>
      </w:divBdr>
    </w:div>
    <w:div w:id="4771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0DA2-AA39-4F1D-B0C1-DBF6B0B3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CWS/5/3 (in Chinese)</vt:lpstr>
    </vt:vector>
  </TitlesOfParts>
  <Company>WIPO</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CWS/5/3 (in Chinese)</dc:title>
  <dc:subject>Decision of the 48th session of the WIPO General Assembly in relation to the CWS, including Development Agenda matters</dc:subject>
  <dc:creator>WIPO</dc:creator>
  <cp:keywords>CWS</cp:keywords>
  <cp:lastModifiedBy>ZAGO Bétina</cp:lastModifiedBy>
  <cp:revision>4</cp:revision>
  <cp:lastPrinted>2017-05-02T09:42:00Z</cp:lastPrinted>
  <dcterms:created xsi:type="dcterms:W3CDTF">2017-05-05T12:06:00Z</dcterms:created>
  <dcterms:modified xsi:type="dcterms:W3CDTF">2017-05-05T12:08:00Z</dcterms:modified>
</cp:coreProperties>
</file>