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52185" w:rsidRDefault="00277F75" w:rsidP="00BB728B">
      <w:pPr>
        <w:spacing w:afterLines="50" w:after="120" w:line="340" w:lineRule="atLeast"/>
        <w:ind w:left="10" w:hanging="10"/>
        <w:jc w:val="both"/>
        <w:rPr>
          <w:rFonts w:ascii="SimHei" w:eastAsia="SimHei" w:hAnsi="SimHei"/>
          <w:color w:val="000000"/>
          <w:sz w:val="21"/>
          <w:szCs w:val="21"/>
        </w:rPr>
      </w:pPr>
      <w:bookmarkStart w:id="0" w:name="cws_5_10_annex"/>
      <w:r w:rsidRPr="004D1D3E">
        <w:rPr>
          <w:rFonts w:ascii="SimHei" w:eastAsia="SimHei" w:hAnsi="SimHei" w:hint="eastAsia"/>
          <w:color w:val="000000"/>
          <w:sz w:val="21"/>
          <w:szCs w:val="21"/>
        </w:rPr>
        <w:t>关于工业产权局动作商标和多媒体商标</w:t>
      </w:r>
      <w:r w:rsidR="00293D48" w:rsidRPr="004D1D3E">
        <w:rPr>
          <w:rFonts w:ascii="SimHei" w:eastAsia="SimHei" w:hAnsi="SimHei" w:hint="eastAsia"/>
          <w:color w:val="000000"/>
          <w:sz w:val="21"/>
          <w:szCs w:val="21"/>
        </w:rPr>
        <w:t>做法</w:t>
      </w:r>
      <w:r w:rsidRPr="004D1D3E">
        <w:rPr>
          <w:rFonts w:ascii="SimHei" w:eastAsia="SimHei" w:hAnsi="SimHei" w:hint="eastAsia"/>
          <w:color w:val="000000"/>
          <w:sz w:val="21"/>
          <w:szCs w:val="21"/>
        </w:rPr>
        <w:t>调查的总结</w:t>
      </w:r>
    </w:p>
    <w:p w:rsidR="00D83609" w:rsidRPr="004D1D3E" w:rsidRDefault="00D83609" w:rsidP="00BB728B">
      <w:pPr>
        <w:spacing w:afterLines="50" w:after="120" w:line="340" w:lineRule="atLeast"/>
        <w:ind w:left="10" w:hanging="10"/>
        <w:jc w:val="both"/>
        <w:rPr>
          <w:rFonts w:ascii="SimHei" w:eastAsia="SimHei" w:hAnsi="SimHei"/>
          <w:sz w:val="21"/>
          <w:szCs w:val="21"/>
        </w:rPr>
      </w:pPr>
    </w:p>
    <w:bookmarkEnd w:id="0"/>
    <w:p w:rsidR="00252185" w:rsidRPr="0000228F" w:rsidRDefault="00764BE8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六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IP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主管局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分享了它们处理动作商标和多媒体商标的</w:t>
      </w:r>
      <w:r w:rsidR="00293D48" w:rsidRPr="0000228F">
        <w:rPr>
          <w:rFonts w:asciiTheme="minorEastAsia" w:eastAsiaTheme="minorEastAsia" w:hAnsiTheme="minorEastAsia" w:hint="eastAsia"/>
          <w:sz w:val="21"/>
          <w:szCs w:val="21"/>
        </w:rPr>
        <w:t>做法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252185" w:rsidRPr="0000228F" w:rsidRDefault="00764BE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奥地利专利局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AT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252185" w:rsidRPr="0000228F" w:rsidRDefault="00764BE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澳大利亚知识产权局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AU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252185" w:rsidRPr="0000228F" w:rsidRDefault="00764BE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加拿大知识产权局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="00252185" w:rsidRPr="0000228F">
        <w:rPr>
          <w:rFonts w:asciiTheme="minorEastAsia" w:eastAsiaTheme="minorEastAsia" w:hAnsiTheme="minorEastAsia"/>
          <w:sz w:val="21"/>
          <w:szCs w:val="21"/>
        </w:rPr>
        <w:t>CA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252185" w:rsidRPr="0000228F" w:rsidRDefault="00764BE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德国专利商标局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="00252185" w:rsidRPr="0000228F">
        <w:rPr>
          <w:rFonts w:asciiTheme="minorEastAsia" w:eastAsiaTheme="minorEastAsia" w:hAnsiTheme="minorEastAsia"/>
          <w:sz w:val="21"/>
          <w:szCs w:val="21"/>
        </w:rPr>
        <w:t>D</w:t>
      </w:r>
      <w:r w:rsidRPr="0000228F">
        <w:rPr>
          <w:rFonts w:asciiTheme="minorEastAsia" w:eastAsiaTheme="minorEastAsia" w:hAnsiTheme="minorEastAsia"/>
          <w:sz w:val="21"/>
          <w:szCs w:val="21"/>
        </w:rPr>
        <w:t>E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252185" w:rsidRPr="0000228F" w:rsidRDefault="00582DF7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日本专利局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="00764BE8" w:rsidRPr="0000228F">
        <w:rPr>
          <w:rFonts w:asciiTheme="minorEastAsia" w:eastAsiaTheme="minorEastAsia" w:hAnsiTheme="minorEastAsia"/>
          <w:sz w:val="21"/>
          <w:szCs w:val="21"/>
        </w:rPr>
        <w:t>JP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="00764BE8" w:rsidRPr="0000228F">
        <w:rPr>
          <w:rFonts w:asciiTheme="minorEastAsia" w:eastAsiaTheme="minorEastAsia" w:hAnsiTheme="minorEastAsia" w:hint="eastAsia"/>
          <w:sz w:val="21"/>
          <w:szCs w:val="21"/>
        </w:rPr>
        <w:t>；及</w:t>
      </w:r>
    </w:p>
    <w:p w:rsidR="00252185" w:rsidRPr="0000228F" w:rsidRDefault="00764BE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乌克兰国家知识产权局</w:t>
      </w:r>
      <w:r w:rsidR="00D83609">
        <w:rPr>
          <w:rFonts w:asciiTheme="minorEastAsia" w:eastAsiaTheme="minorEastAsia" w:hAnsiTheme="minorEastAsia"/>
          <w:sz w:val="21"/>
          <w:szCs w:val="21"/>
        </w:rPr>
        <w:t>（</w:t>
      </w:r>
      <w:r w:rsidR="00252185" w:rsidRPr="0000228F">
        <w:rPr>
          <w:rFonts w:asciiTheme="minorEastAsia" w:eastAsiaTheme="minorEastAsia" w:hAnsiTheme="minorEastAsia"/>
          <w:sz w:val="21"/>
          <w:szCs w:val="21"/>
        </w:rPr>
        <w:t>UA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52185" w:rsidRPr="0000228F" w:rsidRDefault="00582DF7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六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个工业产权局中，有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AT、DE和JP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接受动作商标，但不接受多媒体商标，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一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AU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94F2C" w:rsidRPr="0000228F">
        <w:rPr>
          <w:rFonts w:asciiTheme="minorEastAsia" w:eastAsiaTheme="minorEastAsia" w:hAnsiTheme="minorEastAsia" w:hint="eastAsia"/>
          <w:sz w:val="21"/>
          <w:szCs w:val="21"/>
        </w:rPr>
        <w:t>对于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两种类型的商标都接受，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CA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和UA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在国内立法中尚未有相应的规定，但它们计划在未来出台有关这两种类型商标的规定。指令</w:t>
      </w:r>
      <w:r w:rsidRPr="0000228F">
        <w:rPr>
          <w:rFonts w:asciiTheme="minorEastAsia" w:eastAsiaTheme="minorEastAsia" w:hAnsiTheme="minorEastAsia"/>
          <w:sz w:val="21"/>
          <w:szCs w:val="21"/>
        </w:rPr>
        <w:t>2008/95/EC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的实施预计将影响到工业产权局在多媒体商标方面的</w:t>
      </w:r>
      <w:r w:rsidR="00694F2C" w:rsidRPr="0000228F">
        <w:rPr>
          <w:rFonts w:asciiTheme="minorEastAsia" w:eastAsiaTheme="minorEastAsia" w:hAnsiTheme="minorEastAsia" w:hint="eastAsia"/>
          <w:sz w:val="21"/>
          <w:szCs w:val="21"/>
        </w:rPr>
        <w:t>做法</w:t>
      </w:r>
      <w:r w:rsidR="00685AAC" w:rsidRPr="0000228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52185" w:rsidRPr="0000228F" w:rsidRDefault="00DC0C92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受访局</w:t>
      </w:r>
      <w:r w:rsidR="00C47F80" w:rsidRPr="0000228F">
        <w:rPr>
          <w:rFonts w:asciiTheme="minorEastAsia" w:eastAsiaTheme="minorEastAsia" w:hAnsiTheme="minorEastAsia" w:hint="eastAsia"/>
          <w:sz w:val="21"/>
          <w:szCs w:val="21"/>
        </w:rPr>
        <w:t>没有处理多媒体商标的经验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47F80" w:rsidRPr="0000228F">
        <w:rPr>
          <w:rFonts w:asciiTheme="minorEastAsia" w:eastAsiaTheme="minorEastAsia" w:hAnsiTheme="minorEastAsia" w:hint="eastAsia"/>
          <w:sz w:val="21"/>
          <w:szCs w:val="21"/>
        </w:rPr>
        <w:t>没有申请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被</w:t>
      </w:r>
      <w:r w:rsidR="00C47F80" w:rsidRPr="0000228F">
        <w:rPr>
          <w:rFonts w:asciiTheme="minorEastAsia" w:eastAsiaTheme="minorEastAsia" w:hAnsiTheme="minorEastAsia" w:hint="eastAsia"/>
          <w:sz w:val="21"/>
          <w:szCs w:val="21"/>
        </w:rPr>
        <w:t>提交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47F80" w:rsidRPr="0000228F">
        <w:rPr>
          <w:rFonts w:asciiTheme="minorEastAsia" w:eastAsiaTheme="minorEastAsia" w:hAnsiTheme="minorEastAsia" w:hint="eastAsia"/>
          <w:sz w:val="21"/>
          <w:szCs w:val="21"/>
        </w:rPr>
        <w:t>，动作商标申请的占比很小。</w:t>
      </w:r>
    </w:p>
    <w:p w:rsidR="00252185" w:rsidRPr="0000228F" w:rsidRDefault="00DC0C92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在接受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或计划在不久的将来接受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动作商标的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五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个工业产权局中，有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AU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、CA和JP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C2BA6" w:rsidRPr="0000228F">
        <w:rPr>
          <w:rFonts w:asciiTheme="minorEastAsia" w:eastAsiaTheme="minorEastAsia" w:hAnsiTheme="minorEastAsia" w:hint="eastAsia"/>
          <w:sz w:val="21"/>
          <w:szCs w:val="21"/>
        </w:rPr>
        <w:t>要求“动作商标”这一名称要包含在申请中。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一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DE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表示，它把这类商标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动作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纳入边缘类别“其他商标”。在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AU和新立法生效时的CA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中，多媒体商标可作为组合商标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动作和声音的组合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C2BA6" w:rsidRPr="0000228F">
        <w:rPr>
          <w:rFonts w:asciiTheme="minorEastAsia" w:eastAsiaTheme="minorEastAsia" w:hAnsiTheme="minorEastAsia" w:hint="eastAsia"/>
          <w:sz w:val="21"/>
          <w:szCs w:val="21"/>
        </w:rPr>
        <w:t>提交申请，应对这两类商标，即动作和声音，都提出</w:t>
      </w:r>
      <w:r w:rsidR="003B0954" w:rsidRPr="0000228F">
        <w:rPr>
          <w:rFonts w:asciiTheme="minorEastAsia" w:eastAsiaTheme="minorEastAsia" w:hAnsiTheme="minorEastAsia" w:hint="eastAsia"/>
          <w:sz w:val="21"/>
          <w:szCs w:val="21"/>
        </w:rPr>
        <w:t>保护</w:t>
      </w:r>
      <w:r w:rsidR="009C2BA6" w:rsidRPr="0000228F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B0954" w:rsidRPr="0000228F">
        <w:rPr>
          <w:rFonts w:asciiTheme="minorEastAsia" w:eastAsiaTheme="minorEastAsia" w:hAnsiTheme="minorEastAsia" w:hint="eastAsia"/>
          <w:sz w:val="21"/>
          <w:szCs w:val="21"/>
        </w:rPr>
        <w:t>被识别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B0954" w:rsidRPr="0000228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52185" w:rsidRPr="0000228F" w:rsidRDefault="003B0954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注意到在接受动作商标的所有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五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AT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、AU、CA、DE和JP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中，文字说明是这类商标申请的强制组成部分。</w:t>
      </w:r>
      <w:r w:rsidR="009C2BA6" w:rsidRPr="0000228F">
        <w:rPr>
          <w:rFonts w:asciiTheme="minorEastAsia" w:eastAsiaTheme="minorEastAsia" w:hAnsiTheme="minorEastAsia" w:hint="eastAsia"/>
          <w:sz w:val="21"/>
          <w:szCs w:val="21"/>
        </w:rPr>
        <w:t>这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五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个工业产权局中的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AT、DE和JP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还规定必须提交动作商标的图形；在其他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</w:t>
      </w:r>
      <w:r w:rsidR="00090446" w:rsidRPr="0000228F">
        <w:rPr>
          <w:rFonts w:asciiTheme="minorEastAsia" w:eastAsiaTheme="minorEastAsia" w:hAnsiTheme="minorEastAsia" w:hint="eastAsia"/>
          <w:sz w:val="21"/>
          <w:szCs w:val="21"/>
        </w:rPr>
        <w:t>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90446" w:rsidRPr="0000228F">
        <w:rPr>
          <w:rFonts w:asciiTheme="minorEastAsia" w:eastAsiaTheme="minorEastAsia" w:hAnsiTheme="minorEastAsia"/>
          <w:sz w:val="21"/>
          <w:szCs w:val="21"/>
        </w:rPr>
        <w:t>AU</w:t>
      </w:r>
      <w:r w:rsidR="00090446" w:rsidRPr="0000228F">
        <w:rPr>
          <w:rFonts w:asciiTheme="minorEastAsia" w:eastAsiaTheme="minorEastAsia" w:hAnsiTheme="minorEastAsia" w:hint="eastAsia"/>
          <w:sz w:val="21"/>
          <w:szCs w:val="21"/>
        </w:rPr>
        <w:t>和CA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090446" w:rsidRPr="0000228F">
        <w:rPr>
          <w:rFonts w:asciiTheme="minorEastAsia" w:eastAsiaTheme="minorEastAsia" w:hAnsiTheme="minorEastAsia" w:hint="eastAsia"/>
          <w:sz w:val="21"/>
          <w:szCs w:val="21"/>
        </w:rPr>
        <w:t>中，图形可由</w:t>
      </w:r>
      <w:r w:rsidR="009B78F1" w:rsidRPr="0000228F">
        <w:rPr>
          <w:rFonts w:asciiTheme="minorEastAsia" w:eastAsiaTheme="minorEastAsia" w:hAnsiTheme="minorEastAsia" w:hint="eastAsia"/>
          <w:sz w:val="21"/>
          <w:szCs w:val="21"/>
        </w:rPr>
        <w:t>动作记录取代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B78F1" w:rsidRPr="0000228F">
        <w:rPr>
          <w:rFonts w:asciiTheme="minorEastAsia" w:eastAsiaTheme="minorEastAsia" w:hAnsiTheme="minorEastAsia" w:hint="eastAsia"/>
          <w:sz w:val="21"/>
          <w:szCs w:val="21"/>
        </w:rPr>
        <w:t>或补充</w:t>
      </w:r>
      <w:r w:rsidR="00D83609">
        <w:rPr>
          <w:rFonts w:asciiTheme="minorEastAsia" w:eastAsiaTheme="minorEastAsia" w:hAnsiTheme="minorEastAsia"/>
          <w:sz w:val="21"/>
          <w:szCs w:val="21"/>
        </w:rPr>
        <w:t>）</w:t>
      </w:r>
      <w:r w:rsidR="009B78F1" w:rsidRPr="0000228F">
        <w:rPr>
          <w:rFonts w:asciiTheme="minorEastAsia" w:eastAsiaTheme="minorEastAsia" w:hAnsiTheme="minorEastAsia" w:hint="eastAsia"/>
          <w:sz w:val="21"/>
          <w:szCs w:val="21"/>
        </w:rPr>
        <w:t>，前提是该记录清晰界定了所请求保护的范围。</w:t>
      </w:r>
      <w:r w:rsidR="00EC6FF9" w:rsidRPr="0000228F">
        <w:rPr>
          <w:rFonts w:asciiTheme="minorEastAsia" w:eastAsiaTheme="minorEastAsia" w:hAnsiTheme="minorEastAsia" w:hint="eastAsia"/>
          <w:sz w:val="21"/>
          <w:szCs w:val="21"/>
        </w:rPr>
        <w:t>受访局表示颜色保护请求</w:t>
      </w:r>
      <w:r w:rsidR="009B78F1" w:rsidRPr="0000228F">
        <w:rPr>
          <w:rFonts w:asciiTheme="minorEastAsia" w:eastAsiaTheme="minorEastAsia" w:hAnsiTheme="minorEastAsia" w:hint="eastAsia"/>
          <w:sz w:val="21"/>
          <w:szCs w:val="21"/>
        </w:rPr>
        <w:t>和样本是动作商标申请中</w:t>
      </w:r>
      <w:r w:rsidR="009C2BA6" w:rsidRPr="0000228F">
        <w:rPr>
          <w:rFonts w:asciiTheme="minorEastAsia" w:eastAsiaTheme="minorEastAsia" w:hAnsiTheme="minorEastAsia" w:hint="eastAsia"/>
          <w:sz w:val="21"/>
          <w:szCs w:val="21"/>
        </w:rPr>
        <w:t>可选</w:t>
      </w:r>
      <w:r w:rsidR="009B78F1" w:rsidRPr="0000228F">
        <w:rPr>
          <w:rFonts w:asciiTheme="minorEastAsia" w:eastAsiaTheme="minorEastAsia" w:hAnsiTheme="minorEastAsia" w:hint="eastAsia"/>
          <w:sz w:val="21"/>
          <w:szCs w:val="21"/>
        </w:rPr>
        <w:t>的组成部分。</w:t>
      </w:r>
    </w:p>
    <w:p w:rsidR="00252185" w:rsidRPr="0000228F" w:rsidRDefault="00B542D5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五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个工业产权局中，有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AT、AU和CA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规定应提交一个单独的图像作为文字说明。其他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DE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和JP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允许提交多个图像。</w:t>
      </w:r>
    </w:p>
    <w:p w:rsidR="00252185" w:rsidRPr="0000228F" w:rsidRDefault="00385ABA" w:rsidP="00BB728B">
      <w:pPr>
        <w:pStyle w:val="ONUME"/>
        <w:numPr>
          <w:ilvl w:val="0"/>
          <w:numId w:val="11"/>
        </w:numPr>
        <w:spacing w:afterLines="50" w:after="120" w:line="340" w:lineRule="atLeast"/>
        <w:ind w:right="283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接受动作记录的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AU和CA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都使用MPEG文件格式。</w:t>
      </w:r>
    </w:p>
    <w:p w:rsidR="00252185" w:rsidRPr="0000228F" w:rsidRDefault="002A6620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在答复中提到了对动作商标文字说明的以下要求：</w:t>
      </w:r>
    </w:p>
    <w:p w:rsidR="00252185" w:rsidRPr="0000228F" w:rsidRDefault="00706B4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与图形协调一致；</w:t>
      </w:r>
    </w:p>
    <w:p w:rsidR="00252185" w:rsidRPr="0000228F" w:rsidRDefault="00706B48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清晰客观地描述保护客体；</w:t>
      </w:r>
    </w:p>
    <w:p w:rsidR="00252185" w:rsidRPr="0000228F" w:rsidRDefault="00272C6D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描述形状的变化、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变化的次序和时间线；</w:t>
      </w:r>
    </w:p>
    <w:p w:rsidR="00252185" w:rsidRPr="0000228F" w:rsidRDefault="009C2BA6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描述图形的辅助要素，如果此种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要素存在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图例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；及</w:t>
      </w:r>
    </w:p>
    <w:p w:rsidR="00252185" w:rsidRPr="0000228F" w:rsidRDefault="009C2BA6" w:rsidP="00BB728B">
      <w:pPr>
        <w:pStyle w:val="ONUME"/>
        <w:numPr>
          <w:ilvl w:val="0"/>
          <w:numId w:val="9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仅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包含</w:t>
      </w:r>
      <w:r w:rsidR="00DE78E4" w:rsidRPr="0000228F">
        <w:rPr>
          <w:rFonts w:asciiTheme="minorEastAsia" w:eastAsiaTheme="minorEastAsia" w:hAnsiTheme="minorEastAsia" w:hint="eastAsia"/>
          <w:sz w:val="21"/>
          <w:szCs w:val="21"/>
        </w:rPr>
        <w:t>文字，且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不超过1</w:t>
      </w:r>
      <w:r w:rsidRPr="0000228F">
        <w:rPr>
          <w:rFonts w:asciiTheme="minorEastAsia" w:eastAsiaTheme="minorEastAsia" w:hAnsiTheme="minorEastAsia"/>
          <w:sz w:val="21"/>
          <w:szCs w:val="21"/>
        </w:rPr>
        <w:t>00</w:t>
      </w:r>
      <w:r w:rsidR="00DE78E4" w:rsidRPr="0000228F">
        <w:rPr>
          <w:rFonts w:asciiTheme="minorEastAsia" w:eastAsiaTheme="minorEastAsia" w:hAnsiTheme="minorEastAsia" w:hint="eastAsia"/>
          <w:sz w:val="21"/>
          <w:szCs w:val="21"/>
        </w:rPr>
        <w:t>字</w:t>
      </w:r>
      <w:r w:rsidR="001043AF" w:rsidRPr="0000228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52185" w:rsidRPr="0000228F" w:rsidRDefault="0047044D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动作商标的公告应包含所有被认为对商标的表示必不可少的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强制和可选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E78E4" w:rsidRPr="0000228F">
        <w:rPr>
          <w:rFonts w:asciiTheme="minorEastAsia" w:eastAsiaTheme="minorEastAsia" w:hAnsiTheme="minorEastAsia" w:hint="eastAsia"/>
          <w:sz w:val="21"/>
          <w:szCs w:val="21"/>
        </w:rPr>
        <w:t>要素。如果动作纪录是其中一个要素，</w:t>
      </w:r>
      <w:r w:rsidR="00F408A9">
        <w:rPr>
          <w:rFonts w:asciiTheme="minorEastAsia" w:eastAsiaTheme="minorEastAsia" w:hAnsiTheme="minorEastAsia" w:hint="eastAsia"/>
          <w:sz w:val="21"/>
          <w:szCs w:val="21"/>
        </w:rPr>
        <w:t>一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个工业产权局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0228F">
        <w:rPr>
          <w:rFonts w:asciiTheme="minorEastAsia" w:eastAsiaTheme="minorEastAsia" w:hAnsiTheme="minorEastAsia"/>
          <w:sz w:val="21"/>
          <w:szCs w:val="21"/>
        </w:rPr>
        <w:t>CA</w:t>
      </w:r>
      <w:r w:rsidR="00D8360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079DC" w:rsidRPr="0000228F">
        <w:rPr>
          <w:rFonts w:asciiTheme="minorEastAsia" w:eastAsiaTheme="minorEastAsia" w:hAnsiTheme="minorEastAsia" w:hint="eastAsia"/>
          <w:sz w:val="21"/>
          <w:szCs w:val="21"/>
        </w:rPr>
        <w:t>在商标公告中纳入了在线数据库的链接而不是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文档本身。</w:t>
      </w:r>
    </w:p>
    <w:p w:rsidR="00252185" w:rsidRPr="0000228F" w:rsidRDefault="0047044D" w:rsidP="00BB728B">
      <w:pPr>
        <w:pStyle w:val="ONUME"/>
        <w:numPr>
          <w:ilvl w:val="0"/>
          <w:numId w:val="11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lastRenderedPageBreak/>
        <w:t>工作队成员在对调查的答复中提供了以下评论意见和提案：</w:t>
      </w:r>
    </w:p>
    <w:p w:rsidR="00252185" w:rsidRPr="0000228F" w:rsidRDefault="00D724BD" w:rsidP="00BB728B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欧洲委员会</w:t>
      </w:r>
      <w:r w:rsidRPr="0000228F">
        <w:rPr>
          <w:rFonts w:asciiTheme="minorEastAsia" w:eastAsiaTheme="minorEastAsia" w:hAnsiTheme="minorEastAsia"/>
          <w:sz w:val="21"/>
          <w:szCs w:val="21"/>
        </w:rPr>
        <w:t>2008/95/EC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号商标指令应在2019年由工业产权局实施。</w:t>
      </w:r>
      <w:r w:rsidR="00536AEF" w:rsidRPr="0000228F">
        <w:rPr>
          <w:rFonts w:asciiTheme="minorEastAsia" w:eastAsiaTheme="minorEastAsia" w:hAnsiTheme="minorEastAsia" w:hint="eastAsia"/>
          <w:sz w:val="21"/>
          <w:szCs w:val="21"/>
        </w:rPr>
        <w:t>提议在此之前中止标准的制定工作；</w:t>
      </w:r>
    </w:p>
    <w:p w:rsidR="00252185" w:rsidRPr="0000228F" w:rsidRDefault="00C10E97" w:rsidP="00BB728B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关于</w:t>
      </w:r>
      <w:r w:rsidR="00536AEF" w:rsidRPr="0000228F">
        <w:rPr>
          <w:rFonts w:asciiTheme="minorEastAsia" w:eastAsiaTheme="minorEastAsia" w:hAnsiTheme="minorEastAsia" w:hint="eastAsia"/>
          <w:sz w:val="21"/>
          <w:szCs w:val="21"/>
        </w:rPr>
        <w:t>动作商标和多媒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体商标电子管理的建议不应为强制性要求，而应使</w:t>
      </w:r>
      <w:r w:rsidR="00536AEF" w:rsidRPr="0000228F">
        <w:rPr>
          <w:rFonts w:asciiTheme="minorEastAsia" w:eastAsiaTheme="minorEastAsia" w:hAnsiTheme="minorEastAsia" w:hint="eastAsia"/>
          <w:sz w:val="21"/>
          <w:szCs w:val="21"/>
        </w:rPr>
        <w:t>工业产权局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具有</w:t>
      </w:r>
      <w:r w:rsidR="00536AEF" w:rsidRPr="0000228F">
        <w:rPr>
          <w:rFonts w:asciiTheme="minorEastAsia" w:eastAsiaTheme="minorEastAsia" w:hAnsiTheme="minorEastAsia" w:hint="eastAsia"/>
          <w:sz w:val="21"/>
          <w:szCs w:val="21"/>
        </w:rPr>
        <w:t>部分通过这些建议的灵活性；</w:t>
      </w:r>
    </w:p>
    <w:p w:rsidR="00252185" w:rsidRPr="0000228F" w:rsidRDefault="00536AEF" w:rsidP="00BB728B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提议任何</w:t>
      </w:r>
      <w:r w:rsidR="00BA0260" w:rsidRPr="0000228F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建议的标准格式</w:t>
      </w:r>
      <w:r w:rsidR="000B2891" w:rsidRPr="0000228F">
        <w:rPr>
          <w:rFonts w:asciiTheme="minorEastAsia" w:eastAsiaTheme="minorEastAsia" w:hAnsiTheme="minorEastAsia" w:hint="eastAsia"/>
          <w:sz w:val="21"/>
          <w:szCs w:val="21"/>
        </w:rPr>
        <w:t>应为普遍使用的格式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，不常用的格式</w:t>
      </w:r>
      <w:r w:rsidR="002F18FD" w:rsidRPr="0000228F">
        <w:rPr>
          <w:rFonts w:asciiTheme="minorEastAsia" w:eastAsiaTheme="minorEastAsia" w:hAnsiTheme="minorEastAsia" w:hint="eastAsia"/>
          <w:sz w:val="21"/>
          <w:szCs w:val="21"/>
        </w:rPr>
        <w:t>类型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不应被通过；</w:t>
      </w:r>
    </w:p>
    <w:p w:rsidR="00252185" w:rsidRPr="0000228F" w:rsidRDefault="00536AEF" w:rsidP="00BB728B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提议为了国际数据交换的目的使用</w:t>
      </w:r>
      <w:r w:rsidRPr="0000228F">
        <w:rPr>
          <w:rFonts w:asciiTheme="minorEastAsia" w:eastAsiaTheme="minorEastAsia" w:hAnsiTheme="minorEastAsia"/>
          <w:sz w:val="21"/>
          <w:szCs w:val="21"/>
        </w:rPr>
        <w:t>MPEG-4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这一格式；及</w:t>
      </w:r>
    </w:p>
    <w:p w:rsidR="00252185" w:rsidRPr="0000228F" w:rsidRDefault="00536AEF" w:rsidP="00BB728B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00228F">
        <w:rPr>
          <w:rFonts w:asciiTheme="minorEastAsia" w:eastAsiaTheme="minorEastAsia" w:hAnsiTheme="minorEastAsia" w:hint="eastAsia"/>
          <w:sz w:val="21"/>
          <w:szCs w:val="21"/>
        </w:rPr>
        <w:t>工作队还澄清了WIPO标准</w:t>
      </w:r>
      <w:r w:rsidRPr="0000228F">
        <w:rPr>
          <w:rFonts w:asciiTheme="minorEastAsia" w:eastAsiaTheme="minorEastAsia" w:hAnsiTheme="minorEastAsia"/>
          <w:sz w:val="21"/>
          <w:szCs w:val="21"/>
        </w:rPr>
        <w:t>ST.96</w:t>
      </w:r>
      <w:r w:rsidRPr="0000228F">
        <w:rPr>
          <w:rFonts w:asciiTheme="minorEastAsia" w:eastAsiaTheme="minorEastAsia" w:hAnsiTheme="minorEastAsia" w:hint="eastAsia"/>
          <w:sz w:val="21"/>
          <w:szCs w:val="21"/>
        </w:rPr>
        <w:t>中“组合”类别的使用，尤其是它是否涵盖多媒体商标。</w:t>
      </w:r>
    </w:p>
    <w:p w:rsidR="00252185" w:rsidRDefault="00252185" w:rsidP="00B441D7">
      <w:pPr>
        <w:pStyle w:val="Endofdocument-Annex"/>
        <w:jc w:val="both"/>
        <w:rPr>
          <w:rFonts w:ascii="KaiTi" w:eastAsia="KaiTi" w:hAnsi="KaiTi"/>
          <w:sz w:val="21"/>
          <w:szCs w:val="21"/>
        </w:rPr>
      </w:pPr>
      <w:bookmarkStart w:id="1" w:name="_GoBack"/>
    </w:p>
    <w:p w:rsidR="00B441D7" w:rsidRPr="0075682B" w:rsidRDefault="00B441D7" w:rsidP="00B441D7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252185" w:rsidRPr="00EB50EF" w:rsidRDefault="004B3531" w:rsidP="00B441D7">
      <w:pPr>
        <w:pStyle w:val="Endofdocument-Annex"/>
        <w:spacing w:afterLines="50" w:after="120"/>
        <w:jc w:val="both"/>
        <w:rPr>
          <w:rFonts w:ascii="KaiTi" w:eastAsia="KaiTi" w:hAnsi="KaiTi"/>
          <w:sz w:val="21"/>
          <w:szCs w:val="21"/>
        </w:rPr>
      </w:pPr>
      <w:r w:rsidRPr="00EB50EF">
        <w:rPr>
          <w:rFonts w:ascii="KaiTi" w:eastAsia="KaiTi" w:hAnsi="KaiTi"/>
          <w:sz w:val="21"/>
          <w:szCs w:val="21"/>
        </w:rPr>
        <w:t>[</w:t>
      </w:r>
      <w:r w:rsidRPr="00EB50EF">
        <w:rPr>
          <w:rFonts w:ascii="KaiTi" w:eastAsia="KaiTi" w:hAnsi="KaiTi" w:hint="eastAsia"/>
          <w:sz w:val="21"/>
          <w:szCs w:val="21"/>
        </w:rPr>
        <w:t>附件和文件完</w:t>
      </w:r>
      <w:r w:rsidR="00252185" w:rsidRPr="00EB50EF">
        <w:rPr>
          <w:rFonts w:ascii="KaiTi" w:eastAsia="KaiTi" w:hAnsi="KaiTi"/>
          <w:sz w:val="21"/>
          <w:szCs w:val="21"/>
        </w:rPr>
        <w:t>]</w:t>
      </w:r>
      <w:bookmarkEnd w:id="1"/>
    </w:p>
    <w:sectPr w:rsidR="00252185" w:rsidRPr="00EB50EF" w:rsidSect="00D31FF1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E5" w:rsidRDefault="003331E5">
      <w:r>
        <w:separator/>
      </w:r>
    </w:p>
  </w:endnote>
  <w:endnote w:type="continuationSeparator" w:id="0">
    <w:p w:rsidR="003331E5" w:rsidRDefault="003331E5" w:rsidP="003B38C1">
      <w:r>
        <w:separator/>
      </w:r>
    </w:p>
    <w:p w:rsidR="003331E5" w:rsidRPr="003B38C1" w:rsidRDefault="003331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31E5" w:rsidRPr="003B38C1" w:rsidRDefault="003331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E5" w:rsidRDefault="003331E5">
      <w:r>
        <w:separator/>
      </w:r>
    </w:p>
  </w:footnote>
  <w:footnote w:type="continuationSeparator" w:id="0">
    <w:p w:rsidR="003331E5" w:rsidRDefault="003331E5" w:rsidP="008B60B2">
      <w:r>
        <w:separator/>
      </w:r>
    </w:p>
    <w:p w:rsidR="003331E5" w:rsidRPr="00ED77FB" w:rsidRDefault="003331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31E5" w:rsidRPr="00ED77FB" w:rsidRDefault="003331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46" w:rsidRPr="0098142B" w:rsidRDefault="00090446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98142B">
      <w:rPr>
        <w:rFonts w:asciiTheme="minorEastAsia" w:eastAsiaTheme="minorEastAsia" w:hAnsiTheme="minorEastAsia"/>
        <w:sz w:val="21"/>
        <w:szCs w:val="21"/>
      </w:rPr>
      <w:t>CWS/5/10</w:t>
    </w:r>
  </w:p>
  <w:p w:rsidR="00090446" w:rsidRPr="0098142B" w:rsidRDefault="00090446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98142B">
      <w:rPr>
        <w:rFonts w:asciiTheme="minorEastAsia" w:eastAsiaTheme="minorEastAsia" w:hAnsiTheme="minorEastAsia" w:hint="eastAsia"/>
        <w:sz w:val="21"/>
        <w:szCs w:val="21"/>
      </w:rPr>
      <w:t>附件第</w:t>
    </w:r>
    <w:sdt>
      <w:sdtPr>
        <w:rPr>
          <w:rFonts w:asciiTheme="minorEastAsia" w:eastAsiaTheme="minorEastAsia" w:hAnsiTheme="minorEastAsia"/>
          <w:sz w:val="21"/>
          <w:szCs w:val="21"/>
        </w:rPr>
        <w:id w:val="-12387838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8142B"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 w:rsidRPr="0098142B">
          <w:rPr>
            <w:rFonts w:asciiTheme="minorEastAsia" w:eastAsiaTheme="minorEastAsia" w:hAnsiTheme="minorEastAsia"/>
            <w:sz w:val="21"/>
            <w:szCs w:val="21"/>
          </w:rPr>
          <w:instrText xml:space="preserve"> PAGE   \* MERGEFORMAT </w:instrText>
        </w:r>
        <w:r w:rsidRPr="0098142B"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B441D7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98142B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  <w:r w:rsidRPr="0098142B">
          <w:rPr>
            <w:rFonts w:asciiTheme="minorEastAsia" w:eastAsiaTheme="minorEastAsia" w:hAnsiTheme="minorEastAsia" w:hint="eastAsia"/>
            <w:noProof/>
            <w:sz w:val="21"/>
            <w:szCs w:val="21"/>
          </w:rPr>
          <w:t>页</w:t>
        </w:r>
      </w:sdtContent>
    </w:sdt>
  </w:p>
  <w:p w:rsidR="00090446" w:rsidRDefault="00090446" w:rsidP="00B624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46" w:rsidRPr="00B528E9" w:rsidRDefault="00090446" w:rsidP="00B90912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B528E9">
      <w:rPr>
        <w:rFonts w:asciiTheme="minorEastAsia" w:eastAsiaTheme="minorEastAsia" w:hAnsiTheme="minorEastAsia"/>
        <w:sz w:val="21"/>
        <w:szCs w:val="21"/>
      </w:rPr>
      <w:t>CWS/5/10</w:t>
    </w:r>
  </w:p>
  <w:p w:rsidR="00090446" w:rsidRPr="00B528E9" w:rsidRDefault="00090446" w:rsidP="00B90912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B528E9">
      <w:rPr>
        <w:rFonts w:asciiTheme="minorEastAsia" w:eastAsiaTheme="minorEastAsia" w:hAnsiTheme="minorEastAsia" w:hint="eastAsia"/>
        <w:sz w:val="21"/>
        <w:szCs w:val="21"/>
      </w:rPr>
      <w:t>附</w:t>
    </w:r>
    <w:r w:rsidR="00986C12">
      <w:rPr>
        <w:rFonts w:asciiTheme="minorEastAsia" w:eastAsiaTheme="minorEastAsia" w:hAnsiTheme="minorEastAsia" w:hint="eastAsia"/>
        <w:sz w:val="21"/>
        <w:szCs w:val="21"/>
      </w:rPr>
      <w:t xml:space="preserve">　</w:t>
    </w:r>
    <w:r w:rsidRPr="00B528E9">
      <w:rPr>
        <w:rFonts w:asciiTheme="minorEastAsia" w:eastAsiaTheme="minorEastAsia" w:hAnsiTheme="minorEastAsia" w:hint="eastAsia"/>
        <w:sz w:val="21"/>
        <w:szCs w:val="21"/>
      </w:rPr>
      <w:t>件</w:t>
    </w:r>
  </w:p>
  <w:p w:rsidR="00090446" w:rsidRDefault="00090446" w:rsidP="00B909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B1986"/>
    <w:multiLevelType w:val="hybridMultilevel"/>
    <w:tmpl w:val="DEB6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E32E8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8">
    <w:nsid w:val="595F551F"/>
    <w:multiLevelType w:val="hybridMultilevel"/>
    <w:tmpl w:val="9710B682"/>
    <w:lvl w:ilvl="0" w:tplc="EFEE3688">
      <w:start w:val="1"/>
      <w:numFmt w:val="lowerLetter"/>
      <w:lvlText w:val="(%1)"/>
      <w:lvlJc w:val="left"/>
      <w:pPr>
        <w:ind w:left="5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2" w:hanging="360"/>
      </w:pPr>
    </w:lvl>
    <w:lvl w:ilvl="2" w:tplc="0409001B" w:tentative="1">
      <w:start w:val="1"/>
      <w:numFmt w:val="lowerRoman"/>
      <w:lvlText w:val="%3."/>
      <w:lvlJc w:val="right"/>
      <w:pPr>
        <w:ind w:left="6662" w:hanging="180"/>
      </w:pPr>
    </w:lvl>
    <w:lvl w:ilvl="3" w:tplc="0409000F" w:tentative="1">
      <w:start w:val="1"/>
      <w:numFmt w:val="decimal"/>
      <w:lvlText w:val="%4."/>
      <w:lvlJc w:val="left"/>
      <w:pPr>
        <w:ind w:left="7382" w:hanging="360"/>
      </w:pPr>
    </w:lvl>
    <w:lvl w:ilvl="4" w:tplc="04090019" w:tentative="1">
      <w:start w:val="1"/>
      <w:numFmt w:val="lowerLetter"/>
      <w:lvlText w:val="%5."/>
      <w:lvlJc w:val="left"/>
      <w:pPr>
        <w:ind w:left="8102" w:hanging="360"/>
      </w:pPr>
    </w:lvl>
    <w:lvl w:ilvl="5" w:tplc="0409001B" w:tentative="1">
      <w:start w:val="1"/>
      <w:numFmt w:val="lowerRoman"/>
      <w:lvlText w:val="%6."/>
      <w:lvlJc w:val="right"/>
      <w:pPr>
        <w:ind w:left="8822" w:hanging="180"/>
      </w:pPr>
    </w:lvl>
    <w:lvl w:ilvl="6" w:tplc="0409000F" w:tentative="1">
      <w:start w:val="1"/>
      <w:numFmt w:val="decimal"/>
      <w:lvlText w:val="%7."/>
      <w:lvlJc w:val="left"/>
      <w:pPr>
        <w:ind w:left="9542" w:hanging="360"/>
      </w:pPr>
    </w:lvl>
    <w:lvl w:ilvl="7" w:tplc="04090019" w:tentative="1">
      <w:start w:val="1"/>
      <w:numFmt w:val="lowerLetter"/>
      <w:lvlText w:val="%8."/>
      <w:lvlJc w:val="left"/>
      <w:pPr>
        <w:ind w:left="10262" w:hanging="360"/>
      </w:pPr>
    </w:lvl>
    <w:lvl w:ilvl="8" w:tplc="0409001B" w:tentative="1">
      <w:start w:val="1"/>
      <w:numFmt w:val="lowerRoman"/>
      <w:lvlText w:val="%9."/>
      <w:lvlJc w:val="right"/>
      <w:pPr>
        <w:ind w:left="10982" w:hanging="180"/>
      </w:pPr>
    </w:lvl>
  </w:abstractNum>
  <w:abstractNum w:abstractNumId="9">
    <w:nsid w:val="5EA82C42"/>
    <w:multiLevelType w:val="multilevel"/>
    <w:tmpl w:val="2688A716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4B"/>
    <w:rsid w:val="0000228F"/>
    <w:rsid w:val="00022264"/>
    <w:rsid w:val="00043CAA"/>
    <w:rsid w:val="00044D72"/>
    <w:rsid w:val="00075432"/>
    <w:rsid w:val="00075D6B"/>
    <w:rsid w:val="00090446"/>
    <w:rsid w:val="000968ED"/>
    <w:rsid w:val="000B2891"/>
    <w:rsid w:val="000D7883"/>
    <w:rsid w:val="000E1A72"/>
    <w:rsid w:val="000F5E56"/>
    <w:rsid w:val="001043AF"/>
    <w:rsid w:val="001362EE"/>
    <w:rsid w:val="001647D5"/>
    <w:rsid w:val="001832A6"/>
    <w:rsid w:val="001A0690"/>
    <w:rsid w:val="0021217E"/>
    <w:rsid w:val="00235A82"/>
    <w:rsid w:val="00252185"/>
    <w:rsid w:val="002634C4"/>
    <w:rsid w:val="00272C6D"/>
    <w:rsid w:val="00277F75"/>
    <w:rsid w:val="002928D3"/>
    <w:rsid w:val="00293D48"/>
    <w:rsid w:val="002A6620"/>
    <w:rsid w:val="002D5C24"/>
    <w:rsid w:val="002F18FD"/>
    <w:rsid w:val="002F1FE6"/>
    <w:rsid w:val="002F4E68"/>
    <w:rsid w:val="00312F7F"/>
    <w:rsid w:val="003331E5"/>
    <w:rsid w:val="00361450"/>
    <w:rsid w:val="003673CF"/>
    <w:rsid w:val="003845C1"/>
    <w:rsid w:val="00385ABA"/>
    <w:rsid w:val="003A48D3"/>
    <w:rsid w:val="003A6F89"/>
    <w:rsid w:val="003B0954"/>
    <w:rsid w:val="003B38C1"/>
    <w:rsid w:val="00423E3E"/>
    <w:rsid w:val="00427AF4"/>
    <w:rsid w:val="004647DA"/>
    <w:rsid w:val="0047044D"/>
    <w:rsid w:val="00474062"/>
    <w:rsid w:val="00477D6B"/>
    <w:rsid w:val="004B3531"/>
    <w:rsid w:val="004D1D3E"/>
    <w:rsid w:val="005019FF"/>
    <w:rsid w:val="0053057A"/>
    <w:rsid w:val="00536AEF"/>
    <w:rsid w:val="00546CF8"/>
    <w:rsid w:val="00560A29"/>
    <w:rsid w:val="00577BCE"/>
    <w:rsid w:val="00582DF7"/>
    <w:rsid w:val="005C6649"/>
    <w:rsid w:val="00605827"/>
    <w:rsid w:val="00633C4B"/>
    <w:rsid w:val="00646050"/>
    <w:rsid w:val="006713CA"/>
    <w:rsid w:val="00676C5C"/>
    <w:rsid w:val="00685AAC"/>
    <w:rsid w:val="00694F2C"/>
    <w:rsid w:val="006A6DBF"/>
    <w:rsid w:val="006D6209"/>
    <w:rsid w:val="00706B48"/>
    <w:rsid w:val="0075682B"/>
    <w:rsid w:val="00756A94"/>
    <w:rsid w:val="00764BE8"/>
    <w:rsid w:val="007B37C9"/>
    <w:rsid w:val="007D1613"/>
    <w:rsid w:val="007D3851"/>
    <w:rsid w:val="007E4C0E"/>
    <w:rsid w:val="00830549"/>
    <w:rsid w:val="008B2CC1"/>
    <w:rsid w:val="008B60B2"/>
    <w:rsid w:val="008B66FE"/>
    <w:rsid w:val="008D4A3E"/>
    <w:rsid w:val="0090731E"/>
    <w:rsid w:val="00916EE2"/>
    <w:rsid w:val="00966A22"/>
    <w:rsid w:val="0096722F"/>
    <w:rsid w:val="00980843"/>
    <w:rsid w:val="0098142B"/>
    <w:rsid w:val="00986C12"/>
    <w:rsid w:val="009A1435"/>
    <w:rsid w:val="009B78F1"/>
    <w:rsid w:val="009C2BA6"/>
    <w:rsid w:val="009E2791"/>
    <w:rsid w:val="009E3F6F"/>
    <w:rsid w:val="009F499F"/>
    <w:rsid w:val="00A010E9"/>
    <w:rsid w:val="00A42DAF"/>
    <w:rsid w:val="00A45BD8"/>
    <w:rsid w:val="00A869B7"/>
    <w:rsid w:val="00AA5589"/>
    <w:rsid w:val="00AC205C"/>
    <w:rsid w:val="00AF0A6B"/>
    <w:rsid w:val="00B05A69"/>
    <w:rsid w:val="00B441D7"/>
    <w:rsid w:val="00B528E9"/>
    <w:rsid w:val="00B53D75"/>
    <w:rsid w:val="00B542D5"/>
    <w:rsid w:val="00B6246A"/>
    <w:rsid w:val="00B90912"/>
    <w:rsid w:val="00B9734B"/>
    <w:rsid w:val="00BA0260"/>
    <w:rsid w:val="00BA30E2"/>
    <w:rsid w:val="00BB728B"/>
    <w:rsid w:val="00C10E97"/>
    <w:rsid w:val="00C11BFE"/>
    <w:rsid w:val="00C47F80"/>
    <w:rsid w:val="00C5068F"/>
    <w:rsid w:val="00C61749"/>
    <w:rsid w:val="00C86D74"/>
    <w:rsid w:val="00CD04F1"/>
    <w:rsid w:val="00D079DC"/>
    <w:rsid w:val="00D25A72"/>
    <w:rsid w:val="00D31FF1"/>
    <w:rsid w:val="00D45252"/>
    <w:rsid w:val="00D71A89"/>
    <w:rsid w:val="00D71B4D"/>
    <w:rsid w:val="00D724BD"/>
    <w:rsid w:val="00D83609"/>
    <w:rsid w:val="00D93D55"/>
    <w:rsid w:val="00DA24D8"/>
    <w:rsid w:val="00DB2E87"/>
    <w:rsid w:val="00DC0C92"/>
    <w:rsid w:val="00DC40FB"/>
    <w:rsid w:val="00DE78E4"/>
    <w:rsid w:val="00E15015"/>
    <w:rsid w:val="00E335FE"/>
    <w:rsid w:val="00E4499F"/>
    <w:rsid w:val="00EB2872"/>
    <w:rsid w:val="00EB50EF"/>
    <w:rsid w:val="00EC090B"/>
    <w:rsid w:val="00EC4E49"/>
    <w:rsid w:val="00EC6FF9"/>
    <w:rsid w:val="00ED77FB"/>
    <w:rsid w:val="00EE45FA"/>
    <w:rsid w:val="00F408A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E83F-ABB8-4D58-A8E1-0F82102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91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CWS/5/10 Annex</vt:lpstr>
    </vt:vector>
  </TitlesOfParts>
  <Company>WIPO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Annex (in Chinese)</dc:title>
  <dc:subject>Report on the Preparation of a new WIPO Standard for the electronic management of motion and multimedia marks</dc:subject>
  <dc:creator>WIPO</dc:creator>
  <cp:keywords>CWS</cp:keywords>
  <cp:lastModifiedBy>ZAGO Bétina</cp:lastModifiedBy>
  <cp:revision>4</cp:revision>
  <cp:lastPrinted>2017-04-28T17:02:00Z</cp:lastPrinted>
  <dcterms:created xsi:type="dcterms:W3CDTF">2017-05-01T08:23:00Z</dcterms:created>
  <dcterms:modified xsi:type="dcterms:W3CDTF">2017-05-01T08:31:00Z</dcterms:modified>
</cp:coreProperties>
</file>