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BB62E" w14:textId="77777777" w:rsidR="003C1BC0" w:rsidRPr="0040540C" w:rsidRDefault="003C1BC0" w:rsidP="003C1BC0">
      <w:pPr>
        <w:pBdr>
          <w:bottom w:val="single" w:sz="4" w:space="10" w:color="auto"/>
        </w:pBdr>
        <w:spacing w:after="120"/>
        <w:jc w:val="right"/>
      </w:pPr>
      <w:r>
        <w:rPr>
          <w:noProof/>
          <w:lang w:val="en-US"/>
        </w:rPr>
        <w:drawing>
          <wp:inline distT="0" distB="0" distL="0" distR="0" wp14:anchorId="44477FC1" wp14:editId="05FCDF37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8B151" w14:textId="77777777" w:rsidR="003C1BC0" w:rsidRDefault="003C1BC0" w:rsidP="003C1BC0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CWS/9/</w:t>
      </w:r>
      <w:bookmarkStart w:id="0" w:name="Code"/>
      <w:bookmarkEnd w:id="0"/>
      <w:r>
        <w:rPr>
          <w:rFonts w:ascii="Arial Black" w:hAnsi="Arial Black"/>
          <w:caps/>
          <w:sz w:val="15"/>
        </w:rPr>
        <w:t>2</w:t>
      </w:r>
    </w:p>
    <w:p w14:paraId="64B74983" w14:textId="498EAF40" w:rsidR="003C1BC0" w:rsidRPr="0040540C" w:rsidRDefault="003C1BC0" w:rsidP="003C1BC0">
      <w:pPr>
        <w:jc w:val="right"/>
      </w:pPr>
      <w:r w:rsidRPr="0090731E">
        <w:rPr>
          <w:rFonts w:ascii="Arial Black" w:hAnsi="Arial Black"/>
          <w:caps/>
          <w:sz w:val="15"/>
        </w:rPr>
        <w:t>ORIGINAL</w:t>
      </w:r>
      <w:r>
        <w:rPr>
          <w:rFonts w:ascii="Arial Black" w:hAnsi="Arial Black"/>
          <w:caps/>
          <w:sz w:val="15"/>
        </w:rPr>
        <w:t xml:space="preserve"> : </w:t>
      </w:r>
      <w:bookmarkStart w:id="1" w:name="Original"/>
      <w:r>
        <w:rPr>
          <w:rFonts w:ascii="Arial Black" w:hAnsi="Arial Black"/>
          <w:caps/>
          <w:sz w:val="15"/>
        </w:rPr>
        <w:t>anglais</w:t>
      </w:r>
    </w:p>
    <w:bookmarkEnd w:id="1"/>
    <w:p w14:paraId="668C25AB" w14:textId="2CCCC3D5" w:rsidR="003C1BC0" w:rsidRPr="0040540C" w:rsidRDefault="003C1BC0" w:rsidP="003C1BC0">
      <w:pPr>
        <w:spacing w:after="1200"/>
        <w:jc w:val="right"/>
      </w:pPr>
      <w:r w:rsidRPr="0090731E">
        <w:rPr>
          <w:rFonts w:ascii="Arial Black" w:hAnsi="Arial Black"/>
          <w:caps/>
          <w:sz w:val="15"/>
        </w:rPr>
        <w:t>DATE</w:t>
      </w:r>
      <w:r>
        <w:rPr>
          <w:rFonts w:ascii="Arial Black" w:hAnsi="Arial Black"/>
          <w:caps/>
          <w:sz w:val="15"/>
        </w:rPr>
        <w:t xml:space="preserve"> : </w:t>
      </w:r>
      <w:bookmarkStart w:id="2" w:name="Date"/>
      <w:r>
        <w:rPr>
          <w:rFonts w:ascii="Arial Black" w:hAnsi="Arial Black"/>
          <w:caps/>
          <w:sz w:val="15"/>
        </w:rPr>
        <w:t>6 octobre 2021</w:t>
      </w:r>
    </w:p>
    <w:bookmarkEnd w:id="2"/>
    <w:p w14:paraId="298DED5C" w14:textId="1FDE38C1" w:rsidR="003C1BC0" w:rsidRPr="00594AA1" w:rsidRDefault="003C1BC0" w:rsidP="003C1BC0">
      <w:pPr>
        <w:pStyle w:val="Title"/>
        <w:rPr>
          <w:caps w:val="0"/>
        </w:rPr>
      </w:pPr>
      <w:r w:rsidRPr="00594AA1">
        <w:rPr>
          <w:caps w:val="0"/>
        </w:rPr>
        <w:t>Comité des normes de l</w:t>
      </w:r>
      <w:r>
        <w:rPr>
          <w:caps w:val="0"/>
        </w:rPr>
        <w:t>’</w:t>
      </w:r>
      <w:r w:rsidRPr="00594AA1">
        <w:rPr>
          <w:caps w:val="0"/>
        </w:rPr>
        <w:t>OMPI (CWS)</w:t>
      </w:r>
    </w:p>
    <w:p w14:paraId="44D7ACE7" w14:textId="0297D52F" w:rsidR="003C1BC0" w:rsidRPr="00037E41" w:rsidRDefault="003C1BC0" w:rsidP="003C1BC0">
      <w:pPr>
        <w:outlineLvl w:val="1"/>
        <w:rPr>
          <w:b/>
          <w:sz w:val="28"/>
          <w:szCs w:val="28"/>
        </w:rPr>
      </w:pPr>
      <w:r w:rsidRPr="002C6A10">
        <w:rPr>
          <w:b/>
          <w:sz w:val="24"/>
        </w:rPr>
        <w:t>Neuv</w:t>
      </w:r>
      <w:r>
        <w:rPr>
          <w:b/>
          <w:sz w:val="24"/>
        </w:rPr>
        <w:t>ième session</w:t>
      </w:r>
    </w:p>
    <w:p w14:paraId="2110E287" w14:textId="2EF4B47C" w:rsidR="003C1BC0" w:rsidRPr="003845C1" w:rsidRDefault="003C1BC0" w:rsidP="003C1BC0">
      <w:pPr>
        <w:spacing w:after="1200"/>
        <w:outlineLvl w:val="1"/>
        <w:rPr>
          <w:b/>
          <w:sz w:val="24"/>
          <w:szCs w:val="24"/>
        </w:rPr>
      </w:pPr>
      <w:r w:rsidRPr="004527EA">
        <w:rPr>
          <w:b/>
          <w:sz w:val="24"/>
          <w:szCs w:val="24"/>
        </w:rPr>
        <w:t>Genève, 1</w:t>
      </w:r>
      <w:r w:rsidRPr="002C6A10">
        <w:rPr>
          <w:b/>
          <w:sz w:val="24"/>
          <w:szCs w:val="24"/>
          <w:vertAlign w:val="superscript"/>
        </w:rPr>
        <w:t>er</w:t>
      </w:r>
      <w:r w:rsidR="009F0633">
        <w:rPr>
          <w:b/>
          <w:sz w:val="24"/>
          <w:szCs w:val="24"/>
          <w:vertAlign w:val="superscript"/>
        </w:rPr>
        <w:t xml:space="preserve"> </w:t>
      </w:r>
      <w:r w:rsidRPr="004527EA">
        <w:rPr>
          <w:b/>
          <w:sz w:val="24"/>
          <w:szCs w:val="24"/>
        </w:rPr>
        <w:t>– 5</w:t>
      </w:r>
      <w:r>
        <w:rPr>
          <w:b/>
          <w:sz w:val="24"/>
          <w:szCs w:val="24"/>
        </w:rPr>
        <w:t> </w:t>
      </w:r>
      <w:r w:rsidRPr="004527EA">
        <w:rPr>
          <w:b/>
          <w:sz w:val="24"/>
          <w:szCs w:val="24"/>
        </w:rPr>
        <w:t>novembre</w:t>
      </w:r>
      <w:r>
        <w:rPr>
          <w:b/>
          <w:sz w:val="24"/>
          <w:szCs w:val="24"/>
        </w:rPr>
        <w:t> </w:t>
      </w:r>
      <w:r w:rsidRPr="004527EA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1</w:t>
      </w:r>
    </w:p>
    <w:p w14:paraId="1FCF08E5" w14:textId="16525B35" w:rsidR="003C1BC0" w:rsidRPr="003845C1" w:rsidRDefault="003C1BC0" w:rsidP="003C1BC0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Publication des résultats de l’enquête sur la priorité des 40</w:t>
      </w:r>
      <w:r w:rsidR="009F0633">
        <w:rPr>
          <w:caps/>
          <w:sz w:val="24"/>
        </w:rPr>
        <w:t> </w:t>
      </w:r>
      <w:r>
        <w:rPr>
          <w:caps/>
          <w:sz w:val="24"/>
        </w:rPr>
        <w:t>recommandations sur les stratégies en matière de TIC</w:t>
      </w:r>
    </w:p>
    <w:p w14:paraId="64950757" w14:textId="77777777" w:rsidR="003C1BC0" w:rsidRPr="008B2CC1" w:rsidRDefault="003C1BC0" w:rsidP="003C1BC0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Document établi par le Bureau international</w:t>
      </w:r>
    </w:p>
    <w:p w14:paraId="1B0195AC" w14:textId="77777777" w:rsidR="00C80BFB" w:rsidRDefault="00C80BFB" w:rsidP="00C80BFB">
      <w:pPr>
        <w:pStyle w:val="Heading2"/>
        <w:spacing w:before="0"/>
        <w:rPr>
          <w:rFonts w:eastAsia="Malgun Gothic"/>
          <w:caps w:val="0"/>
          <w:szCs w:val="22"/>
        </w:rPr>
      </w:pPr>
      <w:r>
        <w:rPr>
          <w:caps w:val="0"/>
        </w:rPr>
        <w:t>RAPPEL</w:t>
      </w:r>
    </w:p>
    <w:p w14:paraId="26D7AC6C" w14:textId="0EE10862" w:rsidR="00E160B0" w:rsidRDefault="00C80BFB" w:rsidP="00E160B0">
      <w:pPr>
        <w:pStyle w:val="ONUMFS"/>
        <w:numPr>
          <w:ilvl w:val="0"/>
          <w:numId w:val="0"/>
        </w:numPr>
        <w:rPr>
          <w:szCs w:val="22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À sa six</w:t>
      </w:r>
      <w:r w:rsidR="003C1BC0">
        <w:t>ième session</w:t>
      </w:r>
      <w:r>
        <w:t xml:space="preserve"> tenue en octobre 2019, le Comité des normes de l</w:t>
      </w:r>
      <w:r w:rsidR="003C1BC0">
        <w:t>’</w:t>
      </w:r>
      <w:r>
        <w:t>OMPI (CWS) a pris note des 40 recommandations établies par la Réunion sur les stratégies en matière de TIC et l</w:t>
      </w:r>
      <w:r w:rsidR="003C1BC0">
        <w:t>’</w:t>
      </w:r>
      <w:r>
        <w:t>intelligence artificielle, convoquée par le Bureau international pour permettre l</w:t>
      </w:r>
      <w:r w:rsidR="003C1BC0">
        <w:t>’</w:t>
      </w:r>
      <w:r>
        <w:t>échange de vues et de données d</w:t>
      </w:r>
      <w:r w:rsidR="003C1BC0">
        <w:t>’</w:t>
      </w:r>
      <w:r>
        <w:t>expérience sur les stratégies informatiques et l</w:t>
      </w:r>
      <w:r w:rsidR="003C1BC0">
        <w:t>’</w:t>
      </w:r>
      <w:r>
        <w:t>administration rationnelle des opératio</w:t>
      </w:r>
      <w:r w:rsidR="009F0633">
        <w:t>ns.  Le</w:t>
      </w:r>
      <w:r>
        <w:t> CWS a examiné l</w:t>
      </w:r>
      <w:r w:rsidR="003C1BC0">
        <w:t>’</w:t>
      </w:r>
      <w:r>
        <w:t xml:space="preserve">analyse des 40 recommandations </w:t>
      </w:r>
      <w:r w:rsidR="00AE2CB6">
        <w:t xml:space="preserve">effectuée </w:t>
      </w:r>
      <w:r>
        <w:t xml:space="preserve">par le Secrétariat ainsi que leur pertinence au regard de ses activités, classées en trois groupes présentés dans </w:t>
      </w:r>
      <w:hyperlink r:id="rId9" w:history="1">
        <w:r>
          <w:rPr>
            <w:rStyle w:val="Hyperlink"/>
          </w:rPr>
          <w:t>l</w:t>
        </w:r>
        <w:r w:rsidR="003C1BC0">
          <w:rPr>
            <w:rStyle w:val="Hyperlink"/>
          </w:rPr>
          <w:t>’</w:t>
        </w:r>
        <w:r>
          <w:rPr>
            <w:rStyle w:val="Hyperlink"/>
          </w:rPr>
          <w:t>annexe du document CWS/6</w:t>
        </w:r>
        <w:bookmarkStart w:id="5" w:name="_GoBack"/>
        <w:bookmarkEnd w:id="5"/>
        <w:r>
          <w:rPr>
            <w:rStyle w:val="Hyperlink"/>
          </w:rPr>
          <w:t>/3</w:t>
        </w:r>
      </w:hyperlink>
      <w:r>
        <w:t>.  (Voir les paragraphes 18 à 19 du document CWS/6/34.)</w:t>
      </w:r>
    </w:p>
    <w:p w14:paraId="3AFE62E8" w14:textId="739BF685" w:rsidR="00E160B0" w:rsidRDefault="00E160B0" w:rsidP="00E160B0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À sa six</w:t>
      </w:r>
      <w:r w:rsidR="003C1BC0">
        <w:t>ième session</w:t>
      </w:r>
      <w:r>
        <w:t>, le CWS a créé une nouvelle tâche n° 58 et établi l</w:t>
      </w:r>
      <w:r w:rsidR="003C1BC0">
        <w:t>’</w:t>
      </w:r>
      <w:r>
        <w:t>Équipe d</w:t>
      </w:r>
      <w:r w:rsidR="003C1BC0">
        <w:t>’</w:t>
      </w:r>
      <w:r>
        <w:t>experts chargée des normes (ci</w:t>
      </w:r>
      <w:r w:rsidR="009F0633">
        <w:noBreakHyphen/>
      </w:r>
      <w:r>
        <w:t>après dénommée “Équipe d</w:t>
      </w:r>
      <w:r w:rsidR="003C1BC0">
        <w:t>’</w:t>
      </w:r>
      <w:r>
        <w:t>experts chargée des normes relatives aux technologies de l</w:t>
      </w:r>
      <w:r w:rsidR="003C1BC0">
        <w:t>’</w:t>
      </w:r>
      <w:r>
        <w:t>information et de la communication” ou “équipe d</w:t>
      </w:r>
      <w:r w:rsidR="003C1BC0">
        <w:t>’</w:t>
      </w:r>
      <w:r>
        <w:t>experts”) pour mener les travaux relatifs à la tâche n° 58 et il a désigné le Bureau international comme responsable de l</w:t>
      </w:r>
      <w:r w:rsidR="003C1BC0">
        <w:t>’</w:t>
      </w:r>
      <w:r>
        <w:t>équipe d</w:t>
      </w:r>
      <w:r w:rsidR="003C1BC0">
        <w:t>’</w:t>
      </w:r>
      <w:r>
        <w:t>exper</w:t>
      </w:r>
      <w:r w:rsidR="009F0633">
        <w:t>ts.  Le</w:t>
      </w:r>
      <w:r>
        <w:t> CWS a invité le Bureau international à publier une circulaire demandant aux offices de propriété intellectuelle de désigner des administrateurs ou responsables informatiques pour la nouvelle équipe d</w:t>
      </w:r>
      <w:r w:rsidR="003C1BC0">
        <w:t>’</w:t>
      </w:r>
      <w:r>
        <w:t>experts, ainsi que des volontaires pour le rôle de coresponsables avec le Bureau international.  (Voir les paragraphes 17 à 24 du document CWS/6/34.)</w:t>
      </w:r>
    </w:p>
    <w:p w14:paraId="3AA04BD2" w14:textId="4C47F1C8" w:rsidR="003C1BC0" w:rsidRDefault="00E160B0" w:rsidP="009865DF">
      <w:pPr>
        <w:pStyle w:val="ONUMFS"/>
        <w:numPr>
          <w:ilvl w:val="0"/>
          <w:numId w:val="0"/>
        </w:numPr>
      </w:pPr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  <w:t>À sa huit</w:t>
      </w:r>
      <w:r w:rsidR="003C1BC0">
        <w:t>ième session</w:t>
      </w:r>
      <w:r>
        <w:t>, le CWS a pris note du rapport sur l</w:t>
      </w:r>
      <w:r w:rsidR="003C1BC0">
        <w:t>’</w:t>
      </w:r>
      <w:r>
        <w:t>état d</w:t>
      </w:r>
      <w:r w:rsidR="003C1BC0">
        <w:t>’</w:t>
      </w:r>
      <w:r>
        <w:t>avancement de l</w:t>
      </w:r>
      <w:r w:rsidR="003C1BC0">
        <w:t>’</w:t>
      </w:r>
      <w:r>
        <w:t>Équipe d</w:t>
      </w:r>
      <w:r w:rsidR="003C1BC0">
        <w:t>’</w:t>
      </w:r>
      <w:r>
        <w:t>experts chargée des normes relatives aux technologies de l</w:t>
      </w:r>
      <w:r w:rsidR="003C1BC0">
        <w:t>’</w:t>
      </w:r>
      <w:r>
        <w:t>information et de la communication, qui contient l</w:t>
      </w:r>
      <w:r w:rsidR="003C1BC0">
        <w:t>’</w:t>
      </w:r>
      <w:r>
        <w:t xml:space="preserve">ordre de priorité des </w:t>
      </w:r>
      <w:r w:rsidR="000B4A96">
        <w:t>40 </w:t>
      </w:r>
      <w:r>
        <w:t>recommandations proposé par l</w:t>
      </w:r>
      <w:r w:rsidR="003C1BC0">
        <w:t>’</w:t>
      </w:r>
      <w:r>
        <w:t>équipe d</w:t>
      </w:r>
      <w:r w:rsidR="003C1BC0">
        <w:t>’</w:t>
      </w:r>
      <w:r>
        <w:t>experts et est convenu de réassigner les recommandations comme suit</w:t>
      </w:r>
      <w:r w:rsidR="003C1BC0">
        <w:t> :</w:t>
      </w:r>
      <w:r>
        <w:t xml:space="preserve"> R20, R33 et R35 du groupe 2 au groupe 1, les recommandations suivantes restant dans le groupe 3 (Recommandations ne semblant pas présenter d</w:t>
      </w:r>
      <w:r w:rsidR="003C1BC0">
        <w:t>’</w:t>
      </w:r>
      <w:r>
        <w:t>intérêt pour l</w:t>
      </w:r>
      <w:r w:rsidR="003C1BC0">
        <w:t>’</w:t>
      </w:r>
      <w:r>
        <w:t>activité</w:t>
      </w:r>
      <w:r w:rsidR="003C1BC0">
        <w:t xml:space="preserve"> du CWS</w:t>
      </w:r>
      <w:r>
        <w:t>, ni maintenant ni dans un avenir proche)</w:t>
      </w:r>
      <w:r w:rsidR="003C1BC0">
        <w:t> :</w:t>
      </w:r>
      <w:r>
        <w:t xml:space="preserve"> R03, R07, R08, R24, R25, R29, R30, R31, R34 et 40.  (Voir le paragraphe</w:t>
      </w:r>
      <w:r w:rsidR="009F0633">
        <w:t> </w:t>
      </w:r>
      <w:r>
        <w:t>4 du document CWS/8/13.)</w:t>
      </w:r>
    </w:p>
    <w:p w14:paraId="4AAA71A6" w14:textId="7D9080FA" w:rsidR="00206410" w:rsidRDefault="003B3DEC" w:rsidP="00CA5243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En ce qui concerne l</w:t>
      </w:r>
      <w:r w:rsidR="003C1BC0">
        <w:t>’</w:t>
      </w:r>
      <w:r>
        <w:t>ordre de priorité des 40 recommandations, compte tenu des résultats de l</w:t>
      </w:r>
      <w:r w:rsidR="003C1BC0">
        <w:t>’</w:t>
      </w:r>
      <w:r>
        <w:t>enquête menée au sein de l</w:t>
      </w:r>
      <w:r w:rsidR="003C1BC0">
        <w:t>’</w:t>
      </w:r>
      <w:r w:rsidR="00696961">
        <w:t>é</w:t>
      </w:r>
      <w:r>
        <w:t>quipe d</w:t>
      </w:r>
      <w:r w:rsidR="003C1BC0">
        <w:t>’</w:t>
      </w:r>
      <w:r>
        <w:t>experts, le Bureau international, en sa qualité de responsable de l</w:t>
      </w:r>
      <w:r w:rsidR="003C1BC0">
        <w:t>’</w:t>
      </w:r>
      <w:r>
        <w:t>équipe d</w:t>
      </w:r>
      <w:r w:rsidR="003C1BC0">
        <w:t>’</w:t>
      </w:r>
      <w:r>
        <w:t>experts, a indiqué que les recommandations suivantes, qui relèvent du groupe 1 (Recommandations relatives aux tâches du CWS), étaient prioritaires</w:t>
      </w:r>
      <w:r w:rsidR="003C1BC0">
        <w:t> :</w:t>
      </w:r>
    </w:p>
    <w:p w14:paraId="07D6D083" w14:textId="51E42519" w:rsidR="00206410" w:rsidRDefault="00206410" w:rsidP="001E3513">
      <w:pPr>
        <w:pStyle w:val="ONUMFS"/>
        <w:numPr>
          <w:ilvl w:val="0"/>
          <w:numId w:val="9"/>
        </w:numPr>
        <w:spacing w:after="120"/>
        <w:ind w:left="1134" w:hanging="567"/>
      </w:pPr>
      <w:r>
        <w:t>Partage d</w:t>
      </w:r>
      <w:r w:rsidR="003C1BC0">
        <w:t>’</w:t>
      </w:r>
      <w:r>
        <w:t>informations et collaboration éventuelle sur les technologies émergentes pour l</w:t>
      </w:r>
      <w:r w:rsidR="003C1BC0">
        <w:t>’</w:t>
      </w:r>
      <w:r>
        <w:t>administration de la propriété intellectuelle telles que la recherche, les classifications et les langues (R09);</w:t>
      </w:r>
    </w:p>
    <w:p w14:paraId="5709F7F2" w14:textId="609B1D68" w:rsidR="00206410" w:rsidRDefault="00206410" w:rsidP="001E3513">
      <w:pPr>
        <w:pStyle w:val="ONUMFS"/>
        <w:numPr>
          <w:ilvl w:val="0"/>
          <w:numId w:val="9"/>
        </w:numPr>
        <w:spacing w:after="120"/>
        <w:ind w:left="1134" w:hanging="567"/>
      </w:pPr>
      <w:r>
        <w:t>Outil de conversion commun en format XML, p. ex.</w:t>
      </w:r>
      <w:r w:rsidR="00410789">
        <w:t> </w:t>
      </w:r>
      <w:r>
        <w:t>un convertisseur DOCX (R18 et R04);</w:t>
      </w:r>
    </w:p>
    <w:p w14:paraId="3479EE42" w14:textId="77777777" w:rsidR="00206410" w:rsidRDefault="00206410" w:rsidP="001E3513">
      <w:pPr>
        <w:pStyle w:val="ONUMFS"/>
        <w:numPr>
          <w:ilvl w:val="0"/>
          <w:numId w:val="9"/>
        </w:numPr>
        <w:spacing w:after="120"/>
        <w:ind w:left="1134" w:hanging="567"/>
      </w:pPr>
      <w:r>
        <w:t>Réingénierie et transformation numérique (R06);</w:t>
      </w:r>
    </w:p>
    <w:p w14:paraId="44B630AB" w14:textId="3D02D6DD" w:rsidR="00206410" w:rsidRDefault="00206410" w:rsidP="001E3513">
      <w:pPr>
        <w:pStyle w:val="ONUMFS"/>
        <w:numPr>
          <w:ilvl w:val="0"/>
          <w:numId w:val="9"/>
        </w:numPr>
        <w:spacing w:after="120"/>
        <w:ind w:left="1134" w:hanging="567"/>
      </w:pPr>
      <w:r>
        <w:t>Communication au Bureau international des données ou informations relatives aux fichiers d</w:t>
      </w:r>
      <w:r w:rsidR="003C1BC0">
        <w:t>’</w:t>
      </w:r>
      <w:r>
        <w:t>autorité des offices de propriété intellectuelle (R23);</w:t>
      </w:r>
    </w:p>
    <w:p w14:paraId="1C75F008" w14:textId="2F2F7D45" w:rsidR="00206410" w:rsidRDefault="00206410" w:rsidP="001E3513">
      <w:pPr>
        <w:pStyle w:val="ONUMFS"/>
        <w:numPr>
          <w:ilvl w:val="0"/>
          <w:numId w:val="9"/>
        </w:numPr>
        <w:spacing w:after="120"/>
        <w:ind w:left="1134" w:hanging="567"/>
      </w:pPr>
      <w:r>
        <w:t>Services en ligne par l</w:t>
      </w:r>
      <w:r w:rsidR="003C1BC0">
        <w:t>’</w:t>
      </w:r>
      <w:r>
        <w:t>intermédiaire d</w:t>
      </w:r>
      <w:r w:rsidR="003C1BC0">
        <w:t>’</w:t>
      </w:r>
      <w:r>
        <w:t>API permettant une interopérabilité des systèmes, notamment des systèmes mis au point par des prestataires tiers (R39);</w:t>
      </w:r>
    </w:p>
    <w:p w14:paraId="73862990" w14:textId="1E6E1F0E" w:rsidR="00206410" w:rsidRDefault="00206410" w:rsidP="001E3513">
      <w:pPr>
        <w:pStyle w:val="ONUMFS"/>
        <w:numPr>
          <w:ilvl w:val="0"/>
          <w:numId w:val="9"/>
        </w:numPr>
        <w:spacing w:after="120"/>
        <w:ind w:left="1134" w:hanging="567"/>
      </w:pPr>
      <w:r>
        <w:t>Élaboration d</w:t>
      </w:r>
      <w:r w:rsidR="003C1BC0">
        <w:t>’</w:t>
      </w:r>
      <w:r>
        <w:t>un prototype de distribution du registre de propriété intellectuelle, étude des possibilités d</w:t>
      </w:r>
      <w:r w:rsidR="003C1BC0">
        <w:t>’</w:t>
      </w:r>
      <w:r>
        <w:t>utilisation de la technologie de la chaîne de blocs, concernant notamment les données relatives au registre de propriété intellectuelle et à la priorité, et recherche des moyens techniques et juridiques d</w:t>
      </w:r>
      <w:r w:rsidR="003C1BC0">
        <w:t>’</w:t>
      </w:r>
      <w:r>
        <w:t xml:space="preserve">identifier des familles de brevets (R12 et R15); </w:t>
      </w:r>
      <w:r w:rsidR="00410789">
        <w:t xml:space="preserve"> </w:t>
      </w:r>
      <w:r>
        <w:t>et</w:t>
      </w:r>
    </w:p>
    <w:p w14:paraId="7CF55E2A" w14:textId="1598D8C5" w:rsidR="00206410" w:rsidRDefault="00206410" w:rsidP="001E3513">
      <w:pPr>
        <w:pStyle w:val="ONUMFS"/>
        <w:numPr>
          <w:ilvl w:val="0"/>
          <w:numId w:val="9"/>
        </w:numPr>
        <w:ind w:left="1134" w:hanging="567"/>
      </w:pPr>
      <w:r>
        <w:t>Recherche de méthodes améliorées et création d</w:t>
      </w:r>
      <w:r w:rsidR="003C1BC0">
        <w:t>’</w:t>
      </w:r>
      <w:r>
        <w:t>un prototype de service centralisé, avec</w:t>
      </w:r>
      <w:r w:rsidR="003C1BC0">
        <w:t xml:space="preserve"> des API</w:t>
      </w:r>
      <w:r>
        <w:t xml:space="preserve"> ouvertes et standard, pour la diffusion et l</w:t>
      </w:r>
      <w:r w:rsidR="003C1BC0">
        <w:t>’</w:t>
      </w:r>
      <w:r>
        <w:t>échange de données entre des offices de propriété intellectuelle et des systèmes de propriété intellectuelle régionaux/internationaux (R38).</w:t>
      </w:r>
    </w:p>
    <w:p w14:paraId="63E1C187" w14:textId="77777777" w:rsidR="003C1BC0" w:rsidRDefault="00296701" w:rsidP="00704783">
      <w:pPr>
        <w:spacing w:after="220"/>
      </w:pPr>
      <w:r>
        <w:t>(Voir le paragraphe 6 du document CWS/8/13.)</w:t>
      </w:r>
    </w:p>
    <w:p w14:paraId="6C2A5DFA" w14:textId="1337677F" w:rsidR="0024191F" w:rsidRDefault="003B3DEC" w:rsidP="00704783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Le CWS a également pris note du fait que seuls sept membres de l</w:t>
      </w:r>
      <w:r w:rsidR="003C1BC0">
        <w:t>’</w:t>
      </w:r>
      <w:r w:rsidR="00494B52">
        <w:t>é</w:t>
      </w:r>
      <w:r>
        <w:t>quipe d</w:t>
      </w:r>
      <w:r w:rsidR="003C1BC0">
        <w:t>’</w:t>
      </w:r>
      <w:r>
        <w:t>experts avaient répondu au questionnai</w:t>
      </w:r>
      <w:r w:rsidR="009F0633">
        <w:t>re.  Af</w:t>
      </w:r>
      <w:r>
        <w:t>in de recueillir l</w:t>
      </w:r>
      <w:r w:rsidR="003C1BC0">
        <w:t>’</w:t>
      </w:r>
      <w:r>
        <w:t>opinion d</w:t>
      </w:r>
      <w:r w:rsidR="003C1BC0">
        <w:t>’</w:t>
      </w:r>
      <w:r>
        <w:t>un public</w:t>
      </w:r>
      <w:r w:rsidR="00A22E9D">
        <w:t xml:space="preserve"> plus large</w:t>
      </w:r>
      <w:r>
        <w:t>, le CWS a prié le Bureau international d</w:t>
      </w:r>
      <w:r w:rsidR="003C1BC0">
        <w:t>’</w:t>
      </w:r>
      <w:r>
        <w:t>inviter tous les offices de propriété intellectuelle à participer à l</w:t>
      </w:r>
      <w:r w:rsidR="003C1BC0">
        <w:t>’</w:t>
      </w:r>
      <w:r>
        <w:t>enquête relative à l</w:t>
      </w:r>
      <w:r w:rsidR="003C1BC0">
        <w:t>’</w:t>
      </w:r>
      <w:r>
        <w:t>ordre de priorité des 40 recommandations et de rendre compte des résultats de cette enquête à sa neuv</w:t>
      </w:r>
      <w:r w:rsidR="003C1BC0">
        <w:t>ième session</w:t>
      </w:r>
      <w:r>
        <w:t>.  (Voir les paragraphes 83 à 84 du document CWS/8/24.)</w:t>
      </w:r>
    </w:p>
    <w:p w14:paraId="30642F3D" w14:textId="2580ACCD" w:rsidR="00C80BFB" w:rsidRPr="00AB2363" w:rsidRDefault="00C80BFB" w:rsidP="005A72B3">
      <w:pPr>
        <w:pStyle w:val="Heading2"/>
      </w:pPr>
      <w:r>
        <w:t>RÉSULTATS DE L</w:t>
      </w:r>
      <w:r w:rsidR="003C1BC0">
        <w:t>’</w:t>
      </w:r>
      <w:r>
        <w:t>ENQUÊTE</w:t>
      </w:r>
    </w:p>
    <w:p w14:paraId="1AAC4C1E" w14:textId="02CCB83D" w:rsidR="003C1BC0" w:rsidRDefault="004961A1" w:rsidP="005257A0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En juin 2021, le Secrétariat a diffusé la circulaire C.CWS.151 invitant les offices de propriété intellectuelle à particip</w:t>
      </w:r>
      <w:r w:rsidR="007630D5">
        <w:t>er</w:t>
      </w:r>
      <w:r>
        <w:t xml:space="preserve"> à une enquête sur l</w:t>
      </w:r>
      <w:r w:rsidR="003C1BC0">
        <w:t>’</w:t>
      </w:r>
      <w:r>
        <w:t>ordre de priorité des 40 recommandations relatives à la stratégie en matière de TIC et 27 offices ont répondu au questionnai</w:t>
      </w:r>
      <w:r w:rsidR="009F0633">
        <w:t>re.  De</w:t>
      </w:r>
      <w:r>
        <w:t>s réponses ont été reçues de 22 offices de la propriété intellectuelle des États membres suivants</w:t>
      </w:r>
      <w:r w:rsidR="003C1BC0">
        <w:t> :</w:t>
      </w:r>
      <w:r>
        <w:t xml:space="preserve"> Australie, Bahreïn, Bosnie</w:t>
      </w:r>
      <w:r w:rsidR="009F0633">
        <w:noBreakHyphen/>
      </w:r>
      <w:r>
        <w:t>Herzégovine, Canada, Chili, Équateur, Espagne, Estonie, États</w:t>
      </w:r>
      <w:r w:rsidR="009F0633">
        <w:noBreakHyphen/>
      </w:r>
      <w:r>
        <w:t>Unis d</w:t>
      </w:r>
      <w:r w:rsidR="003C1BC0">
        <w:t>’</w:t>
      </w:r>
      <w:r>
        <w:t>Amérique, Fédération de Russie, Hongrie, Italie, Japon, Mexique, Norvège, Nouvelle</w:t>
      </w:r>
      <w:r w:rsidR="009F0633">
        <w:noBreakHyphen/>
      </w:r>
      <w:r>
        <w:t>Zélande, Ouzbékistan, République tchèque, Royaume</w:t>
      </w:r>
      <w:r w:rsidR="009F0633">
        <w:noBreakHyphen/>
      </w:r>
      <w:r>
        <w:t>Uni, Slovaquie, Suède et Uruguay;  et des quatre offices régionaux suivants</w:t>
      </w:r>
      <w:r w:rsidR="003C1BC0">
        <w:t> :</w:t>
      </w:r>
      <w:r>
        <w:t xml:space="preserve"> l</w:t>
      </w:r>
      <w:r w:rsidR="003C1BC0">
        <w:t>’</w:t>
      </w:r>
      <w:r>
        <w:t>Office de l</w:t>
      </w:r>
      <w:r w:rsidR="003C1BC0">
        <w:t>’</w:t>
      </w:r>
      <w:r>
        <w:t>Union européenne pour la propriété intellectuelle (EUIPO), l</w:t>
      </w:r>
      <w:r w:rsidR="003C1BC0">
        <w:t>’</w:t>
      </w:r>
      <w:r>
        <w:t>Office des brevets du Conseil de coopération des États arabes du Golfe (Office des brevets</w:t>
      </w:r>
      <w:r w:rsidR="003C1BC0">
        <w:t xml:space="preserve"> du CCG</w:t>
      </w:r>
      <w:r>
        <w:t>), l</w:t>
      </w:r>
      <w:r w:rsidR="003C1BC0">
        <w:t>’</w:t>
      </w:r>
      <w:r>
        <w:t>Office européen des brevets (OEB) et l</w:t>
      </w:r>
      <w:r w:rsidR="003C1BC0">
        <w:t>’</w:t>
      </w:r>
      <w:r>
        <w:t xml:space="preserve">Organisation africaine de la propriété intellectuelle (OAPI);  et le Bureau international (PCT).  </w:t>
      </w:r>
      <w:r w:rsidR="00CE4859">
        <w:t>Les</w:t>
      </w:r>
      <w:r>
        <w:t xml:space="preserve"> réponses </w:t>
      </w:r>
      <w:r w:rsidR="00CE4859">
        <w:t xml:space="preserve">complètes </w:t>
      </w:r>
      <w:r>
        <w:t xml:space="preserve">au questionnaire </w:t>
      </w:r>
      <w:r w:rsidR="00CE4859">
        <w:t xml:space="preserve">sont </w:t>
      </w:r>
      <w:r w:rsidR="000153C3">
        <w:t>disponible</w:t>
      </w:r>
      <w:r w:rsidR="00CE4859">
        <w:t>s</w:t>
      </w:r>
      <w:r w:rsidR="000153C3">
        <w:t xml:space="preserve"> </w:t>
      </w:r>
      <w:r>
        <w:t>en annexe I du présent document.</w:t>
      </w:r>
    </w:p>
    <w:p w14:paraId="3CAF77F3" w14:textId="2312D85E" w:rsidR="005257A0" w:rsidRPr="005257A0" w:rsidRDefault="008A520D" w:rsidP="00CA5243">
      <w:pPr>
        <w:pStyle w:val="ONUMFS"/>
        <w:numPr>
          <w:ilvl w:val="0"/>
          <w:numId w:val="0"/>
        </w:numPr>
        <w:rPr>
          <w:sz w:val="20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Le tableau suivant indique le nombre de votes que chaque recommandation a reçu, classé selon la méthode Borda;  les recommandations sont réparties en catégories telles que décrites ci</w:t>
      </w:r>
      <w:r w:rsidR="009F0633">
        <w:noBreakHyphen/>
      </w:r>
      <w:r>
        <w:t>dessous (les recommandations surlignées en orange sont classées dans le groupe 3 mentionné au paragraphe 3 ci</w:t>
      </w:r>
      <w:r w:rsidR="009F0633">
        <w:noBreakHyphen/>
      </w:r>
      <w:r>
        <w:t>dessus et celles surlignées en vert sont classées comme prioritaires par l</w:t>
      </w:r>
      <w:r w:rsidR="003C1BC0">
        <w:t>’</w:t>
      </w:r>
      <w:r>
        <w:t>équipe d</w:t>
      </w:r>
      <w:r w:rsidR="003C1BC0">
        <w:t>’</w:t>
      </w:r>
      <w:r>
        <w:t>experts</w:t>
      </w:r>
      <w:r w:rsidR="00DE4643">
        <w:t>,</w:t>
      </w:r>
      <w:r>
        <w:t xml:space="preserve"> comme indiqué au paragraphe 4 ci</w:t>
      </w:r>
      <w:r w:rsidR="009F0633">
        <w:noBreakHyphen/>
      </w:r>
      <w:r>
        <w:t>dessus)</w:t>
      </w:r>
      <w:r w:rsidR="003C1BC0">
        <w:t> :</w:t>
      </w:r>
      <w:r>
        <w:br w:type="page"/>
      </w:r>
    </w:p>
    <w:tbl>
      <w:tblPr>
        <w:tblW w:w="7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4" w:type="dxa"/>
          <w:bottom w:w="29" w:type="dxa"/>
          <w:right w:w="144" w:type="dxa"/>
        </w:tblCellMar>
        <w:tblLook w:val="04A0" w:firstRow="1" w:lastRow="0" w:firstColumn="1" w:lastColumn="0" w:noHBand="0" w:noVBand="1"/>
      </w:tblPr>
      <w:tblGrid>
        <w:gridCol w:w="1967"/>
        <w:gridCol w:w="1322"/>
        <w:gridCol w:w="1633"/>
        <w:gridCol w:w="1344"/>
        <w:gridCol w:w="1300"/>
        <w:gridCol w:w="1211"/>
      </w:tblGrid>
      <w:tr w:rsidR="00AF5156" w:rsidRPr="005257A0" w14:paraId="7EADB069" w14:textId="115570D4" w:rsidTr="001F25AA">
        <w:trPr>
          <w:trHeight w:val="567"/>
        </w:trPr>
        <w:tc>
          <w:tcPr>
            <w:tcW w:w="1967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67C0CE6F" w14:textId="77777777" w:rsidR="00AF5156" w:rsidRPr="005257A0" w:rsidRDefault="00AF5156" w:rsidP="00AF5156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Numéro de la recommandation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6ABC7561" w14:textId="77777777" w:rsidR="00AF5156" w:rsidRPr="005257A0" w:rsidRDefault="00AF5156" w:rsidP="00AF5156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Votes Hautement prioritaire</w:t>
            </w:r>
          </w:p>
        </w:tc>
        <w:tc>
          <w:tcPr>
            <w:tcW w:w="1061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5AEFEA25" w14:textId="77777777" w:rsidR="00AF5156" w:rsidRPr="005257A0" w:rsidRDefault="00AF5156" w:rsidP="00AF5156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Votes Moyennement prioritaire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40F67A76" w14:textId="77777777" w:rsidR="00AF5156" w:rsidRPr="005257A0" w:rsidRDefault="00AF5156" w:rsidP="00AF5156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Votes Faiblement prioritaire</w:t>
            </w:r>
          </w:p>
        </w:tc>
        <w:tc>
          <w:tcPr>
            <w:tcW w:w="1300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4AC4E5B8" w14:textId="0CCE2ABA" w:rsidR="00AF5156" w:rsidRPr="005257A0" w:rsidRDefault="00AF5156" w:rsidP="00AF5156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Score Borda</w:t>
            </w:r>
          </w:p>
        </w:tc>
        <w:tc>
          <w:tcPr>
            <w:tcW w:w="154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5D63D40" w14:textId="445ED601" w:rsidR="00AF5156" w:rsidRPr="005257A0" w:rsidRDefault="00AF5156" w:rsidP="00AF5156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Catégorie</w:t>
            </w:r>
          </w:p>
        </w:tc>
      </w:tr>
      <w:tr w:rsidR="00AF5156" w:rsidRPr="005257A0" w14:paraId="2D1444F3" w14:textId="56F8779F" w:rsidTr="009663BC">
        <w:trPr>
          <w:trHeight w:val="283"/>
        </w:trPr>
        <w:tc>
          <w:tcPr>
            <w:tcW w:w="19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6855B3EA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R04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F6F1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0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5AB5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C5D1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CAA0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154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1F185" w14:textId="4B684A3E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color w:val="000000"/>
                <w:sz w:val="20"/>
              </w:rPr>
              <w:t>A</w:t>
            </w:r>
          </w:p>
        </w:tc>
      </w:tr>
      <w:tr w:rsidR="00AF5156" w:rsidRPr="005257A0" w14:paraId="532CFF92" w14:textId="6C6B3E3A" w:rsidTr="009663BC">
        <w:trPr>
          <w:trHeight w:val="283"/>
        </w:trPr>
        <w:tc>
          <w:tcPr>
            <w:tcW w:w="1967" w:type="dxa"/>
            <w:tcBorders>
              <w:top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7DA5FC9C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R07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E0CF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5405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1018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3F1C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F18C6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F5156" w:rsidRPr="005257A0" w14:paraId="53B11CC1" w14:textId="34A65EBD" w:rsidTr="009663BC">
        <w:trPr>
          <w:trHeight w:val="283"/>
        </w:trPr>
        <w:tc>
          <w:tcPr>
            <w:tcW w:w="1967" w:type="dxa"/>
            <w:shd w:val="clear" w:color="auto" w:fill="C2D69B" w:themeFill="accent3" w:themeFillTint="99"/>
            <w:noWrap/>
            <w:vAlign w:val="bottom"/>
            <w:hideMark/>
          </w:tcPr>
          <w:p w14:paraId="00555B2F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97D710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0D227B7A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E7A014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1847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4755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F5156" w:rsidRPr="005257A0" w14:paraId="29F891A9" w14:textId="5FF67D71" w:rsidTr="009663BC">
        <w:trPr>
          <w:trHeight w:val="283"/>
        </w:trPr>
        <w:tc>
          <w:tcPr>
            <w:tcW w:w="1967" w:type="dxa"/>
            <w:shd w:val="clear" w:color="auto" w:fill="F2F2F2" w:themeFill="background1" w:themeFillShade="F2"/>
            <w:noWrap/>
            <w:vAlign w:val="bottom"/>
            <w:hideMark/>
          </w:tcPr>
          <w:p w14:paraId="4CA90476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R05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0B1CEF5F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061" w:type="dxa"/>
            <w:shd w:val="clear" w:color="auto" w:fill="F2F2F2" w:themeFill="background1" w:themeFillShade="F2"/>
            <w:noWrap/>
            <w:vAlign w:val="bottom"/>
            <w:hideMark/>
          </w:tcPr>
          <w:p w14:paraId="7017D471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5D3DF773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D4ACF1F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3731BE" w14:textId="0E0E5AAE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color w:val="000000"/>
                <w:sz w:val="20"/>
              </w:rPr>
              <w:t>B</w:t>
            </w:r>
          </w:p>
        </w:tc>
      </w:tr>
      <w:tr w:rsidR="00AF5156" w:rsidRPr="005257A0" w14:paraId="673A89FA" w14:textId="767C09C1" w:rsidTr="009663BC">
        <w:trPr>
          <w:trHeight w:val="283"/>
        </w:trPr>
        <w:tc>
          <w:tcPr>
            <w:tcW w:w="1967" w:type="dxa"/>
            <w:shd w:val="clear" w:color="auto" w:fill="C2D69B" w:themeFill="accent3" w:themeFillTint="99"/>
            <w:noWrap/>
            <w:vAlign w:val="bottom"/>
            <w:hideMark/>
          </w:tcPr>
          <w:p w14:paraId="3FF8B91E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R06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43E27AA1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061" w:type="dxa"/>
            <w:shd w:val="clear" w:color="auto" w:fill="F2F2F2" w:themeFill="background1" w:themeFillShade="F2"/>
            <w:noWrap/>
            <w:vAlign w:val="bottom"/>
            <w:hideMark/>
          </w:tcPr>
          <w:p w14:paraId="62875E4F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7E39E525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18C497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8F391D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F5156" w:rsidRPr="005257A0" w14:paraId="4FCDBFBA" w14:textId="048EB4BA" w:rsidTr="009663BC">
        <w:trPr>
          <w:trHeight w:val="283"/>
        </w:trPr>
        <w:tc>
          <w:tcPr>
            <w:tcW w:w="1967" w:type="dxa"/>
            <w:shd w:val="clear" w:color="auto" w:fill="F2F2F2" w:themeFill="background1" w:themeFillShade="F2"/>
            <w:noWrap/>
            <w:vAlign w:val="bottom"/>
            <w:hideMark/>
          </w:tcPr>
          <w:p w14:paraId="4BCC33B5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R16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73E87234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061" w:type="dxa"/>
            <w:shd w:val="clear" w:color="auto" w:fill="F2F2F2" w:themeFill="background1" w:themeFillShade="F2"/>
            <w:noWrap/>
            <w:vAlign w:val="bottom"/>
            <w:hideMark/>
          </w:tcPr>
          <w:p w14:paraId="377231B9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32EA515C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401761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B7F6F8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F5156" w:rsidRPr="005257A0" w14:paraId="65875B98" w14:textId="398A7929" w:rsidTr="009663BC">
        <w:trPr>
          <w:trHeight w:val="283"/>
        </w:trPr>
        <w:tc>
          <w:tcPr>
            <w:tcW w:w="1967" w:type="dxa"/>
            <w:shd w:val="clear" w:color="auto" w:fill="F2F2F2" w:themeFill="background1" w:themeFillShade="F2"/>
            <w:noWrap/>
            <w:vAlign w:val="bottom"/>
            <w:hideMark/>
          </w:tcPr>
          <w:p w14:paraId="23411418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R02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12ACA82D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061" w:type="dxa"/>
            <w:shd w:val="clear" w:color="auto" w:fill="F2F2F2" w:themeFill="background1" w:themeFillShade="F2"/>
            <w:noWrap/>
            <w:vAlign w:val="bottom"/>
            <w:hideMark/>
          </w:tcPr>
          <w:p w14:paraId="04BC7675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4D190B25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CD5D76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56F77C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F5156" w:rsidRPr="005257A0" w14:paraId="2E292750" w14:textId="7360FE80" w:rsidTr="009663BC">
        <w:trPr>
          <w:trHeight w:val="283"/>
        </w:trPr>
        <w:tc>
          <w:tcPr>
            <w:tcW w:w="1967" w:type="dxa"/>
            <w:shd w:val="clear" w:color="auto" w:fill="F2F2F2" w:themeFill="background1" w:themeFillShade="F2"/>
            <w:noWrap/>
            <w:vAlign w:val="bottom"/>
            <w:hideMark/>
          </w:tcPr>
          <w:p w14:paraId="14D1CD5C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R27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4FBFEE8E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061" w:type="dxa"/>
            <w:shd w:val="clear" w:color="auto" w:fill="F2F2F2" w:themeFill="background1" w:themeFillShade="F2"/>
            <w:noWrap/>
            <w:vAlign w:val="bottom"/>
            <w:hideMark/>
          </w:tcPr>
          <w:p w14:paraId="112F96E7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69BCE32C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640539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06604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F5156" w:rsidRPr="005257A0" w14:paraId="34FCB5C6" w14:textId="6F26887C" w:rsidTr="009663BC">
        <w:trPr>
          <w:trHeight w:val="283"/>
        </w:trPr>
        <w:tc>
          <w:tcPr>
            <w:tcW w:w="1967" w:type="dxa"/>
            <w:shd w:val="clear" w:color="auto" w:fill="F2F2F2" w:themeFill="background1" w:themeFillShade="F2"/>
            <w:noWrap/>
            <w:vAlign w:val="bottom"/>
            <w:hideMark/>
          </w:tcPr>
          <w:p w14:paraId="7BD5E61A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R01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57E95C92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061" w:type="dxa"/>
            <w:shd w:val="clear" w:color="auto" w:fill="F2F2F2" w:themeFill="background1" w:themeFillShade="F2"/>
            <w:noWrap/>
            <w:vAlign w:val="bottom"/>
            <w:hideMark/>
          </w:tcPr>
          <w:p w14:paraId="2E9120E3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10A761C2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5E1949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4EDF94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F5156" w:rsidRPr="005257A0" w14:paraId="4D987086" w14:textId="50E40536" w:rsidTr="009663BC">
        <w:trPr>
          <w:trHeight w:val="283"/>
        </w:trPr>
        <w:tc>
          <w:tcPr>
            <w:tcW w:w="1967" w:type="dxa"/>
            <w:shd w:val="clear" w:color="auto" w:fill="F2F2F2" w:themeFill="background1" w:themeFillShade="F2"/>
            <w:noWrap/>
            <w:vAlign w:val="bottom"/>
            <w:hideMark/>
          </w:tcPr>
          <w:p w14:paraId="5DD645DF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R20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0043552E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061" w:type="dxa"/>
            <w:shd w:val="clear" w:color="auto" w:fill="F2F2F2" w:themeFill="background1" w:themeFillShade="F2"/>
            <w:noWrap/>
            <w:vAlign w:val="bottom"/>
            <w:hideMark/>
          </w:tcPr>
          <w:p w14:paraId="32277F08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30412E06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F8F756B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A8B74A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F5156" w:rsidRPr="005257A0" w14:paraId="1D22FF6F" w14:textId="218C8773" w:rsidTr="009663BC">
        <w:trPr>
          <w:trHeight w:val="283"/>
        </w:trPr>
        <w:tc>
          <w:tcPr>
            <w:tcW w:w="1967" w:type="dxa"/>
            <w:shd w:val="clear" w:color="auto" w:fill="F2F2F2" w:themeFill="background1" w:themeFillShade="F2"/>
            <w:noWrap/>
            <w:vAlign w:val="bottom"/>
            <w:hideMark/>
          </w:tcPr>
          <w:p w14:paraId="6C2198AC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R28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5FEAF013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061" w:type="dxa"/>
            <w:shd w:val="clear" w:color="auto" w:fill="F2F2F2" w:themeFill="background1" w:themeFillShade="F2"/>
            <w:noWrap/>
            <w:vAlign w:val="bottom"/>
            <w:hideMark/>
          </w:tcPr>
          <w:p w14:paraId="5308F0D4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190BCC62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AC9D7F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34FA08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F5156" w:rsidRPr="005257A0" w14:paraId="702A04D3" w14:textId="3668C1AD" w:rsidTr="009663BC">
        <w:trPr>
          <w:trHeight w:val="283"/>
        </w:trPr>
        <w:tc>
          <w:tcPr>
            <w:tcW w:w="1967" w:type="dxa"/>
            <w:shd w:val="clear" w:color="auto" w:fill="FABF8F" w:themeFill="accent6" w:themeFillTint="99"/>
            <w:noWrap/>
            <w:vAlign w:val="bottom"/>
            <w:hideMark/>
          </w:tcPr>
          <w:p w14:paraId="62AE072F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R40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49568950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061" w:type="dxa"/>
            <w:shd w:val="clear" w:color="auto" w:fill="F2F2F2" w:themeFill="background1" w:themeFillShade="F2"/>
            <w:noWrap/>
            <w:vAlign w:val="bottom"/>
            <w:hideMark/>
          </w:tcPr>
          <w:p w14:paraId="17DEA9D7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54266689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386FE8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DAC93C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F5156" w:rsidRPr="005257A0" w14:paraId="25E2046A" w14:textId="4366F643" w:rsidTr="009663BC">
        <w:trPr>
          <w:trHeight w:val="283"/>
        </w:trPr>
        <w:tc>
          <w:tcPr>
            <w:tcW w:w="1967" w:type="dxa"/>
            <w:shd w:val="clear" w:color="auto" w:fill="F2F2F2" w:themeFill="background1" w:themeFillShade="F2"/>
            <w:noWrap/>
            <w:vAlign w:val="bottom"/>
            <w:hideMark/>
          </w:tcPr>
          <w:p w14:paraId="170801EC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R19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293E8A89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061" w:type="dxa"/>
            <w:shd w:val="clear" w:color="auto" w:fill="F2F2F2" w:themeFill="background1" w:themeFillShade="F2"/>
            <w:noWrap/>
            <w:vAlign w:val="bottom"/>
            <w:hideMark/>
          </w:tcPr>
          <w:p w14:paraId="5F556E67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6B794DF1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AFFF4D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023EBB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F5156" w:rsidRPr="005257A0" w14:paraId="6F32FDE4" w14:textId="512D7655" w:rsidTr="009663BC">
        <w:trPr>
          <w:trHeight w:val="283"/>
        </w:trPr>
        <w:tc>
          <w:tcPr>
            <w:tcW w:w="1967" w:type="dxa"/>
            <w:shd w:val="clear" w:color="auto" w:fill="F2F2F2" w:themeFill="background1" w:themeFillShade="F2"/>
            <w:noWrap/>
            <w:vAlign w:val="bottom"/>
            <w:hideMark/>
          </w:tcPr>
          <w:p w14:paraId="6AD02F5F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R21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4FB639AF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061" w:type="dxa"/>
            <w:shd w:val="clear" w:color="auto" w:fill="F2F2F2" w:themeFill="background1" w:themeFillShade="F2"/>
            <w:noWrap/>
            <w:vAlign w:val="bottom"/>
            <w:hideMark/>
          </w:tcPr>
          <w:p w14:paraId="1CCFD740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6C818292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7B1074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217205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F5156" w:rsidRPr="005257A0" w14:paraId="68F6B575" w14:textId="16200D2D" w:rsidTr="009663BC">
        <w:trPr>
          <w:trHeight w:val="283"/>
        </w:trPr>
        <w:tc>
          <w:tcPr>
            <w:tcW w:w="1967" w:type="dxa"/>
            <w:shd w:val="clear" w:color="auto" w:fill="FABF8F" w:themeFill="accent6" w:themeFillTint="99"/>
            <w:noWrap/>
            <w:vAlign w:val="bottom"/>
            <w:hideMark/>
          </w:tcPr>
          <w:p w14:paraId="1243062C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R31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305080A8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061" w:type="dxa"/>
            <w:shd w:val="clear" w:color="auto" w:fill="F2F2F2" w:themeFill="background1" w:themeFillShade="F2"/>
            <w:noWrap/>
            <w:vAlign w:val="bottom"/>
            <w:hideMark/>
          </w:tcPr>
          <w:p w14:paraId="1B646920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7621BE06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83DE60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62547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F5156" w:rsidRPr="005257A0" w14:paraId="3C445EB2" w14:textId="0EF0FBE6" w:rsidTr="009663BC">
        <w:trPr>
          <w:trHeight w:val="283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14:paraId="5B9C2644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74D39A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6CE666B3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FEE43A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6103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C57A2" w14:textId="43579B98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C</w:t>
            </w:r>
          </w:p>
        </w:tc>
      </w:tr>
      <w:tr w:rsidR="00AF5156" w:rsidRPr="005257A0" w14:paraId="257C872F" w14:textId="64BABAB7" w:rsidTr="009663BC">
        <w:trPr>
          <w:trHeight w:val="283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14:paraId="25F1ABC1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56E3D4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776F1840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024017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A179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9E8A7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F5156" w:rsidRPr="005257A0" w14:paraId="4F595E9F" w14:textId="2D7F3745" w:rsidTr="009663BC">
        <w:trPr>
          <w:trHeight w:val="283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14:paraId="355AE307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C44BEC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57A18868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FAD85E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7F24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81B6D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F5156" w:rsidRPr="005257A0" w14:paraId="06A2818D" w14:textId="0EC0D168" w:rsidTr="009663BC">
        <w:trPr>
          <w:trHeight w:val="283"/>
        </w:trPr>
        <w:tc>
          <w:tcPr>
            <w:tcW w:w="1967" w:type="dxa"/>
            <w:shd w:val="clear" w:color="auto" w:fill="FABF8F" w:themeFill="accent6" w:themeFillTint="99"/>
            <w:noWrap/>
            <w:vAlign w:val="bottom"/>
            <w:hideMark/>
          </w:tcPr>
          <w:p w14:paraId="328FCBBC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87BA32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5EFEF444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EDC851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AFAE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E4E16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F5156" w:rsidRPr="005257A0" w14:paraId="5A1C1C9A" w14:textId="09766A87" w:rsidTr="009663BC">
        <w:trPr>
          <w:trHeight w:val="283"/>
        </w:trPr>
        <w:tc>
          <w:tcPr>
            <w:tcW w:w="1967" w:type="dxa"/>
            <w:shd w:val="clear" w:color="auto" w:fill="C2D69B" w:themeFill="accent3" w:themeFillTint="99"/>
            <w:noWrap/>
            <w:vAlign w:val="bottom"/>
            <w:hideMark/>
          </w:tcPr>
          <w:p w14:paraId="2350C1CF" w14:textId="77777777" w:rsidR="00AF5156" w:rsidRPr="00CA5243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highlight w:val="yellow"/>
              </w:rPr>
            </w:pPr>
            <w:r>
              <w:rPr>
                <w:color w:val="000000"/>
                <w:sz w:val="20"/>
              </w:rPr>
              <w:t>R09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27F5E4" w14:textId="77777777" w:rsidR="00AF5156" w:rsidRPr="00AF5156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541127E9" w14:textId="77777777" w:rsidR="00AF5156" w:rsidRPr="00AF5156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34E7B1" w14:textId="77777777" w:rsidR="00AF5156" w:rsidRPr="00AF5156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472B" w14:textId="77777777" w:rsidR="00AF5156" w:rsidRPr="00CA5243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highlight w:val="yellow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169ED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F5156" w:rsidRPr="005257A0" w14:paraId="6AC4A66F" w14:textId="48A97B5E" w:rsidTr="009663BC">
        <w:trPr>
          <w:trHeight w:val="283"/>
        </w:trPr>
        <w:tc>
          <w:tcPr>
            <w:tcW w:w="1967" w:type="dxa"/>
            <w:shd w:val="clear" w:color="auto" w:fill="FABF8F" w:themeFill="accent6" w:themeFillTint="99"/>
            <w:noWrap/>
            <w:vAlign w:val="bottom"/>
            <w:hideMark/>
          </w:tcPr>
          <w:p w14:paraId="038233F0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0F388F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23F98C89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911B4B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D693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EAFEC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F5156" w:rsidRPr="005257A0" w14:paraId="2569E400" w14:textId="67DFC45A" w:rsidTr="009663BC">
        <w:trPr>
          <w:trHeight w:val="283"/>
        </w:trPr>
        <w:tc>
          <w:tcPr>
            <w:tcW w:w="1967" w:type="dxa"/>
            <w:shd w:val="clear" w:color="auto" w:fill="C2D69B" w:themeFill="accent3" w:themeFillTint="99"/>
            <w:noWrap/>
            <w:vAlign w:val="bottom"/>
            <w:hideMark/>
          </w:tcPr>
          <w:p w14:paraId="1531D2C8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70100F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6D24DB46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FD05BD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007F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CA5D0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F5156" w:rsidRPr="005257A0" w14:paraId="631DE7B8" w14:textId="5EF1CC5D" w:rsidTr="009663BC">
        <w:trPr>
          <w:trHeight w:val="283"/>
        </w:trPr>
        <w:tc>
          <w:tcPr>
            <w:tcW w:w="1967" w:type="dxa"/>
            <w:shd w:val="clear" w:color="auto" w:fill="FABF8F" w:themeFill="accent6" w:themeFillTint="99"/>
            <w:noWrap/>
            <w:vAlign w:val="bottom"/>
            <w:hideMark/>
          </w:tcPr>
          <w:p w14:paraId="6A5CA200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BFB735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1BE46AF6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E818D7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AFCB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A07A3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F5156" w:rsidRPr="005257A0" w14:paraId="0E6AF101" w14:textId="36440215" w:rsidTr="009663BC">
        <w:trPr>
          <w:trHeight w:val="283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14:paraId="0D4F6A1E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A6C66F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2B175962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CCBBE6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4257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0C1DC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F5156" w:rsidRPr="005257A0" w14:paraId="36D79A95" w14:textId="1FE9F3C9" w:rsidTr="009663BC">
        <w:trPr>
          <w:trHeight w:val="283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14:paraId="37AC6E55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118AD8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550863BF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E78A27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C5FE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A17D8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F5156" w:rsidRPr="005257A0" w14:paraId="636821DB" w14:textId="68B1B1A7" w:rsidTr="009663BC">
        <w:trPr>
          <w:trHeight w:val="283"/>
        </w:trPr>
        <w:tc>
          <w:tcPr>
            <w:tcW w:w="1967" w:type="dxa"/>
            <w:shd w:val="clear" w:color="auto" w:fill="FFFFFF" w:themeFill="background1"/>
            <w:noWrap/>
            <w:vAlign w:val="bottom"/>
            <w:hideMark/>
          </w:tcPr>
          <w:p w14:paraId="085222F8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R22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52143997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61" w:type="dxa"/>
            <w:shd w:val="clear" w:color="auto" w:fill="FFFFFF" w:themeFill="background1"/>
            <w:noWrap/>
            <w:vAlign w:val="bottom"/>
            <w:hideMark/>
          </w:tcPr>
          <w:p w14:paraId="6CF24A37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  <w:hideMark/>
          </w:tcPr>
          <w:p w14:paraId="2616238E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5ED6ED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93B00" w14:textId="120C7014" w:rsidR="00AF5156" w:rsidRPr="00AF5156" w:rsidRDefault="00AF5156" w:rsidP="00AF5156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</w:tr>
      <w:tr w:rsidR="00AF5156" w:rsidRPr="005257A0" w14:paraId="36C80EE3" w14:textId="0B590EA0" w:rsidTr="009663BC">
        <w:trPr>
          <w:trHeight w:val="283"/>
        </w:trPr>
        <w:tc>
          <w:tcPr>
            <w:tcW w:w="1967" w:type="dxa"/>
            <w:shd w:val="clear" w:color="auto" w:fill="FABF8F" w:themeFill="accent6" w:themeFillTint="99"/>
            <w:noWrap/>
            <w:vAlign w:val="bottom"/>
            <w:hideMark/>
          </w:tcPr>
          <w:p w14:paraId="2CE7ADA5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R08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4EFD59AC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61" w:type="dxa"/>
            <w:shd w:val="clear" w:color="auto" w:fill="F2F2F2" w:themeFill="background1" w:themeFillShade="F2"/>
            <w:noWrap/>
            <w:vAlign w:val="bottom"/>
            <w:hideMark/>
          </w:tcPr>
          <w:p w14:paraId="6866074E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2D3323CA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F0B7CE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92B643" w14:textId="6A964B84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D</w:t>
            </w:r>
          </w:p>
        </w:tc>
      </w:tr>
      <w:tr w:rsidR="00AF5156" w:rsidRPr="005257A0" w14:paraId="5371184D" w14:textId="016713A4" w:rsidTr="009663BC">
        <w:trPr>
          <w:trHeight w:val="283"/>
        </w:trPr>
        <w:tc>
          <w:tcPr>
            <w:tcW w:w="1967" w:type="dxa"/>
            <w:shd w:val="clear" w:color="auto" w:fill="FABF8F" w:themeFill="accent6" w:themeFillTint="99"/>
            <w:noWrap/>
            <w:vAlign w:val="bottom"/>
            <w:hideMark/>
          </w:tcPr>
          <w:p w14:paraId="33EFE505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R03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1531C065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61" w:type="dxa"/>
            <w:shd w:val="clear" w:color="auto" w:fill="F2F2F2" w:themeFill="background1" w:themeFillShade="F2"/>
            <w:noWrap/>
            <w:vAlign w:val="bottom"/>
            <w:hideMark/>
          </w:tcPr>
          <w:p w14:paraId="30AE926C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343407C3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B1A851A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69323F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F5156" w:rsidRPr="005257A0" w14:paraId="30F8A9CB" w14:textId="60B99984" w:rsidTr="009663BC">
        <w:trPr>
          <w:trHeight w:val="283"/>
        </w:trPr>
        <w:tc>
          <w:tcPr>
            <w:tcW w:w="1967" w:type="dxa"/>
            <w:shd w:val="clear" w:color="auto" w:fill="F2F2F2" w:themeFill="background1" w:themeFillShade="F2"/>
            <w:noWrap/>
            <w:vAlign w:val="bottom"/>
            <w:hideMark/>
          </w:tcPr>
          <w:p w14:paraId="34BE245B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R25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7D857D7D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61" w:type="dxa"/>
            <w:shd w:val="clear" w:color="auto" w:fill="F2F2F2" w:themeFill="background1" w:themeFillShade="F2"/>
            <w:noWrap/>
            <w:vAlign w:val="bottom"/>
            <w:hideMark/>
          </w:tcPr>
          <w:p w14:paraId="052C1ABA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0809FDDB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5C7B73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434135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F5156" w:rsidRPr="005257A0" w14:paraId="75D2361F" w14:textId="6E296970" w:rsidTr="009663BC">
        <w:trPr>
          <w:trHeight w:val="283"/>
        </w:trPr>
        <w:tc>
          <w:tcPr>
            <w:tcW w:w="1967" w:type="dxa"/>
            <w:shd w:val="clear" w:color="auto" w:fill="C2D69B" w:themeFill="accent3" w:themeFillTint="99"/>
            <w:noWrap/>
            <w:vAlign w:val="bottom"/>
            <w:hideMark/>
          </w:tcPr>
          <w:p w14:paraId="4E96A15F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R12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03B99514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61" w:type="dxa"/>
            <w:shd w:val="clear" w:color="auto" w:fill="F2F2F2" w:themeFill="background1" w:themeFillShade="F2"/>
            <w:noWrap/>
            <w:vAlign w:val="bottom"/>
            <w:hideMark/>
          </w:tcPr>
          <w:p w14:paraId="0198D266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5ECC3406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F4A105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EF010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F5156" w:rsidRPr="005257A0" w14:paraId="0054AE44" w14:textId="490C71C0" w:rsidTr="009663BC">
        <w:trPr>
          <w:trHeight w:val="283"/>
        </w:trPr>
        <w:tc>
          <w:tcPr>
            <w:tcW w:w="1967" w:type="dxa"/>
            <w:shd w:val="clear" w:color="auto" w:fill="F2F2F2" w:themeFill="background1" w:themeFillShade="F2"/>
            <w:noWrap/>
            <w:vAlign w:val="bottom"/>
            <w:hideMark/>
          </w:tcPr>
          <w:p w14:paraId="1C734664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R13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0D601903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61" w:type="dxa"/>
            <w:shd w:val="clear" w:color="auto" w:fill="F2F2F2" w:themeFill="background1" w:themeFillShade="F2"/>
            <w:noWrap/>
            <w:vAlign w:val="bottom"/>
            <w:hideMark/>
          </w:tcPr>
          <w:p w14:paraId="3AAC41C9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7D64909C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60CB3A6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74A7B7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F5156" w:rsidRPr="005257A0" w14:paraId="360FF4DE" w14:textId="7F5316EE" w:rsidTr="009663BC">
        <w:trPr>
          <w:trHeight w:val="283"/>
        </w:trPr>
        <w:tc>
          <w:tcPr>
            <w:tcW w:w="1967" w:type="dxa"/>
            <w:shd w:val="clear" w:color="auto" w:fill="F2F2F2" w:themeFill="background1" w:themeFillShade="F2"/>
            <w:noWrap/>
            <w:vAlign w:val="bottom"/>
            <w:hideMark/>
          </w:tcPr>
          <w:p w14:paraId="4BAE1AB4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R35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7143477A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61" w:type="dxa"/>
            <w:shd w:val="clear" w:color="auto" w:fill="F2F2F2" w:themeFill="background1" w:themeFillShade="F2"/>
            <w:noWrap/>
            <w:vAlign w:val="bottom"/>
            <w:hideMark/>
          </w:tcPr>
          <w:p w14:paraId="3D1A049D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2A2FC717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F57ED9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A3A79E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F5156" w:rsidRPr="005257A0" w14:paraId="70D77A7F" w14:textId="6E621550" w:rsidTr="009663BC">
        <w:trPr>
          <w:trHeight w:val="283"/>
        </w:trPr>
        <w:tc>
          <w:tcPr>
            <w:tcW w:w="1967" w:type="dxa"/>
            <w:shd w:val="clear" w:color="auto" w:fill="C2D69B" w:themeFill="accent3" w:themeFillTint="99"/>
            <w:noWrap/>
            <w:vAlign w:val="bottom"/>
            <w:hideMark/>
          </w:tcPr>
          <w:p w14:paraId="1D31BEAB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R18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186C6DAE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61" w:type="dxa"/>
            <w:shd w:val="clear" w:color="auto" w:fill="F2F2F2" w:themeFill="background1" w:themeFillShade="F2"/>
            <w:noWrap/>
            <w:vAlign w:val="bottom"/>
            <w:hideMark/>
          </w:tcPr>
          <w:p w14:paraId="12B87199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48EAB5B3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F4979ED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D891C0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F5156" w:rsidRPr="005257A0" w14:paraId="24C08D84" w14:textId="665C5DF8" w:rsidTr="009663BC">
        <w:trPr>
          <w:trHeight w:val="283"/>
        </w:trPr>
        <w:tc>
          <w:tcPr>
            <w:tcW w:w="1967" w:type="dxa"/>
            <w:shd w:val="clear" w:color="auto" w:fill="F2F2F2" w:themeFill="background1" w:themeFillShade="F2"/>
            <w:noWrap/>
            <w:vAlign w:val="bottom"/>
            <w:hideMark/>
          </w:tcPr>
          <w:p w14:paraId="15834EA7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R26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696D2186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61" w:type="dxa"/>
            <w:shd w:val="clear" w:color="auto" w:fill="F2F2F2" w:themeFill="background1" w:themeFillShade="F2"/>
            <w:noWrap/>
            <w:vAlign w:val="bottom"/>
            <w:hideMark/>
          </w:tcPr>
          <w:p w14:paraId="1AAC0F1D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55CC818F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93235E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8DF087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F5156" w:rsidRPr="005257A0" w14:paraId="3032B297" w14:textId="60512111" w:rsidTr="009663BC">
        <w:trPr>
          <w:trHeight w:val="283"/>
        </w:trPr>
        <w:tc>
          <w:tcPr>
            <w:tcW w:w="1967" w:type="dxa"/>
            <w:shd w:val="clear" w:color="auto" w:fill="C2D69B" w:themeFill="accent3" w:themeFillTint="99"/>
            <w:noWrap/>
            <w:vAlign w:val="bottom"/>
            <w:hideMark/>
          </w:tcPr>
          <w:p w14:paraId="0A01B58E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R15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7E9ECFB0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61" w:type="dxa"/>
            <w:shd w:val="clear" w:color="auto" w:fill="F2F2F2" w:themeFill="background1" w:themeFillShade="F2"/>
            <w:noWrap/>
            <w:vAlign w:val="bottom"/>
            <w:hideMark/>
          </w:tcPr>
          <w:p w14:paraId="2D92A19A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6D4E64CA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7D7D09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6E6198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F5156" w:rsidRPr="005257A0" w14:paraId="6EDE7839" w14:textId="5CA2D00B" w:rsidTr="009663BC">
        <w:trPr>
          <w:trHeight w:val="283"/>
        </w:trPr>
        <w:tc>
          <w:tcPr>
            <w:tcW w:w="1967" w:type="dxa"/>
            <w:shd w:val="clear" w:color="auto" w:fill="F2F2F2" w:themeFill="background1" w:themeFillShade="F2"/>
            <w:noWrap/>
            <w:vAlign w:val="bottom"/>
            <w:hideMark/>
          </w:tcPr>
          <w:p w14:paraId="23FA091F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R17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4A3CC1ED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61" w:type="dxa"/>
            <w:shd w:val="clear" w:color="auto" w:fill="F2F2F2" w:themeFill="background1" w:themeFillShade="F2"/>
            <w:noWrap/>
            <w:vAlign w:val="bottom"/>
            <w:hideMark/>
          </w:tcPr>
          <w:p w14:paraId="17E88EDF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4FBDB875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5A4A3A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142F4D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F5156" w:rsidRPr="005257A0" w14:paraId="18F429B2" w14:textId="3A67A019" w:rsidTr="009663BC">
        <w:trPr>
          <w:trHeight w:val="283"/>
        </w:trPr>
        <w:tc>
          <w:tcPr>
            <w:tcW w:w="1967" w:type="dxa"/>
            <w:shd w:val="clear" w:color="auto" w:fill="F2F2F2" w:themeFill="background1" w:themeFillShade="F2"/>
            <w:noWrap/>
            <w:vAlign w:val="bottom"/>
            <w:hideMark/>
          </w:tcPr>
          <w:p w14:paraId="67B704C9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R36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733F8A61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61" w:type="dxa"/>
            <w:shd w:val="clear" w:color="auto" w:fill="F2F2F2" w:themeFill="background1" w:themeFillShade="F2"/>
            <w:noWrap/>
            <w:vAlign w:val="bottom"/>
            <w:hideMark/>
          </w:tcPr>
          <w:p w14:paraId="67AC92A3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62826A87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03DABCA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75B420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F5156" w:rsidRPr="005257A0" w14:paraId="11A2C17E" w14:textId="228C0FAF" w:rsidTr="009663BC">
        <w:trPr>
          <w:trHeight w:val="283"/>
        </w:trPr>
        <w:tc>
          <w:tcPr>
            <w:tcW w:w="1967" w:type="dxa"/>
            <w:shd w:val="clear" w:color="auto" w:fill="FABF8F" w:themeFill="accent6" w:themeFillTint="99"/>
            <w:noWrap/>
            <w:vAlign w:val="bottom"/>
            <w:hideMark/>
          </w:tcPr>
          <w:p w14:paraId="69F045D0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R24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41B32696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61" w:type="dxa"/>
            <w:shd w:val="clear" w:color="auto" w:fill="F2F2F2" w:themeFill="background1" w:themeFillShade="F2"/>
            <w:noWrap/>
            <w:vAlign w:val="bottom"/>
            <w:hideMark/>
          </w:tcPr>
          <w:p w14:paraId="10DC2329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bottom"/>
            <w:hideMark/>
          </w:tcPr>
          <w:p w14:paraId="683D8720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75CF69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42812A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F5156" w:rsidRPr="005257A0" w14:paraId="4ED65969" w14:textId="7C622B3B" w:rsidTr="009663BC">
        <w:trPr>
          <w:trHeight w:val="283"/>
        </w:trPr>
        <w:tc>
          <w:tcPr>
            <w:tcW w:w="1967" w:type="dxa"/>
            <w:shd w:val="clear" w:color="auto" w:fill="auto"/>
            <w:noWrap/>
            <w:vAlign w:val="bottom"/>
            <w:hideMark/>
          </w:tcPr>
          <w:p w14:paraId="2BE5CA27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8909AB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0944B440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C3A789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F3A9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163C1" w14:textId="5B8BB02D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color w:val="000000"/>
                <w:sz w:val="20"/>
              </w:rPr>
              <w:t>E</w:t>
            </w:r>
          </w:p>
        </w:tc>
      </w:tr>
      <w:tr w:rsidR="00AF5156" w:rsidRPr="005257A0" w14:paraId="315F4AAE" w14:textId="64FCBD8D" w:rsidTr="009663BC">
        <w:trPr>
          <w:trHeight w:val="283"/>
        </w:trPr>
        <w:tc>
          <w:tcPr>
            <w:tcW w:w="1967" w:type="dxa"/>
            <w:shd w:val="clear" w:color="auto" w:fill="C2D69B" w:themeFill="accent3" w:themeFillTint="99"/>
            <w:noWrap/>
            <w:vAlign w:val="bottom"/>
            <w:hideMark/>
          </w:tcPr>
          <w:p w14:paraId="1030E1C5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520720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61" w:type="dxa"/>
            <w:shd w:val="clear" w:color="auto" w:fill="auto"/>
            <w:noWrap/>
            <w:vAlign w:val="bottom"/>
            <w:hideMark/>
          </w:tcPr>
          <w:p w14:paraId="6BE8382E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C02995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101F" w14:textId="77777777" w:rsidR="00AF5156" w:rsidRPr="005257A0" w:rsidRDefault="00AF5156" w:rsidP="00AF5156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AD47" w14:textId="77777777" w:rsidR="00AF5156" w:rsidRDefault="00AF5156" w:rsidP="00AF515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14:paraId="2C3AC9B0" w14:textId="06CAA21B" w:rsidR="008A520D" w:rsidRDefault="008A520D" w:rsidP="005257A0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Afin de comparer les préférences pour chacune des recommandations, un score a été calculé au moyen de la méthode Borda, une méthode mathématique standard permettant de comparer la préférence accordée à des cho</w:t>
      </w:r>
      <w:r w:rsidR="009F0633">
        <w:t>ix.  La</w:t>
      </w:r>
      <w:r>
        <w:t xml:space="preserve"> méthode Borda utilisée ici attribue 3 points aux votes </w:t>
      </w:r>
      <w:r w:rsidR="003C1BC0">
        <w:t>“</w:t>
      </w:r>
      <w:r w:rsidR="00A659D5">
        <w:t>h</w:t>
      </w:r>
      <w:r>
        <w:t>autement prioritaire</w:t>
      </w:r>
      <w:r w:rsidR="003C1BC0">
        <w:t>”</w:t>
      </w:r>
      <w:r>
        <w:t xml:space="preserve">, 2 points aux votes </w:t>
      </w:r>
      <w:r w:rsidR="003C1BC0">
        <w:t>“</w:t>
      </w:r>
      <w:r w:rsidR="00A659D5">
        <w:t>m</w:t>
      </w:r>
      <w:r>
        <w:t>oyennement prioritaire</w:t>
      </w:r>
      <w:r w:rsidR="003C1BC0">
        <w:t>”</w:t>
      </w:r>
      <w:r>
        <w:t xml:space="preserve"> et un point aux votes </w:t>
      </w:r>
      <w:r w:rsidR="003C1BC0">
        <w:t>“</w:t>
      </w:r>
      <w:r w:rsidR="00A659D5">
        <w:t>f</w:t>
      </w:r>
      <w:r>
        <w:t>aiblement prioritaire</w:t>
      </w:r>
      <w:r w:rsidR="003C1BC0">
        <w:t>”</w:t>
      </w:r>
      <w:r>
        <w:t>.  Étant donné que l</w:t>
      </w:r>
      <w:r w:rsidR="003C1BC0">
        <w:t>’</w:t>
      </w:r>
      <w:r>
        <w:t>Équipe d</w:t>
      </w:r>
      <w:r w:rsidR="003C1BC0">
        <w:t>’</w:t>
      </w:r>
      <w:r>
        <w:t>experts chargée des normes relatives aux technologies de l</w:t>
      </w:r>
      <w:r w:rsidR="003C1BC0">
        <w:t>’</w:t>
      </w:r>
      <w:r>
        <w:t>information et de la communication dispose de ressources limitées et d</w:t>
      </w:r>
      <w:r w:rsidR="003C1BC0">
        <w:t>’</w:t>
      </w:r>
      <w:r>
        <w:t>un grand nombre de recommandations, il est logique de commencer par se concentrer sur les recommandations qui bénéficient du plus large soutien.</w:t>
      </w:r>
    </w:p>
    <w:p w14:paraId="785280F7" w14:textId="0B01B164" w:rsidR="003C1BC0" w:rsidRDefault="00542C43" w:rsidP="005257A0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Le tableau ci</w:t>
      </w:r>
      <w:r w:rsidR="009F0633">
        <w:noBreakHyphen/>
      </w:r>
      <w:r>
        <w:t>dessus trie les recommandations en fonction de leur score de Bor</w:t>
      </w:r>
      <w:r w:rsidR="009F0633">
        <w:t>da.  Le</w:t>
      </w:r>
      <w:r>
        <w:t xml:space="preserve">s recommandations ont ensuite été classées en catégories en fonction </w:t>
      </w:r>
      <w:r w:rsidR="00DE38CD">
        <w:t>de ce</w:t>
      </w:r>
      <w:r>
        <w:t xml:space="preserve"> sco</w:t>
      </w:r>
      <w:r w:rsidR="009F0633">
        <w:t>re.  La</w:t>
      </w:r>
      <w:r>
        <w:t xml:space="preserve"> catégorie A comprend des recommandations bénéficiant du niveau le plus élevé de soutien, qui se caractérise par un grand nombre de votes </w:t>
      </w:r>
      <w:r w:rsidR="003C1BC0">
        <w:t>“</w:t>
      </w:r>
      <w:r>
        <w:t>hautement prioritaire</w:t>
      </w:r>
      <w:r w:rsidR="003C1BC0">
        <w:t>”</w:t>
      </w:r>
      <w:r>
        <w:t xml:space="preserve"> et quasiment aucun vote </w:t>
      </w:r>
      <w:r w:rsidR="003C1BC0">
        <w:t>“</w:t>
      </w:r>
      <w:r>
        <w:t>faiblement prioritaire</w:t>
      </w:r>
      <w:r w:rsidR="003C1BC0">
        <w:t>”</w:t>
      </w:r>
      <w:r>
        <w:t>.  Les recommandations de la catégorie B bénéficient d</w:t>
      </w:r>
      <w:r w:rsidR="003C1BC0">
        <w:t>’</w:t>
      </w:r>
      <w:r>
        <w:t xml:space="preserve">un soutien modérément élevé, avec des votes </w:t>
      </w:r>
      <w:r w:rsidR="003C1BC0">
        <w:t>“</w:t>
      </w:r>
      <w:r>
        <w:t>hautement prioritaire</w:t>
      </w:r>
      <w:r w:rsidR="003C1BC0">
        <w:t>”</w:t>
      </w:r>
      <w:r>
        <w:t xml:space="preserve"> élevés, à deux chiffres, et un petit nombre de votes </w:t>
      </w:r>
      <w:r w:rsidR="003C1BC0">
        <w:t>“</w:t>
      </w:r>
      <w:r>
        <w:t>faiblement prioritaire</w:t>
      </w:r>
      <w:r w:rsidR="003C1BC0">
        <w:t>”</w:t>
      </w:r>
      <w:r>
        <w:t>.  Les recommandations de la catégorie C bénéficient d</w:t>
      </w:r>
      <w:r w:rsidR="003C1BC0">
        <w:t>’</w:t>
      </w:r>
      <w:r>
        <w:t xml:space="preserve">un soutien modéré, avec un nombre légèrement plus élevé ou égal de votes </w:t>
      </w:r>
      <w:r w:rsidR="003C1BC0">
        <w:t>“</w:t>
      </w:r>
      <w:r>
        <w:t>hautement prioritaire</w:t>
      </w:r>
      <w:r w:rsidR="003C1BC0">
        <w:t>”</w:t>
      </w:r>
      <w:r>
        <w:t xml:space="preserve"> par rapport aux votes </w:t>
      </w:r>
      <w:r w:rsidR="003C1BC0">
        <w:t>“</w:t>
      </w:r>
      <w:r>
        <w:t>faiblement prioritaire</w:t>
      </w:r>
      <w:r w:rsidR="003C1BC0">
        <w:t>”</w:t>
      </w:r>
      <w:r>
        <w:t>.  Les recommandations de la catégorie D bénéficient d</w:t>
      </w:r>
      <w:r w:rsidR="003C1BC0">
        <w:t>’</w:t>
      </w:r>
      <w:r>
        <w:t xml:space="preserve">un soutien mitigé, avec un grand nombre de votes </w:t>
      </w:r>
      <w:r w:rsidR="003C1BC0">
        <w:t>“</w:t>
      </w:r>
      <w:r>
        <w:t>moyennement prioritaire</w:t>
      </w:r>
      <w:r w:rsidR="003C1BC0">
        <w:t>”</w:t>
      </w:r>
      <w:r>
        <w:t xml:space="preserve">, mais généralement plus de votes </w:t>
      </w:r>
      <w:r w:rsidR="003C1BC0">
        <w:t>“</w:t>
      </w:r>
      <w:r>
        <w:t>faiblement prioritaire</w:t>
      </w:r>
      <w:r w:rsidR="003C1BC0">
        <w:t>”</w:t>
      </w:r>
      <w:r>
        <w:t xml:space="preserve"> que de votes </w:t>
      </w:r>
      <w:r w:rsidR="003C1BC0">
        <w:t>“</w:t>
      </w:r>
      <w:r>
        <w:t>hautement prioritaire</w:t>
      </w:r>
      <w:r w:rsidR="003C1BC0">
        <w:t>”</w:t>
      </w:r>
      <w:r>
        <w:t>.  Les recommandations de la catégorie E bénéficient d</w:t>
      </w:r>
      <w:r w:rsidR="003C1BC0">
        <w:t>’</w:t>
      </w:r>
      <w:r>
        <w:t xml:space="preserve">un soutien limité, avec un très petit nombre de votes </w:t>
      </w:r>
      <w:r w:rsidR="003C1BC0">
        <w:t>“</w:t>
      </w:r>
      <w:r>
        <w:t>hautement prioritaire</w:t>
      </w:r>
      <w:r w:rsidR="003C1BC0">
        <w:t>”</w:t>
      </w:r>
      <w:r>
        <w:t xml:space="preserve"> ou </w:t>
      </w:r>
      <w:r w:rsidR="003C1BC0">
        <w:t>“</w:t>
      </w:r>
      <w:r>
        <w:t>moyennement prioritaire</w:t>
      </w:r>
      <w:r w:rsidR="003C1BC0">
        <w:t>”</w:t>
      </w:r>
      <w:r>
        <w:t>.  Le texte complet des recommandations de chaque catégorie est indiqué en annexe II du présent document.</w:t>
      </w:r>
    </w:p>
    <w:p w14:paraId="61AC92A1" w14:textId="5EAAB843" w:rsidR="008C0FB3" w:rsidRDefault="00FD3E1A" w:rsidP="005257A0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Les catégories A et E sont parfaitement délimitées, avec des écarts </w:t>
      </w:r>
      <w:r w:rsidR="003C4A6A">
        <w:t xml:space="preserve">notables </w:t>
      </w:r>
      <w:r w:rsidR="005F632D">
        <w:t xml:space="preserve">de </w:t>
      </w:r>
      <w:r>
        <w:t>scor</w:t>
      </w:r>
      <w:r w:rsidR="009F0633">
        <w:t>es.  La</w:t>
      </w:r>
      <w:r>
        <w:t xml:space="preserve"> </w:t>
      </w:r>
      <w:r w:rsidR="0075001C">
        <w:t>dé</w:t>
      </w:r>
      <w:r w:rsidR="00156902">
        <w:t>limit</w:t>
      </w:r>
      <w:r w:rsidR="0075001C">
        <w:t>ation</w:t>
      </w:r>
      <w:r w:rsidR="00156902">
        <w:t xml:space="preserve"> </w:t>
      </w:r>
      <w:r>
        <w:t xml:space="preserve">entre les catégories C et D est bien </w:t>
      </w:r>
      <w:r w:rsidR="0015533E">
        <w:t xml:space="preserve">moins </w:t>
      </w:r>
      <w:r>
        <w:t>nette et il serait possible d</w:t>
      </w:r>
      <w:r w:rsidR="003C1BC0">
        <w:t>’</w:t>
      </w:r>
      <w:r>
        <w:t xml:space="preserve">ajuster cette </w:t>
      </w:r>
      <w:r w:rsidR="0075001C">
        <w:t xml:space="preserve">délimitation </w:t>
      </w:r>
      <w:r>
        <w:t>à la hausse ou à la baisse, de combiner les deux catégories ou d</w:t>
      </w:r>
      <w:r w:rsidR="003C1BC0">
        <w:t>’</w:t>
      </w:r>
      <w:r>
        <w:t>adopter d</w:t>
      </w:r>
      <w:r w:rsidR="003C1BC0">
        <w:t>’</w:t>
      </w:r>
      <w:r>
        <w:t>autres approch</w:t>
      </w:r>
      <w:r w:rsidR="009F0633">
        <w:t>es.  Qu</w:t>
      </w:r>
      <w:r>
        <w:t>oi qu</w:t>
      </w:r>
      <w:r w:rsidR="003C1BC0">
        <w:t>’</w:t>
      </w:r>
      <w:r>
        <w:t>il en soit, les différences entre</w:t>
      </w:r>
      <w:r w:rsidR="007D4E76">
        <w:t xml:space="preserve"> les catégories</w:t>
      </w:r>
      <w:r>
        <w:t> C et D peuvent être moins importantes que le simple fait de noter que de nombreux éléments des deux catégories bénéficient d</w:t>
      </w:r>
      <w:r w:rsidR="003C1BC0">
        <w:t>’</w:t>
      </w:r>
      <w:r>
        <w:t>un large soutien pour une priorité moyenne ou élevée.</w:t>
      </w:r>
    </w:p>
    <w:p w14:paraId="34820B72" w14:textId="7BF2A423" w:rsidR="00E160B0" w:rsidRPr="009A465A" w:rsidRDefault="000131EA" w:rsidP="005257A0">
      <w:pPr>
        <w:pStyle w:val="ONUMFS"/>
        <w:numPr>
          <w:ilvl w:val="0"/>
          <w:numId w:val="0"/>
        </w:numPr>
        <w:rPr>
          <w:szCs w:val="22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Il convient de noter que les offices participants avaient des interprétation</w:t>
      </w:r>
      <w:r w:rsidR="00CA1310">
        <w:t>s</w:t>
      </w:r>
      <w:r>
        <w:t xml:space="preserve"> différentes du questionnaire de l</w:t>
      </w:r>
      <w:r w:rsidR="003C1BC0">
        <w:t>’</w:t>
      </w:r>
      <w:r>
        <w:t>enquête et ont noté les recommandations selon des critères différen</w:t>
      </w:r>
      <w:r w:rsidR="009F0633">
        <w:t>ts.  Ce</w:t>
      </w:r>
      <w:r>
        <w:t xml:space="preserve">rtains offices ont accordé un vote </w:t>
      </w:r>
      <w:r w:rsidR="007430F2">
        <w:t xml:space="preserve">de faible </w:t>
      </w:r>
      <w:r>
        <w:t>priorité à une recommandation parce qu</w:t>
      </w:r>
      <w:r w:rsidR="003C1BC0">
        <w:t>’</w:t>
      </w:r>
      <w:r>
        <w:t>ils l</w:t>
      </w:r>
      <w:r w:rsidR="003C1BC0">
        <w:t>’</w:t>
      </w:r>
      <w:r>
        <w:t>avaient déjà mise en œuvre</w:t>
      </w:r>
      <w:r w:rsidR="00822EEE">
        <w:t>,</w:t>
      </w:r>
      <w:r>
        <w:t xml:space="preserve"> alors que d</w:t>
      </w:r>
      <w:r w:rsidR="003C1BC0">
        <w:t>’</w:t>
      </w:r>
      <w:r>
        <w:t>autres lui ont accordé une priorité élevée parce que cette recommandation demeurait importante pour e</w:t>
      </w:r>
      <w:r w:rsidR="009F0633">
        <w:t>ux.  En</w:t>
      </w:r>
      <w:r>
        <w:t xml:space="preserve"> outre, la priorité accordée était différente en fonction de l</w:t>
      </w:r>
      <w:r w:rsidR="003C1BC0">
        <w:t>’</w:t>
      </w:r>
      <w:r>
        <w:t>état d</w:t>
      </w:r>
      <w:r w:rsidR="003C1BC0">
        <w:t>’</w:t>
      </w:r>
      <w:r>
        <w:t>avancement de la numérisation au sein des offic</w:t>
      </w:r>
      <w:r w:rsidR="009F0633">
        <w:t>es.  Pa</w:t>
      </w:r>
      <w:r>
        <w:t>r exemple, la recommandation</w:t>
      </w:r>
      <w:r w:rsidR="009F0633">
        <w:t> </w:t>
      </w:r>
      <w:r>
        <w:t>R03 (</w:t>
      </w:r>
      <w:r w:rsidR="001F4FAC">
        <w:t xml:space="preserve">la </w:t>
      </w:r>
      <w:r>
        <w:t>collecte des fichiers rétrospectifs de données de propriété intellectuelle par la conversion ROC des données d</w:t>
      </w:r>
      <w:r w:rsidR="003C1BC0">
        <w:t>’</w:t>
      </w:r>
      <w:r>
        <w:t>image) était indiquée comme prioritaire par certains offices qui en sont aux premiers stades de la numérisation.</w:t>
      </w:r>
    </w:p>
    <w:p w14:paraId="5B153D69" w14:textId="709E8431" w:rsidR="003C1BC0" w:rsidRDefault="000131EA" w:rsidP="000131EA">
      <w:pPr>
        <w:pStyle w:val="ONUMFS"/>
        <w:numPr>
          <w:ilvl w:val="0"/>
          <w:numId w:val="0"/>
        </w:numPr>
      </w:pPr>
      <w:r w:rsidRPr="009A465A">
        <w:fldChar w:fldCharType="begin"/>
      </w:r>
      <w:r w:rsidRPr="009A465A">
        <w:instrText xml:space="preserve"> AUTONUM  </w:instrText>
      </w:r>
      <w:r w:rsidRPr="009A465A">
        <w:fldChar w:fldCharType="end"/>
      </w:r>
      <w:r>
        <w:tab/>
        <w:t>Le degré de priorité accordé à certaines recommandations varie en fonction du champ d</w:t>
      </w:r>
      <w:r w:rsidR="003C1BC0">
        <w:t>’</w:t>
      </w:r>
      <w:r>
        <w:t>activité des offices participant</w:t>
      </w:r>
      <w:r w:rsidR="00265A19">
        <w:t>s</w:t>
      </w:r>
      <w:r>
        <w:t xml:space="preserve">, certaines recommandations relatives aux activités de brevets, </w:t>
      </w:r>
      <w:r w:rsidR="00CB5735">
        <w:t>par exemple, n</w:t>
      </w:r>
      <w:r w:rsidR="003C1BC0">
        <w:t>’</w:t>
      </w:r>
      <w:r w:rsidR="00CB5735">
        <w:t xml:space="preserve">étant </w:t>
      </w:r>
      <w:r>
        <w:t>pas pertinentes pour les offices des marques tels que l</w:t>
      </w:r>
      <w:r w:rsidR="003C1BC0">
        <w:t>’</w:t>
      </w:r>
      <w:r>
        <w:t>EU</w:t>
      </w:r>
      <w:r w:rsidR="009F0633">
        <w:t>IPO.  Ce</w:t>
      </w:r>
      <w:r>
        <w:t>rtaines réponses n</w:t>
      </w:r>
      <w:r w:rsidR="003C1BC0">
        <w:t>’</w:t>
      </w:r>
      <w:r>
        <w:t>indiquaient pas de degré de priorité, mais consistaient en un commentaire visant à apporter des précisions ou à indiquer “non applicable”;  voir, p.</w:t>
      </w:r>
      <w:r w:rsidR="00410789">
        <w:t> </w:t>
      </w:r>
      <w:r>
        <w:t>ex., la réponse des États</w:t>
      </w:r>
      <w:r w:rsidR="009F0633">
        <w:noBreakHyphen/>
      </w:r>
      <w:r>
        <w:t>Unis d</w:t>
      </w:r>
      <w:r w:rsidR="003C1BC0">
        <w:t>’</w:t>
      </w:r>
      <w:r>
        <w:t>Amérique à la recommandation n° 14 et les réponses de l</w:t>
      </w:r>
      <w:r w:rsidR="003C1BC0">
        <w:t>’</w:t>
      </w:r>
      <w:r>
        <w:t>OEB et de la Nouvelle</w:t>
      </w:r>
      <w:r w:rsidR="009F0633">
        <w:noBreakHyphen/>
      </w:r>
      <w:r>
        <w:t>Zélande à la recommandation n° 32, respectivement.</w:t>
      </w:r>
    </w:p>
    <w:p w14:paraId="57E94270" w14:textId="35D30C11" w:rsidR="00E160B0" w:rsidRDefault="000131EA" w:rsidP="00E90061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Outre la notation, les offices participants ont communiqué des observations précieuses qui expliquent leur notation ou d</w:t>
      </w:r>
      <w:r w:rsidR="003C1BC0">
        <w:t>’</w:t>
      </w:r>
      <w:r>
        <w:t>autres informations pertinent</w:t>
      </w:r>
      <w:r w:rsidR="009F0633">
        <w:t>es.  Vo</w:t>
      </w:r>
      <w:r>
        <w:t xml:space="preserve">ici quelques observations </w:t>
      </w:r>
      <w:r w:rsidR="00684F2A">
        <w:t>marquante</w:t>
      </w:r>
      <w:r w:rsidR="00E86402">
        <w:t>s</w:t>
      </w:r>
      <w:r w:rsidR="003C1BC0">
        <w:t> :</w:t>
      </w:r>
    </w:p>
    <w:p w14:paraId="2AA6B481" w14:textId="63692A0B" w:rsidR="000131EA" w:rsidRDefault="00E160B0" w:rsidP="00C37457">
      <w:pPr>
        <w:pStyle w:val="ONUMFS"/>
        <w:numPr>
          <w:ilvl w:val="0"/>
          <w:numId w:val="10"/>
        </w:numPr>
        <w:ind w:left="1134" w:hanging="567"/>
      </w:pPr>
      <w:r>
        <w:t>Certains offices accordent un ordre de priorité partiel à une recommandation, comme dans la réponse de l</w:t>
      </w:r>
      <w:r w:rsidR="003C1BC0">
        <w:t>’</w:t>
      </w:r>
      <w:r>
        <w:t>OEB à la recommandation n° 4</w:t>
      </w:r>
      <w:r w:rsidR="003C1BC0">
        <w:t> :</w:t>
      </w:r>
      <w:r>
        <w:t xml:space="preserve"> élevée pour la première partie de la recommandation, mais faible pour ce qui est des outils communs.</w:t>
      </w:r>
    </w:p>
    <w:p w14:paraId="58678F54" w14:textId="29F8F3F1" w:rsidR="000131EA" w:rsidRPr="002D47FF" w:rsidRDefault="00D1556E" w:rsidP="00C37457">
      <w:pPr>
        <w:pStyle w:val="ONUMFS"/>
        <w:numPr>
          <w:ilvl w:val="0"/>
          <w:numId w:val="10"/>
        </w:numPr>
        <w:ind w:left="1134" w:hanging="567"/>
      </w:pPr>
      <w:r>
        <w:rPr>
          <w:sz w:val="21"/>
        </w:rPr>
        <w:t xml:space="preserve">Capacité du point de vue des ressources et des délais, </w:t>
      </w:r>
      <w:r w:rsidR="00E421A3">
        <w:rPr>
          <w:sz w:val="21"/>
        </w:rPr>
        <w:t xml:space="preserve">par exemple, </w:t>
      </w:r>
      <w:r>
        <w:rPr>
          <w:sz w:val="21"/>
        </w:rPr>
        <w:t xml:space="preserve">la </w:t>
      </w:r>
      <w:r w:rsidR="00E904AE">
        <w:rPr>
          <w:sz w:val="21"/>
        </w:rPr>
        <w:t xml:space="preserve">mise en œuvre </w:t>
      </w:r>
      <w:r>
        <w:rPr>
          <w:sz w:val="21"/>
        </w:rPr>
        <w:t>de la recommandation n° 3</w:t>
      </w:r>
      <w:r w:rsidR="00E421A3">
        <w:rPr>
          <w:sz w:val="21"/>
        </w:rPr>
        <w:t xml:space="preserve"> </w:t>
      </w:r>
      <w:r>
        <w:rPr>
          <w:sz w:val="21"/>
        </w:rPr>
        <w:t>nécessite des ressources et du temps.</w:t>
      </w:r>
    </w:p>
    <w:p w14:paraId="6A459A3D" w14:textId="53EF287F" w:rsidR="003C1BC0" w:rsidRDefault="000131EA" w:rsidP="00C37457">
      <w:pPr>
        <w:pStyle w:val="ONUMFS"/>
        <w:numPr>
          <w:ilvl w:val="0"/>
          <w:numId w:val="10"/>
        </w:numPr>
        <w:ind w:left="1134" w:hanging="567"/>
        <w:rPr>
          <w:sz w:val="21"/>
        </w:rPr>
      </w:pPr>
      <w:r>
        <w:rPr>
          <w:sz w:val="21"/>
        </w:rPr>
        <w:t>Maturité des outils communs ou pertinents</w:t>
      </w:r>
      <w:r w:rsidR="003C1BC0">
        <w:rPr>
          <w:sz w:val="21"/>
        </w:rPr>
        <w:t xml:space="preserve"> – </w:t>
      </w:r>
      <w:r>
        <w:rPr>
          <w:sz w:val="21"/>
        </w:rPr>
        <w:t>recommandation n° 5 et autres</w:t>
      </w:r>
      <w:r w:rsidR="003C1BC0">
        <w:rPr>
          <w:sz w:val="21"/>
        </w:rPr>
        <w:t> :</w:t>
      </w:r>
      <w:r>
        <w:rPr>
          <w:sz w:val="21"/>
        </w:rPr>
        <w:t xml:space="preserve"> Les recommandations sont tout à fait utiles, cependant certains offices ne disposent pas des outils technologiques nécessaires ou il peut exister des limitations, notamment des contraintes liées aux offices de propriété intellectuelle et des contraintes/limitations liées aux déposants.</w:t>
      </w:r>
    </w:p>
    <w:p w14:paraId="4C61031F" w14:textId="668A32C3" w:rsidR="00E160B0" w:rsidRDefault="000131EA" w:rsidP="00CA5243">
      <w:pPr>
        <w:spacing w:after="220"/>
      </w:pPr>
      <w:r w:rsidRPr="00CA5243">
        <w:fldChar w:fldCharType="begin"/>
      </w:r>
      <w:r w:rsidRPr="00CA5243">
        <w:instrText xml:space="preserve"> AUTONUM  </w:instrText>
      </w:r>
      <w:r w:rsidRPr="00CA5243">
        <w:fldChar w:fldCharType="end"/>
      </w:r>
      <w:r>
        <w:tab/>
        <w:t>Il convient de souligner que les résultats de cette enquête sont relativement différents des résultats de l</w:t>
      </w:r>
      <w:r w:rsidR="003C1BC0">
        <w:t>’</w:t>
      </w:r>
      <w:r>
        <w:t>enquête de l</w:t>
      </w:r>
      <w:r w:rsidR="003C1BC0">
        <w:t>’</w:t>
      </w:r>
      <w:r>
        <w:t>équipe d</w:t>
      </w:r>
      <w:r w:rsidR="003C1BC0">
        <w:t>’</w:t>
      </w:r>
      <w:r>
        <w:t>experts tels qu</w:t>
      </w:r>
      <w:r w:rsidR="003C1BC0">
        <w:t>’</w:t>
      </w:r>
      <w:r>
        <w:t>expliqués au paragraphe 4 ci</w:t>
      </w:r>
      <w:r w:rsidR="009F0633">
        <w:noBreakHyphen/>
      </w:r>
      <w:r>
        <w:t>dess</w:t>
      </w:r>
      <w:r w:rsidR="009F0633">
        <w:t>us.  Pa</w:t>
      </w:r>
      <w:r>
        <w:t>r exemple, la recommandation n° 38 était une recommandation prioritaire dans l</w:t>
      </w:r>
      <w:r w:rsidR="003C1BC0">
        <w:t>’</w:t>
      </w:r>
      <w:r>
        <w:t>enquête de l</w:t>
      </w:r>
      <w:r w:rsidR="003C1BC0">
        <w:t>’</w:t>
      </w:r>
      <w:r>
        <w:t>équipe d</w:t>
      </w:r>
      <w:r w:rsidR="003C1BC0">
        <w:t>’</w:t>
      </w:r>
      <w:r>
        <w:t>experts, mais elle entre dans la catégorie la moins prioritaire de cette enquête pour tous les offices de propriété intellectuelle.</w:t>
      </w:r>
    </w:p>
    <w:p w14:paraId="4976209C" w14:textId="1E310D7A" w:rsidR="003C1BC0" w:rsidRDefault="002671B3" w:rsidP="00885FDA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Il est proposé que l</w:t>
      </w:r>
      <w:r w:rsidR="003C1BC0">
        <w:t>’</w:t>
      </w:r>
      <w:r>
        <w:t>Équipe d</w:t>
      </w:r>
      <w:r w:rsidR="003C1BC0">
        <w:t>’</w:t>
      </w:r>
      <w:r>
        <w:t>experts chargée des normes relatives aux technologies de l</w:t>
      </w:r>
      <w:r w:rsidR="003C1BC0">
        <w:t>’</w:t>
      </w:r>
      <w:r>
        <w:t xml:space="preserve">information et de la communication soit invitée à élaborer une feuille de route stratégique pour examen par le CWS (voir les </w:t>
      </w:r>
      <w:r w:rsidR="003C1BC0">
        <w:t>paragraphes 1</w:t>
      </w:r>
      <w:r>
        <w:t>9 à 20 du document CWS/7/29) qui tiendra compte des résultats de l</w:t>
      </w:r>
      <w:r w:rsidR="003C1BC0">
        <w:t>’</w:t>
      </w:r>
      <w:r>
        <w:t>enquête et qu</w:t>
      </w:r>
      <w:r w:rsidR="003C1BC0">
        <w:t>’</w:t>
      </w:r>
      <w:r>
        <w:t>elle prenne en considération ces résultats lorsqu</w:t>
      </w:r>
      <w:r w:rsidR="003C1BC0">
        <w:t>’</w:t>
      </w:r>
      <w:r>
        <w:t>elle mettra à jour son programme de travail pour 2022.</w:t>
      </w:r>
    </w:p>
    <w:p w14:paraId="7282BA3A" w14:textId="77777777" w:rsidR="003C1BC0" w:rsidRDefault="00C80BFB" w:rsidP="00C80BFB">
      <w:pPr>
        <w:pStyle w:val="ONUMFS"/>
        <w:numPr>
          <w:ilvl w:val="0"/>
          <w:numId w:val="0"/>
        </w:numPr>
        <w:spacing w:after="120"/>
        <w:ind w:left="5530"/>
        <w:rPr>
          <w:i/>
        </w:rPr>
      </w:pPr>
      <w:r>
        <w:rPr>
          <w:i/>
        </w:rPr>
        <w:fldChar w:fldCharType="begin"/>
      </w:r>
      <w:r>
        <w:rPr>
          <w:i/>
        </w:rPr>
        <w:instrText xml:space="preserve"> AUTONUM  </w:instrText>
      </w:r>
      <w:r>
        <w:rPr>
          <w:i/>
        </w:rPr>
        <w:fldChar w:fldCharType="end"/>
      </w:r>
      <w:r>
        <w:tab/>
      </w:r>
      <w:r>
        <w:rPr>
          <w:i/>
          <w:iCs/>
        </w:rPr>
        <w:t>Le CWS est invité</w:t>
      </w:r>
    </w:p>
    <w:p w14:paraId="7A00D4DF" w14:textId="1080C5A2" w:rsidR="00C80BFB" w:rsidRDefault="00C80BFB" w:rsidP="00C80BFB">
      <w:pPr>
        <w:pStyle w:val="BodyText"/>
        <w:tabs>
          <w:tab w:val="left" w:pos="6160"/>
          <w:tab w:val="left" w:pos="6710"/>
        </w:tabs>
        <w:ind w:left="5530"/>
        <w:rPr>
          <w:i/>
        </w:rPr>
      </w:pPr>
      <w:r>
        <w:rPr>
          <w:i/>
        </w:rPr>
        <w:tab/>
        <w:t>a)</w:t>
      </w:r>
      <w:r>
        <w:rPr>
          <w:i/>
        </w:rPr>
        <w:tab/>
        <w:t>à prendre note du contenu du présent document et des réponses au questionnaire telles que reproduites en annexe I de ce document et présentées au paragraphe 6 ci</w:t>
      </w:r>
      <w:r w:rsidR="009F0633">
        <w:rPr>
          <w:i/>
        </w:rPr>
        <w:noBreakHyphen/>
      </w:r>
      <w:r>
        <w:rPr>
          <w:i/>
        </w:rPr>
        <w:t>dessus;  et</w:t>
      </w:r>
    </w:p>
    <w:p w14:paraId="0CF35CA3" w14:textId="79E19CA3" w:rsidR="00C80BFB" w:rsidRPr="00C80BFB" w:rsidRDefault="00C80BFB" w:rsidP="00C80BFB">
      <w:pPr>
        <w:pStyle w:val="BodyText"/>
        <w:tabs>
          <w:tab w:val="left" w:pos="6160"/>
          <w:tab w:val="left" w:pos="6710"/>
        </w:tabs>
        <w:ind w:left="5530"/>
        <w:rPr>
          <w:i/>
        </w:rPr>
      </w:pPr>
      <w:r>
        <w:rPr>
          <w:i/>
        </w:rPr>
        <w:tab/>
        <w:t>b)</w:t>
      </w:r>
      <w:r>
        <w:rPr>
          <w:i/>
        </w:rPr>
        <w:tab/>
        <w:t>à inviter l</w:t>
      </w:r>
      <w:r w:rsidR="003C1BC0">
        <w:rPr>
          <w:i/>
        </w:rPr>
        <w:t>’</w:t>
      </w:r>
      <w:r>
        <w:rPr>
          <w:i/>
        </w:rPr>
        <w:t>Équipe d</w:t>
      </w:r>
      <w:r w:rsidR="003C1BC0">
        <w:rPr>
          <w:i/>
        </w:rPr>
        <w:t>’</w:t>
      </w:r>
      <w:r>
        <w:rPr>
          <w:i/>
        </w:rPr>
        <w:t>experts à tenir compte des résultats lorsqu</w:t>
      </w:r>
      <w:r w:rsidR="003C1BC0">
        <w:rPr>
          <w:i/>
        </w:rPr>
        <w:t>’</w:t>
      </w:r>
      <w:r>
        <w:rPr>
          <w:i/>
        </w:rPr>
        <w:t>elle établira la feuille de route stratégique et son propre programme de travail, comme indiqué au paragraphe 15 ci</w:t>
      </w:r>
      <w:r w:rsidR="009F0633">
        <w:rPr>
          <w:i/>
        </w:rPr>
        <w:noBreakHyphen/>
      </w:r>
      <w:r>
        <w:rPr>
          <w:i/>
        </w:rPr>
        <w:t>dessus.</w:t>
      </w:r>
    </w:p>
    <w:p w14:paraId="3EBBF3A0" w14:textId="5CA97AFB" w:rsidR="002B0390" w:rsidRPr="002B0390" w:rsidRDefault="00C80BFB" w:rsidP="001660FF">
      <w:pPr>
        <w:pStyle w:val="Endofdocument"/>
        <w:spacing w:before="720"/>
      </w:pPr>
      <w:r>
        <w:t>[L</w:t>
      </w:r>
      <w:r w:rsidR="003C1BC0">
        <w:t>’</w:t>
      </w:r>
      <w:hyperlink r:id="rId10" w:history="1">
        <w:r w:rsidR="00C37457">
          <w:rPr>
            <w:rStyle w:val="Hyperlink"/>
          </w:rPr>
          <w:t>annexe I</w:t>
        </w:r>
      </w:hyperlink>
      <w:r>
        <w:t xml:space="preserve"> suit]</w:t>
      </w:r>
    </w:p>
    <w:sectPr w:rsidR="002B0390" w:rsidRPr="002B0390" w:rsidSect="003E1C82">
      <w:headerReference w:type="even" r:id="rId11"/>
      <w:headerReference w:type="default" r:id="rId12"/>
      <w:headerReference w:type="first" r:id="rId13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5E9BD" w14:textId="77777777" w:rsidR="009752D7" w:rsidRDefault="009752D7">
      <w:r>
        <w:separator/>
      </w:r>
    </w:p>
  </w:endnote>
  <w:endnote w:type="continuationSeparator" w:id="0">
    <w:p w14:paraId="59EE271C" w14:textId="77777777" w:rsidR="009752D7" w:rsidRDefault="009752D7" w:rsidP="003B38C1">
      <w:r>
        <w:separator/>
      </w:r>
    </w:p>
    <w:p w14:paraId="205F3B5C" w14:textId="77777777" w:rsidR="009752D7" w:rsidRPr="008A29DE" w:rsidRDefault="009752D7" w:rsidP="003B38C1">
      <w:pPr>
        <w:spacing w:after="60"/>
        <w:rPr>
          <w:sz w:val="17"/>
          <w:lang w:val="en-US"/>
        </w:rPr>
      </w:pPr>
      <w:r w:rsidRPr="008A29DE">
        <w:rPr>
          <w:sz w:val="17"/>
          <w:lang w:val="en-US"/>
        </w:rPr>
        <w:t>[Endnote continued from previous page]</w:t>
      </w:r>
    </w:p>
  </w:endnote>
  <w:endnote w:type="continuationNotice" w:id="1">
    <w:p w14:paraId="2264F2E4" w14:textId="77777777" w:rsidR="009752D7" w:rsidRPr="008A29DE" w:rsidRDefault="009752D7" w:rsidP="003B38C1">
      <w:pPr>
        <w:spacing w:before="60"/>
        <w:jc w:val="right"/>
        <w:rPr>
          <w:sz w:val="17"/>
          <w:szCs w:val="17"/>
          <w:lang w:val="en-US"/>
        </w:rPr>
      </w:pPr>
      <w:r w:rsidRPr="008A29DE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617F2" w14:textId="77777777" w:rsidR="009752D7" w:rsidRDefault="009752D7">
      <w:r>
        <w:separator/>
      </w:r>
    </w:p>
  </w:footnote>
  <w:footnote w:type="continuationSeparator" w:id="0">
    <w:p w14:paraId="79DDF039" w14:textId="77777777" w:rsidR="009752D7" w:rsidRDefault="009752D7" w:rsidP="008B60B2">
      <w:r>
        <w:separator/>
      </w:r>
    </w:p>
    <w:p w14:paraId="5255A2B5" w14:textId="77777777" w:rsidR="009752D7" w:rsidRPr="008A29DE" w:rsidRDefault="009752D7" w:rsidP="008B60B2">
      <w:pPr>
        <w:spacing w:after="60"/>
        <w:rPr>
          <w:sz w:val="17"/>
          <w:szCs w:val="17"/>
          <w:lang w:val="en-US"/>
        </w:rPr>
      </w:pPr>
      <w:r w:rsidRPr="008A29DE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2421B822" w14:textId="77777777" w:rsidR="009752D7" w:rsidRPr="008A29DE" w:rsidRDefault="009752D7" w:rsidP="008B60B2">
      <w:pPr>
        <w:spacing w:before="60"/>
        <w:jc w:val="right"/>
        <w:rPr>
          <w:sz w:val="17"/>
          <w:szCs w:val="17"/>
          <w:lang w:val="en-US"/>
        </w:rPr>
      </w:pPr>
      <w:r w:rsidRPr="008A29DE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E0DDA" w14:textId="77777777" w:rsidR="005361B4" w:rsidRDefault="00883283" w:rsidP="008A7401">
    <w:pPr>
      <w:pStyle w:val="Header"/>
      <w:jc w:val="right"/>
    </w:pPr>
    <w:r>
      <w:t>CWS/9/2</w:t>
    </w:r>
  </w:p>
  <w:p w14:paraId="3DE63E09" w14:textId="77777777" w:rsidR="005361B4" w:rsidRDefault="00883283" w:rsidP="00EE10E6">
    <w:pPr>
      <w:pStyle w:val="Header"/>
      <w:spacing w:after="360"/>
      <w:jc w:val="right"/>
    </w:pPr>
    <w:r>
      <w:t>Annexe II, page 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44E6B0F1" w14:textId="77777777" w:rsidR="005361B4" w:rsidRDefault="009752D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E79C6" w14:textId="77777777" w:rsidR="005361B4" w:rsidRDefault="00883283" w:rsidP="005354A4">
    <w:pPr>
      <w:pStyle w:val="Header"/>
      <w:jc w:val="right"/>
    </w:pPr>
    <w:r>
      <w:t>CWS/9/2</w:t>
    </w:r>
  </w:p>
  <w:p w14:paraId="69E2930B" w14:textId="6151BD11" w:rsidR="005361B4" w:rsidRDefault="00883283" w:rsidP="002B0390">
    <w:pPr>
      <w:pStyle w:val="Header"/>
      <w:spacing w:after="220"/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1660FF"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B5BD" w14:textId="51367EAC" w:rsidR="005361B4" w:rsidRDefault="009752D7" w:rsidP="001660FF">
    <w:pPr>
      <w:pStyle w:val="Header"/>
      <w:spacing w:after="480"/>
      <w:ind w:right="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B645761"/>
    <w:multiLevelType w:val="hybridMultilevel"/>
    <w:tmpl w:val="7EC00E38"/>
    <w:lvl w:ilvl="0" w:tplc="3DD463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8F753B"/>
    <w:multiLevelType w:val="hybridMultilevel"/>
    <w:tmpl w:val="600404BA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54D4E"/>
    <w:multiLevelType w:val="hybridMultilevel"/>
    <w:tmpl w:val="072C644E"/>
    <w:lvl w:ilvl="0" w:tplc="179AF1E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 w15:restartNumberingAfterBreak="0">
    <w:nsid w:val="7A9509AE"/>
    <w:multiLevelType w:val="hybridMultilevel"/>
    <w:tmpl w:val="1C822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0"/>
  </w:num>
  <w:num w:numId="8">
    <w:abstractNumId w:val="8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fr-CH" w:vendorID="64" w:dllVersion="131078" w:nlCheck="1" w:checkStyle="0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BFB"/>
    <w:rsid w:val="000131EA"/>
    <w:rsid w:val="000153C3"/>
    <w:rsid w:val="00020013"/>
    <w:rsid w:val="0002508B"/>
    <w:rsid w:val="00026BBB"/>
    <w:rsid w:val="0004107D"/>
    <w:rsid w:val="00043CAA"/>
    <w:rsid w:val="000467AF"/>
    <w:rsid w:val="00056816"/>
    <w:rsid w:val="00060BF8"/>
    <w:rsid w:val="00062DA1"/>
    <w:rsid w:val="0006433A"/>
    <w:rsid w:val="00075432"/>
    <w:rsid w:val="000968ED"/>
    <w:rsid w:val="000A0718"/>
    <w:rsid w:val="000A3D97"/>
    <w:rsid w:val="000B4A96"/>
    <w:rsid w:val="000F5E56"/>
    <w:rsid w:val="0013162E"/>
    <w:rsid w:val="001362EE"/>
    <w:rsid w:val="00137C26"/>
    <w:rsid w:val="0015533E"/>
    <w:rsid w:val="00155B72"/>
    <w:rsid w:val="00156902"/>
    <w:rsid w:val="0016293A"/>
    <w:rsid w:val="001647D5"/>
    <w:rsid w:val="001660FF"/>
    <w:rsid w:val="001805CF"/>
    <w:rsid w:val="001832A6"/>
    <w:rsid w:val="001934BB"/>
    <w:rsid w:val="001C479A"/>
    <w:rsid w:val="001D4107"/>
    <w:rsid w:val="001E3513"/>
    <w:rsid w:val="001F0330"/>
    <w:rsid w:val="001F25AA"/>
    <w:rsid w:val="001F4FAC"/>
    <w:rsid w:val="00203D24"/>
    <w:rsid w:val="00206410"/>
    <w:rsid w:val="0021217E"/>
    <w:rsid w:val="002326AB"/>
    <w:rsid w:val="0024191F"/>
    <w:rsid w:val="00243430"/>
    <w:rsid w:val="0025355C"/>
    <w:rsid w:val="002634C4"/>
    <w:rsid w:val="00265A19"/>
    <w:rsid w:val="002671B3"/>
    <w:rsid w:val="002928D3"/>
    <w:rsid w:val="00296701"/>
    <w:rsid w:val="002B0390"/>
    <w:rsid w:val="002B4CD6"/>
    <w:rsid w:val="002C56D0"/>
    <w:rsid w:val="002D3A4D"/>
    <w:rsid w:val="002D3FA2"/>
    <w:rsid w:val="002D47FF"/>
    <w:rsid w:val="002F1FE6"/>
    <w:rsid w:val="002F4E68"/>
    <w:rsid w:val="00312BB5"/>
    <w:rsid w:val="00312F7F"/>
    <w:rsid w:val="00342C04"/>
    <w:rsid w:val="00355ED8"/>
    <w:rsid w:val="00361450"/>
    <w:rsid w:val="003673CF"/>
    <w:rsid w:val="003845C1"/>
    <w:rsid w:val="003A6F89"/>
    <w:rsid w:val="003B38C1"/>
    <w:rsid w:val="003B3DEC"/>
    <w:rsid w:val="003C1BC0"/>
    <w:rsid w:val="003C34E9"/>
    <w:rsid w:val="003C4A6A"/>
    <w:rsid w:val="00410789"/>
    <w:rsid w:val="00423E3E"/>
    <w:rsid w:val="00427AF4"/>
    <w:rsid w:val="00435AC9"/>
    <w:rsid w:val="004647DA"/>
    <w:rsid w:val="00474062"/>
    <w:rsid w:val="00477D6B"/>
    <w:rsid w:val="004834BF"/>
    <w:rsid w:val="00492A08"/>
    <w:rsid w:val="00494B52"/>
    <w:rsid w:val="004956FD"/>
    <w:rsid w:val="004961A1"/>
    <w:rsid w:val="004F1586"/>
    <w:rsid w:val="005019FF"/>
    <w:rsid w:val="005257A0"/>
    <w:rsid w:val="0053057A"/>
    <w:rsid w:val="00542C43"/>
    <w:rsid w:val="00556076"/>
    <w:rsid w:val="00560A29"/>
    <w:rsid w:val="005A72B3"/>
    <w:rsid w:val="005C5857"/>
    <w:rsid w:val="005C6649"/>
    <w:rsid w:val="005E45A3"/>
    <w:rsid w:val="005F632D"/>
    <w:rsid w:val="00605827"/>
    <w:rsid w:val="006404F2"/>
    <w:rsid w:val="00646050"/>
    <w:rsid w:val="006713CA"/>
    <w:rsid w:val="00676C5C"/>
    <w:rsid w:val="00684F2A"/>
    <w:rsid w:val="00696961"/>
    <w:rsid w:val="006A179F"/>
    <w:rsid w:val="006F6FA4"/>
    <w:rsid w:val="00700C39"/>
    <w:rsid w:val="00704783"/>
    <w:rsid w:val="00720EFD"/>
    <w:rsid w:val="0073304F"/>
    <w:rsid w:val="007430F2"/>
    <w:rsid w:val="0075001C"/>
    <w:rsid w:val="00751DF8"/>
    <w:rsid w:val="007630D5"/>
    <w:rsid w:val="00771CDD"/>
    <w:rsid w:val="0077623A"/>
    <w:rsid w:val="00784D70"/>
    <w:rsid w:val="007854AF"/>
    <w:rsid w:val="00793A7C"/>
    <w:rsid w:val="007A398A"/>
    <w:rsid w:val="007D1613"/>
    <w:rsid w:val="007D4E76"/>
    <w:rsid w:val="007E4C0E"/>
    <w:rsid w:val="007E771B"/>
    <w:rsid w:val="00822EEE"/>
    <w:rsid w:val="00831585"/>
    <w:rsid w:val="0084002A"/>
    <w:rsid w:val="00844C29"/>
    <w:rsid w:val="00846CF6"/>
    <w:rsid w:val="008630B2"/>
    <w:rsid w:val="00883283"/>
    <w:rsid w:val="00885FDA"/>
    <w:rsid w:val="008A134B"/>
    <w:rsid w:val="008A29DE"/>
    <w:rsid w:val="008A520D"/>
    <w:rsid w:val="008B2CC1"/>
    <w:rsid w:val="008B60B2"/>
    <w:rsid w:val="008C0FB3"/>
    <w:rsid w:val="008E4337"/>
    <w:rsid w:val="0090731E"/>
    <w:rsid w:val="00916EE2"/>
    <w:rsid w:val="009663BC"/>
    <w:rsid w:val="00966A22"/>
    <w:rsid w:val="0096722F"/>
    <w:rsid w:val="009752D7"/>
    <w:rsid w:val="00980843"/>
    <w:rsid w:val="009865DF"/>
    <w:rsid w:val="00993282"/>
    <w:rsid w:val="009A465A"/>
    <w:rsid w:val="009E2791"/>
    <w:rsid w:val="009E3F6F"/>
    <w:rsid w:val="009F0633"/>
    <w:rsid w:val="009F499F"/>
    <w:rsid w:val="00A02BF3"/>
    <w:rsid w:val="00A22E9D"/>
    <w:rsid w:val="00A37342"/>
    <w:rsid w:val="00A42DAF"/>
    <w:rsid w:val="00A45BD8"/>
    <w:rsid w:val="00A470D0"/>
    <w:rsid w:val="00A659D5"/>
    <w:rsid w:val="00A74414"/>
    <w:rsid w:val="00A80473"/>
    <w:rsid w:val="00A82961"/>
    <w:rsid w:val="00A869B7"/>
    <w:rsid w:val="00A90F0A"/>
    <w:rsid w:val="00AC205C"/>
    <w:rsid w:val="00AE2096"/>
    <w:rsid w:val="00AE2CB6"/>
    <w:rsid w:val="00AF0A6B"/>
    <w:rsid w:val="00AF5156"/>
    <w:rsid w:val="00B05A69"/>
    <w:rsid w:val="00B05D4F"/>
    <w:rsid w:val="00B355B6"/>
    <w:rsid w:val="00B50108"/>
    <w:rsid w:val="00B75281"/>
    <w:rsid w:val="00B92F1F"/>
    <w:rsid w:val="00B95E28"/>
    <w:rsid w:val="00B9734B"/>
    <w:rsid w:val="00BA30E2"/>
    <w:rsid w:val="00BC06B4"/>
    <w:rsid w:val="00C04FA9"/>
    <w:rsid w:val="00C11BFE"/>
    <w:rsid w:val="00C15725"/>
    <w:rsid w:val="00C37457"/>
    <w:rsid w:val="00C44CFF"/>
    <w:rsid w:val="00C5068F"/>
    <w:rsid w:val="00C80BFB"/>
    <w:rsid w:val="00C86D74"/>
    <w:rsid w:val="00CA1310"/>
    <w:rsid w:val="00CA5243"/>
    <w:rsid w:val="00CB5735"/>
    <w:rsid w:val="00CD04F1"/>
    <w:rsid w:val="00CD7A73"/>
    <w:rsid w:val="00CE4859"/>
    <w:rsid w:val="00CF21B9"/>
    <w:rsid w:val="00CF681A"/>
    <w:rsid w:val="00D07C78"/>
    <w:rsid w:val="00D11DA9"/>
    <w:rsid w:val="00D1556E"/>
    <w:rsid w:val="00D33039"/>
    <w:rsid w:val="00D45252"/>
    <w:rsid w:val="00D53A49"/>
    <w:rsid w:val="00D71B4D"/>
    <w:rsid w:val="00D772BE"/>
    <w:rsid w:val="00D93D55"/>
    <w:rsid w:val="00D94568"/>
    <w:rsid w:val="00DA51C5"/>
    <w:rsid w:val="00DC5C62"/>
    <w:rsid w:val="00DD7B7F"/>
    <w:rsid w:val="00DE38CD"/>
    <w:rsid w:val="00DE4643"/>
    <w:rsid w:val="00DE7B0D"/>
    <w:rsid w:val="00E01029"/>
    <w:rsid w:val="00E15015"/>
    <w:rsid w:val="00E160B0"/>
    <w:rsid w:val="00E335FE"/>
    <w:rsid w:val="00E421A3"/>
    <w:rsid w:val="00E45755"/>
    <w:rsid w:val="00E50B06"/>
    <w:rsid w:val="00E55A68"/>
    <w:rsid w:val="00E609AD"/>
    <w:rsid w:val="00E86402"/>
    <w:rsid w:val="00E90061"/>
    <w:rsid w:val="00E904AE"/>
    <w:rsid w:val="00EA7D6E"/>
    <w:rsid w:val="00EB001C"/>
    <w:rsid w:val="00EB2F76"/>
    <w:rsid w:val="00EC4A7B"/>
    <w:rsid w:val="00EC4E49"/>
    <w:rsid w:val="00ED77FB"/>
    <w:rsid w:val="00EE45FA"/>
    <w:rsid w:val="00F043DE"/>
    <w:rsid w:val="00F07B6D"/>
    <w:rsid w:val="00F11735"/>
    <w:rsid w:val="00F66152"/>
    <w:rsid w:val="00F87DA9"/>
    <w:rsid w:val="00F9165B"/>
    <w:rsid w:val="00FB06FE"/>
    <w:rsid w:val="00FC482F"/>
    <w:rsid w:val="00FD3E1A"/>
    <w:rsid w:val="00FD64FC"/>
    <w:rsid w:val="00FF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116555"/>
  <w15:docId w15:val="{AE25D4A3-C9E7-4E32-B284-89DBB7A7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C80BFB"/>
    <w:rPr>
      <w:rFonts w:ascii="Arial" w:eastAsia="SimSun" w:hAnsi="Arial" w:cs="Arial"/>
      <w:bCs/>
      <w:iCs/>
      <w:caps/>
      <w:sz w:val="22"/>
      <w:szCs w:val="28"/>
      <w:lang w:val="fr-FR" w:eastAsia="zh-CN"/>
    </w:rPr>
  </w:style>
  <w:style w:type="paragraph" w:customStyle="1" w:styleId="Endofdocument">
    <w:name w:val="End of document"/>
    <w:basedOn w:val="Normal"/>
    <w:rsid w:val="00C80BFB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80BFB"/>
    <w:rPr>
      <w:rFonts w:ascii="Arial" w:eastAsia="SimSun" w:hAnsi="Arial" w:cs="Arial"/>
      <w:sz w:val="22"/>
      <w:lang w:val="fr-FR" w:eastAsia="zh-CN"/>
    </w:rPr>
  </w:style>
  <w:style w:type="character" w:styleId="Hyperlink">
    <w:name w:val="Hyperlink"/>
    <w:uiPriority w:val="99"/>
    <w:unhideWhenUsed/>
    <w:rsid w:val="002671B3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E160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60B0"/>
    <w:rPr>
      <w:rFonts w:ascii="Segoe UI" w:eastAsia="SimSun" w:hAnsi="Segoe UI" w:cs="Segoe UI"/>
      <w:sz w:val="18"/>
      <w:szCs w:val="18"/>
      <w:lang w:val="fr-FR" w:eastAsia="zh-CN"/>
    </w:rPr>
  </w:style>
  <w:style w:type="character" w:styleId="CommentReference">
    <w:name w:val="annotation reference"/>
    <w:basedOn w:val="DefaultParagraphFont"/>
    <w:semiHidden/>
    <w:unhideWhenUsed/>
    <w:rsid w:val="00435AC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35AC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35AC9"/>
    <w:rPr>
      <w:rFonts w:ascii="Arial" w:eastAsia="SimSun" w:hAnsi="Arial" w:cs="Arial"/>
      <w:sz w:val="18"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435AC9"/>
    <w:rPr>
      <w:rFonts w:ascii="Arial" w:eastAsia="SimSun" w:hAnsi="Arial" w:cs="Arial"/>
      <w:b/>
      <w:bCs/>
      <w:sz w:val="18"/>
      <w:lang w:val="fr-FR" w:eastAsia="zh-CN"/>
    </w:rPr>
  </w:style>
  <w:style w:type="character" w:styleId="FollowedHyperlink">
    <w:name w:val="FollowedHyperlink"/>
    <w:basedOn w:val="DefaultParagraphFont"/>
    <w:semiHidden/>
    <w:unhideWhenUsed/>
    <w:rsid w:val="00CF21B9"/>
    <w:rPr>
      <w:color w:val="800080" w:themeColor="followedHyperlink"/>
      <w:u w:val="single"/>
    </w:rPr>
  </w:style>
  <w:style w:type="paragraph" w:styleId="Title">
    <w:name w:val="Title"/>
    <w:basedOn w:val="Heading1"/>
    <w:next w:val="Normal"/>
    <w:link w:val="TitleChar"/>
    <w:qFormat/>
    <w:rsid w:val="003C1BC0"/>
    <w:pPr>
      <w:spacing w:before="0" w:after="480"/>
    </w:pPr>
    <w:rPr>
      <w:rFonts w:eastAsiaTheme="majorEastAsia" w:cstheme="majorBidi"/>
      <w:spacing w:val="-10"/>
      <w:kern w:val="28"/>
      <w:sz w:val="28"/>
      <w:szCs w:val="56"/>
      <w:lang w:val="fr-CH"/>
    </w:rPr>
  </w:style>
  <w:style w:type="character" w:customStyle="1" w:styleId="TitleChar">
    <w:name w:val="Title Char"/>
    <w:basedOn w:val="DefaultParagraphFont"/>
    <w:link w:val="Title"/>
    <w:rsid w:val="003C1BC0"/>
    <w:rPr>
      <w:rFonts w:ascii="Arial" w:eastAsiaTheme="majorEastAsia" w:hAnsi="Arial" w:cstheme="majorBidi"/>
      <w:b/>
      <w:bCs/>
      <w:caps/>
      <w:spacing w:val="-10"/>
      <w:kern w:val="28"/>
      <w:sz w:val="28"/>
      <w:szCs w:val="56"/>
      <w:lang w:val="fr-CH" w:eastAsia="zh-CN"/>
    </w:rPr>
  </w:style>
  <w:style w:type="character" w:customStyle="1" w:styleId="HeaderChar">
    <w:name w:val="Header Char"/>
    <w:basedOn w:val="DefaultParagraphFont"/>
    <w:link w:val="Header"/>
    <w:rsid w:val="00062DA1"/>
    <w:rPr>
      <w:rFonts w:ascii="Arial" w:eastAsia="SimSun" w:hAnsi="Arial" w:cs="Arial"/>
      <w:sz w:val="22"/>
      <w:lang w:eastAsia="zh-CN"/>
    </w:rPr>
  </w:style>
  <w:style w:type="character" w:customStyle="1" w:styleId="Heading3Char">
    <w:name w:val="Heading 3 Char"/>
    <w:basedOn w:val="DefaultParagraphFont"/>
    <w:link w:val="Heading3"/>
    <w:rsid w:val="002B0390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1Char">
    <w:name w:val="Heading 1 Char"/>
    <w:basedOn w:val="DefaultParagraphFont"/>
    <w:link w:val="Heading1"/>
    <w:rsid w:val="002B0390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FooterChar">
    <w:name w:val="Footer Char"/>
    <w:basedOn w:val="DefaultParagraphFont"/>
    <w:link w:val="Footer"/>
    <w:rsid w:val="002B0390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ipo.int/edocs/mdocs/cws/en/cws_9/cws_9_2-annexi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fr/doc_details.jsp?doc_id=41557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E18ED-450D-4DB3-B750-F77B8D3F7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1982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CWS/9/2</vt:lpstr>
    </vt:vector>
  </TitlesOfParts>
  <Company>WIPO</Company>
  <LinksUpToDate>false</LinksUpToDate>
  <CharactersWithSpaces>13254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CWS/9/2</dc:title>
  <dc:subject>Publication of the survey results on the priority to 40 Recommendations on ICT Strategies</dc:subject>
  <dc:creator>WIPO</dc:creator>
  <cp:keywords>FOR OFFICIAL USE ONLY</cp:keywords>
  <cp:lastModifiedBy>CHAVAS Louison</cp:lastModifiedBy>
  <cp:revision>2</cp:revision>
  <cp:lastPrinted>2021-10-05T13:46:00Z</cp:lastPrinted>
  <dcterms:created xsi:type="dcterms:W3CDTF">2021-10-21T11:52:00Z</dcterms:created>
  <dcterms:modified xsi:type="dcterms:W3CDTF">2021-10-21T11:52:00Z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9653e34d-849a-4bec-8164-c22227624800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