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B773" w14:textId="605CC8BF" w:rsidR="008B2CC1" w:rsidRPr="00CD2562" w:rsidRDefault="008645A6" w:rsidP="00846CF6">
      <w:pPr>
        <w:pBdr>
          <w:bottom w:val="single" w:sz="4" w:space="11" w:color="auto"/>
        </w:pBdr>
        <w:spacing w:after="120"/>
        <w:jc w:val="right"/>
        <w:rPr>
          <w:b/>
          <w:sz w:val="32"/>
          <w:szCs w:val="40"/>
          <w:lang w:val="fr-FR"/>
        </w:rPr>
      </w:pPr>
      <w:r w:rsidRPr="00CD2562">
        <w:rPr>
          <w:noProof/>
          <w:lang w:eastAsia="en-US"/>
        </w:rPr>
        <w:drawing>
          <wp:inline distT="0" distB="0" distL="0" distR="0" wp14:anchorId="321281A9" wp14:editId="0B050F5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0F278A7A" w14:textId="7E0345B0" w:rsidR="008B2CC1" w:rsidRPr="00CD2562" w:rsidRDefault="00846CF6" w:rsidP="00EB2F76">
      <w:pPr>
        <w:jc w:val="right"/>
        <w:rPr>
          <w:rFonts w:ascii="Arial Black" w:hAnsi="Arial Black"/>
          <w:caps/>
          <w:sz w:val="15"/>
          <w:szCs w:val="15"/>
          <w:lang w:val="fr-FR"/>
        </w:rPr>
      </w:pPr>
      <w:r w:rsidRPr="00CD2562">
        <w:rPr>
          <w:rFonts w:ascii="Arial Black" w:hAnsi="Arial Black"/>
          <w:caps/>
          <w:sz w:val="15"/>
          <w:szCs w:val="15"/>
          <w:lang w:val="fr-FR"/>
        </w:rPr>
        <w:t>CW</w:t>
      </w:r>
      <w:r w:rsidR="00743620">
        <w:rPr>
          <w:rFonts w:ascii="Arial Black" w:hAnsi="Arial Black"/>
          <w:caps/>
          <w:sz w:val="15"/>
          <w:szCs w:val="15"/>
          <w:lang w:val="fr-FR"/>
        </w:rPr>
        <w:t>S</w:t>
      </w:r>
      <w:r w:rsidRPr="00CD2562">
        <w:rPr>
          <w:rFonts w:ascii="Arial Black" w:hAnsi="Arial Black"/>
          <w:caps/>
          <w:sz w:val="15"/>
          <w:szCs w:val="15"/>
          <w:lang w:val="fr-FR"/>
        </w:rPr>
        <w:t>/9/</w:t>
      </w:r>
      <w:bookmarkStart w:id="0" w:name="Code"/>
      <w:bookmarkEnd w:id="0"/>
      <w:r w:rsidR="0098135E" w:rsidRPr="00CD2562">
        <w:rPr>
          <w:rFonts w:ascii="Arial Black" w:hAnsi="Arial Black"/>
          <w:caps/>
          <w:sz w:val="15"/>
          <w:szCs w:val="15"/>
          <w:lang w:val="fr-FR"/>
        </w:rPr>
        <w:t>18</w:t>
      </w:r>
    </w:p>
    <w:p w14:paraId="7AF819AC" w14:textId="0A4F4F16" w:rsidR="008B2CC1" w:rsidRPr="00CD2562" w:rsidRDefault="00EB2F76" w:rsidP="00EB2F76">
      <w:pPr>
        <w:jc w:val="right"/>
        <w:rPr>
          <w:rFonts w:ascii="Arial Black" w:hAnsi="Arial Black"/>
          <w:caps/>
          <w:sz w:val="15"/>
          <w:szCs w:val="15"/>
          <w:lang w:val="fr-FR"/>
        </w:rPr>
      </w:pPr>
      <w:r w:rsidRPr="00CD2562">
        <w:rPr>
          <w:rFonts w:ascii="Arial Black" w:hAnsi="Arial Black"/>
          <w:caps/>
          <w:sz w:val="15"/>
          <w:szCs w:val="15"/>
          <w:lang w:val="fr-FR"/>
        </w:rPr>
        <w:t>ORIGINAL</w:t>
      </w:r>
      <w:r w:rsidR="00837637" w:rsidRPr="00CD2562">
        <w:rPr>
          <w:rFonts w:ascii="Arial Black" w:hAnsi="Arial Black"/>
          <w:caps/>
          <w:sz w:val="15"/>
          <w:szCs w:val="15"/>
          <w:lang w:val="fr-FR"/>
        </w:rPr>
        <w:t> :</w:t>
      </w:r>
      <w:r w:rsidRPr="00CD2562">
        <w:rPr>
          <w:rFonts w:ascii="Arial Black" w:hAnsi="Arial Black"/>
          <w:caps/>
          <w:sz w:val="15"/>
          <w:szCs w:val="15"/>
          <w:lang w:val="fr-FR"/>
        </w:rPr>
        <w:t xml:space="preserve"> </w:t>
      </w:r>
      <w:bookmarkStart w:id="1" w:name="Original"/>
      <w:r w:rsidR="008645A6" w:rsidRPr="00CD2562">
        <w:rPr>
          <w:rFonts w:ascii="Arial Black" w:hAnsi="Arial Black"/>
          <w:caps/>
          <w:sz w:val="15"/>
          <w:szCs w:val="15"/>
          <w:lang w:val="fr-FR"/>
        </w:rPr>
        <w:t>anglais</w:t>
      </w:r>
    </w:p>
    <w:bookmarkEnd w:id="1"/>
    <w:p w14:paraId="1AFDD3E6" w14:textId="668B9553" w:rsidR="008B2CC1" w:rsidRPr="00CD2562" w:rsidRDefault="00EB2F76" w:rsidP="000A3D97">
      <w:pPr>
        <w:spacing w:after="1200"/>
        <w:jc w:val="right"/>
        <w:rPr>
          <w:rFonts w:ascii="Arial Black" w:hAnsi="Arial Black"/>
          <w:caps/>
          <w:sz w:val="15"/>
          <w:szCs w:val="15"/>
          <w:lang w:val="fr-FR"/>
        </w:rPr>
      </w:pPr>
      <w:r w:rsidRPr="00CD2562">
        <w:rPr>
          <w:rFonts w:ascii="Arial Black" w:hAnsi="Arial Black"/>
          <w:caps/>
          <w:sz w:val="15"/>
          <w:szCs w:val="15"/>
          <w:lang w:val="fr-FR"/>
        </w:rPr>
        <w:t>DATE</w:t>
      </w:r>
      <w:r w:rsidR="00837637" w:rsidRPr="00CD2562">
        <w:rPr>
          <w:rFonts w:ascii="Arial Black" w:hAnsi="Arial Black"/>
          <w:caps/>
          <w:sz w:val="15"/>
          <w:szCs w:val="15"/>
          <w:lang w:val="fr-FR"/>
        </w:rPr>
        <w:t> :</w:t>
      </w:r>
      <w:r w:rsidRPr="00CD2562">
        <w:rPr>
          <w:rFonts w:ascii="Arial Black" w:hAnsi="Arial Black"/>
          <w:caps/>
          <w:sz w:val="15"/>
          <w:szCs w:val="15"/>
          <w:lang w:val="fr-FR"/>
        </w:rPr>
        <w:t xml:space="preserve"> </w:t>
      </w:r>
      <w:bookmarkStart w:id="2" w:name="Date"/>
      <w:r w:rsidR="00A36324" w:rsidRPr="00CD2562">
        <w:rPr>
          <w:rFonts w:ascii="Arial Black" w:hAnsi="Arial Black"/>
          <w:caps/>
          <w:sz w:val="15"/>
          <w:szCs w:val="15"/>
          <w:lang w:val="fr-FR"/>
        </w:rPr>
        <w:t>23</w:t>
      </w:r>
      <w:r w:rsidR="008645A6" w:rsidRPr="00CD2562">
        <w:rPr>
          <w:rFonts w:ascii="Arial Black" w:hAnsi="Arial Black"/>
          <w:caps/>
          <w:sz w:val="15"/>
          <w:szCs w:val="15"/>
          <w:lang w:val="fr-FR"/>
        </w:rPr>
        <w:t> septembre </w:t>
      </w:r>
      <w:r w:rsidR="00D80CC9" w:rsidRPr="00CD2562">
        <w:rPr>
          <w:rFonts w:ascii="Arial Black" w:hAnsi="Arial Black"/>
          <w:caps/>
          <w:sz w:val="15"/>
          <w:szCs w:val="15"/>
          <w:lang w:val="fr-FR"/>
        </w:rPr>
        <w:t>2021</w:t>
      </w:r>
    </w:p>
    <w:bookmarkEnd w:id="2"/>
    <w:p w14:paraId="16B6CE23" w14:textId="48761D09" w:rsidR="008B2CC1" w:rsidRPr="00CD2562" w:rsidRDefault="00E14ACB" w:rsidP="007F2ED7">
      <w:pPr>
        <w:pStyle w:val="Title"/>
      </w:pPr>
      <w:r w:rsidRPr="00CD2562">
        <w:t>Comité des normes de l</w:t>
      </w:r>
      <w:r w:rsidR="00837637" w:rsidRPr="00CD2562">
        <w:t>’</w:t>
      </w:r>
      <w:r w:rsidRPr="00CD2562">
        <w:t xml:space="preserve">OMPI </w:t>
      </w:r>
      <w:r w:rsidR="00E45755" w:rsidRPr="00CD2562">
        <w:t>(CWS)</w:t>
      </w:r>
    </w:p>
    <w:p w14:paraId="7E0ED54D" w14:textId="2F07D4BB" w:rsidR="00E45755" w:rsidRPr="00CD2562" w:rsidRDefault="00E14ACB" w:rsidP="00E45755">
      <w:pPr>
        <w:outlineLvl w:val="1"/>
        <w:rPr>
          <w:b/>
          <w:sz w:val="24"/>
          <w:szCs w:val="24"/>
          <w:lang w:val="fr-FR"/>
        </w:rPr>
      </w:pPr>
      <w:r w:rsidRPr="00CD2562">
        <w:rPr>
          <w:b/>
          <w:sz w:val="24"/>
          <w:szCs w:val="24"/>
          <w:lang w:val="fr-FR"/>
        </w:rPr>
        <w:t>Neuv</w:t>
      </w:r>
      <w:r w:rsidR="00837637" w:rsidRPr="00CD2562">
        <w:rPr>
          <w:b/>
          <w:sz w:val="24"/>
          <w:szCs w:val="24"/>
          <w:lang w:val="fr-FR"/>
        </w:rPr>
        <w:t>ième session</w:t>
      </w:r>
    </w:p>
    <w:p w14:paraId="1A19DAD8" w14:textId="2782275E" w:rsidR="008B2CC1" w:rsidRPr="00CD2562" w:rsidRDefault="00E14ACB" w:rsidP="00F9165B">
      <w:pPr>
        <w:spacing w:after="720"/>
        <w:outlineLvl w:val="1"/>
        <w:rPr>
          <w:b/>
          <w:sz w:val="24"/>
          <w:szCs w:val="24"/>
          <w:lang w:val="fr-FR"/>
        </w:rPr>
      </w:pPr>
      <w:r w:rsidRPr="00CD2562">
        <w:rPr>
          <w:b/>
          <w:sz w:val="24"/>
          <w:szCs w:val="24"/>
          <w:lang w:val="fr-FR"/>
        </w:rPr>
        <w:t>Genève,</w:t>
      </w:r>
      <w:r w:rsidR="00837637" w:rsidRPr="00CD2562">
        <w:rPr>
          <w:b/>
          <w:sz w:val="24"/>
          <w:szCs w:val="24"/>
          <w:lang w:val="fr-FR"/>
        </w:rPr>
        <w:t xml:space="preserve"> 1</w:t>
      </w:r>
      <w:r w:rsidR="00837637" w:rsidRPr="00CD2562">
        <w:rPr>
          <w:b/>
          <w:sz w:val="24"/>
          <w:szCs w:val="24"/>
          <w:vertAlign w:val="superscript"/>
          <w:lang w:val="fr-FR"/>
        </w:rPr>
        <w:t>er</w:t>
      </w:r>
      <w:r w:rsidR="00837637" w:rsidRPr="00CD2562">
        <w:rPr>
          <w:b/>
          <w:sz w:val="24"/>
          <w:szCs w:val="24"/>
          <w:lang w:val="fr-FR"/>
        </w:rPr>
        <w:t> </w:t>
      </w:r>
      <w:r w:rsidRPr="00CD2562">
        <w:rPr>
          <w:b/>
          <w:sz w:val="24"/>
          <w:szCs w:val="24"/>
          <w:lang w:val="fr-FR"/>
        </w:rPr>
        <w:t>– 5 novembre 2021</w:t>
      </w:r>
    </w:p>
    <w:p w14:paraId="6CED4B49" w14:textId="44DD5C42" w:rsidR="008B2CC1" w:rsidRPr="00CD2562" w:rsidRDefault="00E14ACB" w:rsidP="00DD7B7F">
      <w:pPr>
        <w:spacing w:after="360"/>
        <w:outlineLvl w:val="0"/>
        <w:rPr>
          <w:caps/>
          <w:sz w:val="24"/>
          <w:lang w:val="fr-FR"/>
        </w:rPr>
      </w:pPr>
      <w:bookmarkStart w:id="3" w:name="TitleOfDoc"/>
      <w:r w:rsidRPr="00CD2562">
        <w:rPr>
          <w:caps/>
          <w:sz w:val="24"/>
          <w:lang w:val="fr-FR"/>
        </w:rPr>
        <w:t>Proposition d</w:t>
      </w:r>
      <w:r w:rsidR="00837637" w:rsidRPr="00CD2562">
        <w:rPr>
          <w:caps/>
          <w:sz w:val="24"/>
          <w:lang w:val="fr-FR"/>
        </w:rPr>
        <w:t>’</w:t>
      </w:r>
      <w:r w:rsidRPr="00CD2562">
        <w:rPr>
          <w:caps/>
          <w:sz w:val="24"/>
          <w:lang w:val="fr-FR"/>
        </w:rPr>
        <w:t>amélioration des rapports techniques annuels</w:t>
      </w:r>
    </w:p>
    <w:p w14:paraId="666E1FE9" w14:textId="5BF904FA" w:rsidR="002928D3" w:rsidRPr="00CD2562" w:rsidRDefault="00D80CC9" w:rsidP="001D4107">
      <w:pPr>
        <w:spacing w:after="1040"/>
        <w:rPr>
          <w:i/>
          <w:lang w:val="fr-FR"/>
        </w:rPr>
      </w:pPr>
      <w:bookmarkStart w:id="4" w:name="Prepared"/>
      <w:bookmarkEnd w:id="3"/>
      <w:bookmarkEnd w:id="4"/>
      <w:r w:rsidRPr="00CD2562">
        <w:rPr>
          <w:i/>
          <w:lang w:val="fr-FR"/>
        </w:rPr>
        <w:t xml:space="preserve">Document </w:t>
      </w:r>
      <w:r w:rsidR="00E14ACB" w:rsidRPr="00CD2562">
        <w:rPr>
          <w:i/>
          <w:lang w:val="fr-FR"/>
        </w:rPr>
        <w:t>établi par le Bureau international</w:t>
      </w:r>
    </w:p>
    <w:p w14:paraId="29CB192B" w14:textId="7142B614" w:rsidR="00D80CC9" w:rsidRPr="00CD2562" w:rsidRDefault="009B23C7" w:rsidP="009B23C7">
      <w:pPr>
        <w:pStyle w:val="Heading2"/>
        <w:rPr>
          <w:lang w:val="fr-FR"/>
        </w:rPr>
      </w:pPr>
      <w:r w:rsidRPr="00CD2562">
        <w:rPr>
          <w:lang w:val="fr-FR"/>
        </w:rPr>
        <w:t>Rappel</w:t>
      </w:r>
    </w:p>
    <w:p w14:paraId="6F915332" w14:textId="687EF7EE" w:rsidR="00D80CC9" w:rsidRPr="00CD2562" w:rsidRDefault="00E14ACB" w:rsidP="009B23C7">
      <w:pPr>
        <w:pStyle w:val="ONUMFS"/>
        <w:rPr>
          <w:lang w:val="fr-FR"/>
        </w:rPr>
      </w:pPr>
      <w:r w:rsidRPr="00CD2562">
        <w:rPr>
          <w:lang w:val="fr-FR"/>
        </w:rPr>
        <w:t>À sa sept</w:t>
      </w:r>
      <w:r w:rsidR="00837637" w:rsidRPr="00CD2562">
        <w:rPr>
          <w:lang w:val="fr-FR"/>
        </w:rPr>
        <w:t>ième session</w:t>
      </w:r>
      <w:r w:rsidR="00D80CC9" w:rsidRPr="00CD2562">
        <w:rPr>
          <w:lang w:val="fr-FR"/>
        </w:rPr>
        <w:t xml:space="preserve"> </w:t>
      </w:r>
      <w:r w:rsidRPr="00CD2562">
        <w:rPr>
          <w:lang w:val="fr-FR"/>
        </w:rPr>
        <w:t xml:space="preserve">tenue </w:t>
      </w:r>
      <w:r w:rsidR="00837637" w:rsidRPr="00CD2562">
        <w:rPr>
          <w:lang w:val="fr-FR"/>
        </w:rPr>
        <w:t>en 2019</w:t>
      </w:r>
      <w:r w:rsidR="00D80CC9" w:rsidRPr="00CD2562">
        <w:rPr>
          <w:lang w:val="fr-FR"/>
        </w:rPr>
        <w:t>,</w:t>
      </w:r>
      <w:r w:rsidR="00837637" w:rsidRPr="00CD2562">
        <w:rPr>
          <w:lang w:val="fr-FR"/>
        </w:rPr>
        <w:t xml:space="preserve"> le CWS</w:t>
      </w:r>
      <w:r w:rsidR="00E72584" w:rsidRPr="00CD2562">
        <w:rPr>
          <w:lang w:val="fr-FR"/>
        </w:rPr>
        <w:t xml:space="preserve"> </w:t>
      </w:r>
      <w:r w:rsidRPr="00CD2562">
        <w:rPr>
          <w:lang w:val="fr-FR"/>
        </w:rPr>
        <w:t>a noté une baisse d</w:t>
      </w:r>
      <w:r w:rsidR="00CE3137" w:rsidRPr="00CD2562">
        <w:rPr>
          <w:lang w:val="fr-FR"/>
        </w:rPr>
        <w:t>u</w:t>
      </w:r>
      <w:r w:rsidRPr="00CD2562">
        <w:rPr>
          <w:lang w:val="fr-FR"/>
        </w:rPr>
        <w:t xml:space="preserve"> taux de participation des offices de propriété i</w:t>
      </w:r>
      <w:r w:rsidR="00A80953" w:rsidRPr="00CD2562">
        <w:rPr>
          <w:lang w:val="fr-FR"/>
        </w:rPr>
        <w:t>ntellectu</w:t>
      </w:r>
      <w:r w:rsidRPr="00CD2562">
        <w:rPr>
          <w:lang w:val="fr-FR"/>
        </w:rPr>
        <w:t xml:space="preserve">elle </w:t>
      </w:r>
      <w:r w:rsidR="00F97675" w:rsidRPr="00CD2562">
        <w:rPr>
          <w:lang w:val="fr-FR"/>
        </w:rPr>
        <w:t>aux rapports techniques annuels et a demandé des contributions sur les moyens d</w:t>
      </w:r>
      <w:r w:rsidR="00837637" w:rsidRPr="00CD2562">
        <w:rPr>
          <w:lang w:val="fr-FR"/>
        </w:rPr>
        <w:t>’</w:t>
      </w:r>
      <w:r w:rsidR="00F97675" w:rsidRPr="00CD2562">
        <w:rPr>
          <w:lang w:val="fr-FR"/>
        </w:rPr>
        <w:t>améliorer ces rapports techniques annue</w:t>
      </w:r>
      <w:r w:rsidR="00CD2562" w:rsidRPr="00CD2562">
        <w:rPr>
          <w:lang w:val="fr-FR"/>
        </w:rPr>
        <w:t>ls.  Pl</w:t>
      </w:r>
      <w:r w:rsidR="00F97675" w:rsidRPr="00CD2562">
        <w:rPr>
          <w:lang w:val="fr-FR"/>
        </w:rPr>
        <w:t>usieurs délégations ont fait observer que les informations demandées dans les rapports techniques annuels sont déjà disponibles dans le rapport annuel de leur offi</w:t>
      </w:r>
      <w:r w:rsidR="00CD2562" w:rsidRPr="00CD2562">
        <w:rPr>
          <w:lang w:val="fr-FR"/>
        </w:rPr>
        <w:t>ce.  Le</w:t>
      </w:r>
      <w:r w:rsidR="00837637" w:rsidRPr="00CD2562">
        <w:rPr>
          <w:lang w:val="fr-FR"/>
        </w:rPr>
        <w:t> CWS</w:t>
      </w:r>
      <w:r w:rsidR="00F97675" w:rsidRPr="00CD2562">
        <w:rPr>
          <w:lang w:val="fr-FR"/>
        </w:rPr>
        <w:t xml:space="preserve"> a prié le Bureau international d</w:t>
      </w:r>
      <w:r w:rsidR="00837637" w:rsidRPr="00CD2562">
        <w:rPr>
          <w:lang w:val="fr-FR"/>
        </w:rPr>
        <w:t>’</w:t>
      </w:r>
      <w:r w:rsidR="00F97675" w:rsidRPr="00CD2562">
        <w:rPr>
          <w:lang w:val="fr-FR"/>
        </w:rPr>
        <w:t>élaborer une proposition sur la façon d</w:t>
      </w:r>
      <w:r w:rsidR="00837637" w:rsidRPr="00CD2562">
        <w:rPr>
          <w:lang w:val="fr-FR"/>
        </w:rPr>
        <w:t>’</w:t>
      </w:r>
      <w:r w:rsidR="00F97675" w:rsidRPr="00CD2562">
        <w:rPr>
          <w:lang w:val="fr-FR"/>
        </w:rPr>
        <w:t>améliorer les rapports techniques annuels</w:t>
      </w:r>
      <w:r w:rsidR="00D80CC9" w:rsidRPr="00CD2562">
        <w:rPr>
          <w:lang w:val="fr-FR"/>
        </w:rPr>
        <w:t xml:space="preserve"> (</w:t>
      </w:r>
      <w:r w:rsidR="00F97675" w:rsidRPr="00CD2562">
        <w:rPr>
          <w:lang w:val="fr-FR"/>
        </w:rPr>
        <w:t xml:space="preserve">voir les </w:t>
      </w:r>
      <w:r w:rsidR="00D80CC9" w:rsidRPr="00CD2562">
        <w:rPr>
          <w:lang w:val="fr-FR"/>
        </w:rPr>
        <w:t>paragraph</w:t>
      </w:r>
      <w:r w:rsidR="00F97675" w:rsidRPr="00CD2562">
        <w:rPr>
          <w:lang w:val="fr-FR"/>
        </w:rPr>
        <w:t>e</w:t>
      </w:r>
      <w:r w:rsidR="00D80CC9" w:rsidRPr="00CD2562">
        <w:rPr>
          <w:lang w:val="fr-FR"/>
        </w:rPr>
        <w:t>s</w:t>
      </w:r>
      <w:r w:rsidR="00F97675" w:rsidRPr="00CD2562">
        <w:rPr>
          <w:lang w:val="fr-FR"/>
        </w:rPr>
        <w:t> </w:t>
      </w:r>
      <w:r w:rsidR="00E72584" w:rsidRPr="00CD2562">
        <w:rPr>
          <w:lang w:val="fr-FR"/>
        </w:rPr>
        <w:t xml:space="preserve">206 </w:t>
      </w:r>
      <w:r w:rsidR="00F97675" w:rsidRPr="00CD2562">
        <w:rPr>
          <w:lang w:val="fr-FR"/>
        </w:rPr>
        <w:t xml:space="preserve">à </w:t>
      </w:r>
      <w:r w:rsidR="00E72584" w:rsidRPr="00CD2562">
        <w:rPr>
          <w:lang w:val="fr-FR"/>
        </w:rPr>
        <w:t xml:space="preserve">208 </w:t>
      </w:r>
      <w:r w:rsidR="00F97675" w:rsidRPr="00CD2562">
        <w:rPr>
          <w:lang w:val="fr-FR"/>
        </w:rPr>
        <w:t xml:space="preserve">du </w:t>
      </w:r>
      <w:r w:rsidR="00D80CC9" w:rsidRPr="00CD2562">
        <w:rPr>
          <w:lang w:val="fr-FR"/>
        </w:rPr>
        <w:t>document CWS/</w:t>
      </w:r>
      <w:r w:rsidR="00E72584" w:rsidRPr="00CD2562">
        <w:rPr>
          <w:lang w:val="fr-FR"/>
        </w:rPr>
        <w:t>7</w:t>
      </w:r>
      <w:r w:rsidR="00D80CC9" w:rsidRPr="00CD2562">
        <w:rPr>
          <w:lang w:val="fr-FR"/>
        </w:rPr>
        <w:t>/2</w:t>
      </w:r>
      <w:r w:rsidR="00E72584" w:rsidRPr="00CD2562">
        <w:rPr>
          <w:lang w:val="fr-FR"/>
        </w:rPr>
        <w:t>9</w:t>
      </w:r>
      <w:r w:rsidR="00D80CC9" w:rsidRPr="00CD2562">
        <w:rPr>
          <w:lang w:val="fr-FR"/>
        </w:rPr>
        <w:t>.)</w:t>
      </w:r>
    </w:p>
    <w:p w14:paraId="3531976E" w14:textId="40C84997" w:rsidR="00E72584" w:rsidRPr="00CD2562" w:rsidRDefault="009B23C7" w:rsidP="009B23C7">
      <w:pPr>
        <w:pStyle w:val="Heading2"/>
        <w:rPr>
          <w:lang w:val="fr-FR"/>
        </w:rPr>
      </w:pPr>
      <w:r w:rsidRPr="00CD2562">
        <w:rPr>
          <w:lang w:val="fr-FR"/>
        </w:rPr>
        <w:t>Historique</w:t>
      </w:r>
    </w:p>
    <w:p w14:paraId="4A8B30F3" w14:textId="5EEE6BC3" w:rsidR="00EC221D" w:rsidRPr="00CD2562" w:rsidRDefault="000A2A50" w:rsidP="009B23C7">
      <w:pPr>
        <w:pStyle w:val="ONUMFS"/>
        <w:rPr>
          <w:lang w:val="fr-FR"/>
        </w:rPr>
      </w:pPr>
      <w:r w:rsidRPr="00CD2562">
        <w:rPr>
          <w:lang w:val="fr-FR"/>
        </w:rPr>
        <w:t xml:space="preserve">Les rapports techniques annuels sont collectés par le Bureau international </w:t>
      </w:r>
      <w:r w:rsidR="00837637" w:rsidRPr="00CD2562">
        <w:rPr>
          <w:lang w:val="fr-FR"/>
        </w:rPr>
        <w:t>depuis 1978</w:t>
      </w:r>
      <w:r w:rsidRPr="00CD2562">
        <w:rPr>
          <w:lang w:val="fr-FR"/>
        </w:rPr>
        <w:t>.  La structure de ces rapports</w:t>
      </w:r>
      <w:r w:rsidR="00E65374" w:rsidRPr="00CD2562">
        <w:rPr>
          <w:lang w:val="fr-FR"/>
        </w:rPr>
        <w:t xml:space="preserve">, qui </w:t>
      </w:r>
      <w:r w:rsidRPr="00CD2562">
        <w:rPr>
          <w:lang w:val="fr-FR"/>
        </w:rPr>
        <w:t xml:space="preserve">a été approuvée par les États membres et </w:t>
      </w:r>
      <w:r w:rsidR="00E65374" w:rsidRPr="00CD2562">
        <w:rPr>
          <w:lang w:val="fr-FR"/>
        </w:rPr>
        <w:t xml:space="preserve">est </w:t>
      </w:r>
      <w:r w:rsidRPr="00CD2562">
        <w:rPr>
          <w:lang w:val="fr-FR"/>
        </w:rPr>
        <w:t xml:space="preserve">révisée périodiquement, </w:t>
      </w:r>
      <w:r w:rsidR="00E65374" w:rsidRPr="00CD2562">
        <w:rPr>
          <w:lang w:val="fr-FR"/>
        </w:rPr>
        <w:t>a fait l</w:t>
      </w:r>
      <w:r w:rsidR="00837637" w:rsidRPr="00CD2562">
        <w:rPr>
          <w:lang w:val="fr-FR"/>
        </w:rPr>
        <w:t>’</w:t>
      </w:r>
      <w:r w:rsidR="00E65374" w:rsidRPr="00CD2562">
        <w:rPr>
          <w:lang w:val="fr-FR"/>
        </w:rPr>
        <w:t xml:space="preserve">objet de </w:t>
      </w:r>
      <w:r w:rsidRPr="00CD2562">
        <w:rPr>
          <w:lang w:val="fr-FR"/>
        </w:rPr>
        <w:t xml:space="preserve">révisions </w:t>
      </w:r>
      <w:r w:rsidR="00A90F26" w:rsidRPr="00CD2562">
        <w:rPr>
          <w:lang w:val="fr-FR"/>
        </w:rPr>
        <w:t xml:space="preserve">approfondies </w:t>
      </w:r>
      <w:r w:rsidR="00837637" w:rsidRPr="00CD2562">
        <w:rPr>
          <w:lang w:val="fr-FR"/>
        </w:rPr>
        <w:t>en 1996</w:t>
      </w:r>
      <w:r w:rsidRPr="00CD2562">
        <w:rPr>
          <w:lang w:val="fr-FR"/>
        </w:rPr>
        <w:t>, 2007</w:t>
      </w:r>
      <w:r w:rsidR="00837637" w:rsidRPr="00CD2562">
        <w:rPr>
          <w:lang w:val="fr-FR"/>
        </w:rPr>
        <w:t>-</w:t>
      </w:r>
      <w:r w:rsidRPr="00CD2562">
        <w:rPr>
          <w:lang w:val="fr-FR"/>
        </w:rPr>
        <w:t xml:space="preserve">2008 et 2010.  </w:t>
      </w:r>
      <w:r w:rsidR="00837637" w:rsidRPr="00CD2562">
        <w:rPr>
          <w:lang w:val="fr-FR"/>
        </w:rPr>
        <w:t>Depuis 1998</w:t>
      </w:r>
      <w:r w:rsidRPr="00CD2562">
        <w:rPr>
          <w:lang w:val="fr-FR"/>
        </w:rPr>
        <w:t>, les rapports techniques annuels sont publiés sur le site Web de l</w:t>
      </w:r>
      <w:r w:rsidR="00837637" w:rsidRPr="00CD2562">
        <w:rPr>
          <w:lang w:val="fr-FR"/>
        </w:rPr>
        <w:t>’</w:t>
      </w:r>
      <w:r w:rsidRPr="00CD2562">
        <w:rPr>
          <w:lang w:val="fr-FR"/>
        </w:rPr>
        <w:t>OMPI</w:t>
      </w:r>
      <w:r w:rsidR="00731DD4" w:rsidRPr="00CD2562">
        <w:rPr>
          <w:lang w:val="fr-FR"/>
        </w:rPr>
        <w:t>.</w:t>
      </w:r>
    </w:p>
    <w:p w14:paraId="58E1B9E2" w14:textId="4470387B" w:rsidR="00991CAF" w:rsidRPr="00CD2562" w:rsidRDefault="006C38E7" w:rsidP="009B23C7">
      <w:pPr>
        <w:pStyle w:val="ONUMFS"/>
        <w:rPr>
          <w:lang w:val="fr-FR"/>
        </w:rPr>
      </w:pPr>
      <w:r w:rsidRPr="00CD2562">
        <w:rPr>
          <w:lang w:val="fr-FR"/>
        </w:rPr>
        <w:t>Les rapports techniques annuels étaient destinés à faire plus largement connaître les activités, les plans et les statistiques des offices de propriété intellectuel</w:t>
      </w:r>
      <w:r w:rsidR="00CD2562" w:rsidRPr="00CD2562">
        <w:rPr>
          <w:lang w:val="fr-FR"/>
        </w:rPr>
        <w:t>le.  Lo</w:t>
      </w:r>
      <w:r w:rsidRPr="00CD2562">
        <w:rPr>
          <w:lang w:val="fr-FR"/>
        </w:rPr>
        <w:t>rsque les rapports techniques annuels ont été mis en place, les publications en ligne n</w:t>
      </w:r>
      <w:r w:rsidR="00837637" w:rsidRPr="00CD2562">
        <w:rPr>
          <w:lang w:val="fr-FR"/>
        </w:rPr>
        <w:t>’</w:t>
      </w:r>
      <w:r w:rsidRPr="00CD2562">
        <w:rPr>
          <w:lang w:val="fr-FR"/>
        </w:rPr>
        <w:t>existaient pas et l</w:t>
      </w:r>
      <w:r w:rsidR="00837637" w:rsidRPr="00CD2562">
        <w:rPr>
          <w:lang w:val="fr-FR"/>
        </w:rPr>
        <w:t>’</w:t>
      </w:r>
      <w:r w:rsidRPr="00CD2562">
        <w:rPr>
          <w:lang w:val="fr-FR"/>
        </w:rPr>
        <w:t>accès à l</w:t>
      </w:r>
      <w:r w:rsidR="00837637" w:rsidRPr="00CD2562">
        <w:rPr>
          <w:lang w:val="fr-FR"/>
        </w:rPr>
        <w:t>’</w:t>
      </w:r>
      <w:r w:rsidRPr="00CD2562">
        <w:rPr>
          <w:lang w:val="fr-FR"/>
        </w:rPr>
        <w:t>information fournie par les offices de propriété intellectuelle était diffici</w:t>
      </w:r>
      <w:r w:rsidR="00CD2562" w:rsidRPr="00CD2562">
        <w:rPr>
          <w:lang w:val="fr-FR"/>
        </w:rPr>
        <w:t>le.  En</w:t>
      </w:r>
      <w:r w:rsidRPr="00CD2562">
        <w:rPr>
          <w:lang w:val="fr-FR"/>
        </w:rPr>
        <w:t xml:space="preserve"> outre, le grand nombre de langues utilisées par les offices dans leurs rapports annuels rendait l</w:t>
      </w:r>
      <w:r w:rsidR="00837637" w:rsidRPr="00CD2562">
        <w:rPr>
          <w:lang w:val="fr-FR"/>
        </w:rPr>
        <w:t>’</w:t>
      </w:r>
      <w:r w:rsidRPr="00CD2562">
        <w:rPr>
          <w:lang w:val="fr-FR"/>
        </w:rPr>
        <w:t>information plus difficile à trouver et à comprendre</w:t>
      </w:r>
      <w:r w:rsidR="00991CAF" w:rsidRPr="00CD2562">
        <w:rPr>
          <w:lang w:val="fr-FR"/>
        </w:rPr>
        <w:t>.</w:t>
      </w:r>
    </w:p>
    <w:p w14:paraId="2F47611A" w14:textId="590A0E8D" w:rsidR="00837637" w:rsidRPr="00CD2562" w:rsidRDefault="006C38E7" w:rsidP="009B23C7">
      <w:pPr>
        <w:pStyle w:val="ONUMFS"/>
        <w:rPr>
          <w:lang w:val="fr-FR"/>
        </w:rPr>
      </w:pPr>
      <w:r w:rsidRPr="00CD2562">
        <w:rPr>
          <w:lang w:val="fr-FR"/>
        </w:rPr>
        <w:t>L</w:t>
      </w:r>
      <w:r w:rsidR="00837637" w:rsidRPr="00CD2562">
        <w:rPr>
          <w:lang w:val="fr-FR"/>
        </w:rPr>
        <w:t>’</w:t>
      </w:r>
      <w:r w:rsidRPr="00CD2562">
        <w:rPr>
          <w:lang w:val="fr-FR"/>
        </w:rPr>
        <w:t xml:space="preserve">utilité des </w:t>
      </w:r>
      <w:r w:rsidR="00D656F2" w:rsidRPr="00CD2562">
        <w:rPr>
          <w:lang w:val="fr-FR"/>
        </w:rPr>
        <w:t>rapports techniques annuels</w:t>
      </w:r>
      <w:r w:rsidRPr="00CD2562">
        <w:rPr>
          <w:lang w:val="fr-FR"/>
        </w:rPr>
        <w:t xml:space="preserve"> a déjà été évaluée par les prédécesseurs</w:t>
      </w:r>
      <w:r w:rsidR="00837637" w:rsidRPr="00CD2562">
        <w:rPr>
          <w:lang w:val="fr-FR"/>
        </w:rPr>
        <w:t xml:space="preserve"> du CWS</w:t>
      </w:r>
      <w:r w:rsidRPr="00CD2562">
        <w:rPr>
          <w:lang w:val="fr-FR"/>
        </w:rPr>
        <w:t xml:space="preserve">, </w:t>
      </w:r>
      <w:r w:rsidR="00837637" w:rsidRPr="00CD2562">
        <w:rPr>
          <w:lang w:val="fr-FR"/>
        </w:rPr>
        <w:t>à savoir</w:t>
      </w:r>
      <w:r w:rsidRPr="00CD2562">
        <w:rPr>
          <w:lang w:val="fr-FR"/>
        </w:rPr>
        <w:t xml:space="preserve"> le Comité permanent des techniques de l</w:t>
      </w:r>
      <w:r w:rsidR="00837637" w:rsidRPr="00CD2562">
        <w:rPr>
          <w:lang w:val="fr-FR"/>
        </w:rPr>
        <w:t>’</w:t>
      </w:r>
      <w:r w:rsidRPr="00CD2562">
        <w:rPr>
          <w:lang w:val="fr-FR"/>
        </w:rPr>
        <w:t>information (SCIT) et son Groupe de travail sur les normes et la documentation (S</w:t>
      </w:r>
      <w:bookmarkStart w:id="5" w:name="_GoBack"/>
      <w:bookmarkEnd w:id="5"/>
      <w:r w:rsidRPr="00CD2562">
        <w:rPr>
          <w:lang w:val="fr-FR"/>
        </w:rPr>
        <w:t xml:space="preserve">DWG).  Le recours croissant </w:t>
      </w:r>
      <w:r w:rsidR="00160993" w:rsidRPr="00CD2562">
        <w:rPr>
          <w:lang w:val="fr-FR"/>
        </w:rPr>
        <w:t xml:space="preserve">des offices de </w:t>
      </w:r>
      <w:r w:rsidR="00160993" w:rsidRPr="00CD2562">
        <w:rPr>
          <w:lang w:val="fr-FR"/>
        </w:rPr>
        <w:lastRenderedPageBreak/>
        <w:t>propriété intellectuelle à</w:t>
      </w:r>
      <w:r w:rsidRPr="00CD2562">
        <w:rPr>
          <w:lang w:val="fr-FR"/>
        </w:rPr>
        <w:t xml:space="preserve"> des sites Web pour diffus</w:t>
      </w:r>
      <w:r w:rsidR="00CE3137" w:rsidRPr="00CD2562">
        <w:rPr>
          <w:lang w:val="fr-FR"/>
        </w:rPr>
        <w:t>er des informations signifie qu</w:t>
      </w:r>
      <w:r w:rsidR="00837637" w:rsidRPr="00CD2562">
        <w:rPr>
          <w:lang w:val="fr-FR"/>
        </w:rPr>
        <w:t>’</w:t>
      </w:r>
      <w:r w:rsidR="00CE3137" w:rsidRPr="00CD2562">
        <w:rPr>
          <w:lang w:val="fr-FR"/>
        </w:rPr>
        <w:t>un grand nombre</w:t>
      </w:r>
      <w:r w:rsidRPr="00CD2562">
        <w:rPr>
          <w:lang w:val="fr-FR"/>
        </w:rPr>
        <w:t xml:space="preserve"> </w:t>
      </w:r>
      <w:r w:rsidR="00CE3137" w:rsidRPr="00CD2562">
        <w:rPr>
          <w:lang w:val="fr-FR"/>
        </w:rPr>
        <w:t>d</w:t>
      </w:r>
      <w:r w:rsidR="00837637" w:rsidRPr="00CD2562">
        <w:rPr>
          <w:lang w:val="fr-FR"/>
        </w:rPr>
        <w:t>’</w:t>
      </w:r>
      <w:r w:rsidRPr="00CD2562">
        <w:rPr>
          <w:lang w:val="fr-FR"/>
        </w:rPr>
        <w:t xml:space="preserve">informations recueillies dans les </w:t>
      </w:r>
      <w:r w:rsidR="00160993" w:rsidRPr="00CD2562">
        <w:rPr>
          <w:lang w:val="fr-FR"/>
        </w:rPr>
        <w:t>rapports techniques annuels sont peut</w:t>
      </w:r>
      <w:r w:rsidR="00837637" w:rsidRPr="00CD2562">
        <w:rPr>
          <w:lang w:val="fr-FR"/>
        </w:rPr>
        <w:t>-</w:t>
      </w:r>
      <w:r w:rsidR="00160993" w:rsidRPr="00CD2562">
        <w:rPr>
          <w:lang w:val="fr-FR"/>
        </w:rPr>
        <w:t xml:space="preserve">être </w:t>
      </w:r>
      <w:r w:rsidRPr="00CD2562">
        <w:rPr>
          <w:lang w:val="fr-FR"/>
        </w:rPr>
        <w:t xml:space="preserve">déjà disponibles sur </w:t>
      </w:r>
      <w:r w:rsidR="00160993" w:rsidRPr="00CD2562">
        <w:rPr>
          <w:lang w:val="fr-FR"/>
        </w:rPr>
        <w:t>c</w:t>
      </w:r>
      <w:r w:rsidRPr="00CD2562">
        <w:rPr>
          <w:lang w:val="fr-FR"/>
        </w:rPr>
        <w:t>es sites</w:t>
      </w:r>
      <w:r w:rsidR="00160993" w:rsidRPr="00CD2562">
        <w:rPr>
          <w:lang w:val="fr-FR"/>
        </w:rPr>
        <w:t> </w:t>
      </w:r>
      <w:r w:rsidRPr="00CD2562">
        <w:rPr>
          <w:lang w:val="fr-FR"/>
        </w:rPr>
        <w:t>W</w:t>
      </w:r>
      <w:r w:rsidR="00CD2562" w:rsidRPr="00CD2562">
        <w:rPr>
          <w:lang w:val="fr-FR"/>
        </w:rPr>
        <w:t>eb.  Da</w:t>
      </w:r>
      <w:r w:rsidRPr="00CD2562">
        <w:rPr>
          <w:lang w:val="fr-FR"/>
        </w:rPr>
        <w:t xml:space="preserve">ns une lettre datant </w:t>
      </w:r>
      <w:r w:rsidR="00837637" w:rsidRPr="00CD2562">
        <w:rPr>
          <w:lang w:val="fr-FR"/>
        </w:rPr>
        <w:t>de 2003</w:t>
      </w:r>
      <w:r w:rsidRPr="00CD2562">
        <w:rPr>
          <w:lang w:val="fr-FR"/>
        </w:rPr>
        <w:t xml:space="preserve">, </w:t>
      </w:r>
      <w:r w:rsidR="00160993" w:rsidRPr="00CD2562">
        <w:rPr>
          <w:lang w:val="fr-FR"/>
        </w:rPr>
        <w:t>l</w:t>
      </w:r>
      <w:r w:rsidR="00837637" w:rsidRPr="00CD2562">
        <w:rPr>
          <w:lang w:val="fr-FR"/>
        </w:rPr>
        <w:t>’</w:t>
      </w:r>
      <w:r w:rsidR="00160993" w:rsidRPr="00CD2562">
        <w:rPr>
          <w:lang w:val="fr-FR"/>
        </w:rPr>
        <w:t xml:space="preserve">Institut fédéral de la propriété intellectuelle de la Suisse </w:t>
      </w:r>
      <w:r w:rsidRPr="00CD2562">
        <w:rPr>
          <w:lang w:val="fr-FR"/>
        </w:rPr>
        <w:t>indiqu</w:t>
      </w:r>
      <w:r w:rsidR="00160993" w:rsidRPr="00CD2562">
        <w:rPr>
          <w:lang w:val="fr-FR"/>
        </w:rPr>
        <w:t>ait ce qui suit</w:t>
      </w:r>
      <w:r w:rsidR="00837637" w:rsidRPr="00CD2562">
        <w:rPr>
          <w:lang w:val="fr-FR"/>
        </w:rPr>
        <w:t> :</w:t>
      </w:r>
    </w:p>
    <w:p w14:paraId="5A4226C6" w14:textId="1A1D14AE" w:rsidR="007751D8" w:rsidRPr="00CD2562" w:rsidRDefault="007751D8" w:rsidP="009B23C7">
      <w:pPr>
        <w:pStyle w:val="ONUMFS"/>
        <w:numPr>
          <w:ilvl w:val="0"/>
          <w:numId w:val="0"/>
        </w:numPr>
        <w:ind w:left="567"/>
        <w:rPr>
          <w:lang w:val="fr-FR"/>
        </w:rPr>
      </w:pPr>
      <w:r w:rsidRPr="00CD2562">
        <w:rPr>
          <w:lang w:val="fr-FR"/>
        </w:rPr>
        <w:t>“A</w:t>
      </w:r>
      <w:r w:rsidR="00160993" w:rsidRPr="00CD2562">
        <w:rPr>
          <w:lang w:val="fr-FR"/>
        </w:rPr>
        <w:t>près avoir consulté les rapports existants, nous avons constaté que le nombre des États qui remettaient un rapport avait régulièrement diminué ces dernières années et qu</w:t>
      </w:r>
      <w:r w:rsidR="00837637" w:rsidRPr="00CD2562">
        <w:rPr>
          <w:lang w:val="fr-FR"/>
        </w:rPr>
        <w:t>’</w:t>
      </w:r>
      <w:r w:rsidR="00160993" w:rsidRPr="00CD2562">
        <w:rPr>
          <w:lang w:val="fr-FR"/>
        </w:rPr>
        <w:t>il avait atteint désormais un seuil critiq</w:t>
      </w:r>
      <w:r w:rsidR="00CD2562" w:rsidRPr="00CD2562">
        <w:rPr>
          <w:lang w:val="fr-FR"/>
        </w:rPr>
        <w:t>ue.  Il</w:t>
      </w:r>
      <w:r w:rsidR="00160993" w:rsidRPr="00CD2562">
        <w:rPr>
          <w:lang w:val="fr-FR"/>
        </w:rPr>
        <w:t xml:space="preserve"> apparaît par ailleurs que l</w:t>
      </w:r>
      <w:r w:rsidR="00837637" w:rsidRPr="00CD2562">
        <w:rPr>
          <w:lang w:val="fr-FR"/>
        </w:rPr>
        <w:t>’</w:t>
      </w:r>
      <w:r w:rsidR="00160993" w:rsidRPr="00CD2562">
        <w:rPr>
          <w:lang w:val="fr-FR"/>
        </w:rPr>
        <w:t>utilité pratique de ces rapports est très limitée</w:t>
      </w:r>
      <w:r w:rsidR="00837637" w:rsidRPr="00CD2562">
        <w:rPr>
          <w:lang w:val="fr-FR"/>
        </w:rPr>
        <w:t> :</w:t>
      </w:r>
      <w:r w:rsidR="00160993" w:rsidRPr="00CD2562">
        <w:rPr>
          <w:lang w:val="fr-FR"/>
        </w:rPr>
        <w:t xml:space="preserve"> mis à part leur mention occasionnelle </w:t>
      </w:r>
      <w:r w:rsidR="005763F3" w:rsidRPr="00CD2562">
        <w:rPr>
          <w:lang w:val="fr-FR"/>
        </w:rPr>
        <w:t xml:space="preserve">dans la publication </w:t>
      </w:r>
      <w:r w:rsidR="004F3380">
        <w:rPr>
          <w:i/>
          <w:lang w:val="fr-FR"/>
        </w:rPr>
        <w:t>World </w:t>
      </w:r>
      <w:r w:rsidR="005763F3" w:rsidRPr="00CD2562">
        <w:rPr>
          <w:i/>
          <w:lang w:val="fr-FR"/>
        </w:rPr>
        <w:t>Patent</w:t>
      </w:r>
      <w:r w:rsidR="004F3380">
        <w:rPr>
          <w:i/>
          <w:lang w:val="fr-FR"/>
        </w:rPr>
        <w:t> </w:t>
      </w:r>
      <w:r w:rsidR="005763F3" w:rsidRPr="00CD2562">
        <w:rPr>
          <w:i/>
          <w:lang w:val="fr-FR"/>
        </w:rPr>
        <w:t>Information,</w:t>
      </w:r>
      <w:r w:rsidR="005763F3" w:rsidRPr="00CD2562">
        <w:rPr>
          <w:lang w:val="fr-FR"/>
        </w:rPr>
        <w:t xml:space="preserve"> ils ne semblent plus guère être utilisés</w:t>
      </w:r>
      <w:r w:rsidRPr="00CD2562">
        <w:rPr>
          <w:lang w:val="fr-FR"/>
        </w:rPr>
        <w:t>” (</w:t>
      </w:r>
      <w:r w:rsidR="005763F3" w:rsidRPr="00CD2562">
        <w:rPr>
          <w:lang w:val="fr-FR"/>
        </w:rPr>
        <w:t>voir l</w:t>
      </w:r>
      <w:r w:rsidR="00837637" w:rsidRPr="00CD2562">
        <w:rPr>
          <w:lang w:val="fr-FR"/>
        </w:rPr>
        <w:t>’</w:t>
      </w:r>
      <w:r w:rsidR="005763F3" w:rsidRPr="00CD2562">
        <w:rPr>
          <w:lang w:val="fr-FR"/>
        </w:rPr>
        <w:t>annexe </w:t>
      </w:r>
      <w:r w:rsidRPr="00CD2562">
        <w:rPr>
          <w:lang w:val="fr-FR"/>
        </w:rPr>
        <w:t xml:space="preserve">I </w:t>
      </w:r>
      <w:r w:rsidR="005763F3" w:rsidRPr="00CD2562">
        <w:rPr>
          <w:lang w:val="fr-FR"/>
        </w:rPr>
        <w:t xml:space="preserve">du </w:t>
      </w:r>
      <w:r w:rsidR="00837637" w:rsidRPr="00CD2562">
        <w:rPr>
          <w:lang w:val="fr-FR"/>
        </w:rPr>
        <w:t>document SC</w:t>
      </w:r>
      <w:r w:rsidRPr="00CD2562">
        <w:rPr>
          <w:lang w:val="fr-FR"/>
        </w:rPr>
        <w:t>IT/SDWG/6/7)</w:t>
      </w:r>
      <w:r w:rsidR="005763F3" w:rsidRPr="00CD2562">
        <w:rPr>
          <w:lang w:val="fr-FR"/>
        </w:rPr>
        <w:t>.</w:t>
      </w:r>
    </w:p>
    <w:p w14:paraId="1BBA8CF8" w14:textId="377FFEB5" w:rsidR="00837637" w:rsidRPr="00CD2562" w:rsidRDefault="00837637" w:rsidP="009B23C7">
      <w:pPr>
        <w:pStyle w:val="ONUMFS"/>
        <w:rPr>
          <w:lang w:val="fr-FR"/>
        </w:rPr>
      </w:pPr>
      <w:r w:rsidRPr="00CD2562">
        <w:rPr>
          <w:lang w:val="fr-FR"/>
        </w:rPr>
        <w:t>En 2005</w:t>
      </w:r>
      <w:r w:rsidR="00BD044D" w:rsidRPr="00CD2562">
        <w:rPr>
          <w:lang w:val="fr-FR"/>
        </w:rPr>
        <w:t>, le Bureau international a présenté, pour examen par</w:t>
      </w:r>
      <w:r w:rsidRPr="00CD2562">
        <w:rPr>
          <w:lang w:val="fr-FR"/>
        </w:rPr>
        <w:t xml:space="preserve"> le SDW</w:t>
      </w:r>
      <w:r w:rsidR="00BD044D" w:rsidRPr="00CD2562">
        <w:rPr>
          <w:lang w:val="fr-FR"/>
        </w:rPr>
        <w:t>G, une proposition tendant à mettre fin aux rapports techniques annuels en raison de la baisse de la participation des offices et de l</w:t>
      </w:r>
      <w:r w:rsidRPr="00CD2562">
        <w:rPr>
          <w:lang w:val="fr-FR"/>
        </w:rPr>
        <w:t>’</w:t>
      </w:r>
      <w:r w:rsidR="00BD044D" w:rsidRPr="00CD2562">
        <w:rPr>
          <w:lang w:val="fr-FR"/>
        </w:rPr>
        <w:t xml:space="preserve">utilité moindre des rapports (voir les paragraphes 5 à 8 du </w:t>
      </w:r>
      <w:r w:rsidRPr="00CD2562">
        <w:rPr>
          <w:lang w:val="fr-FR"/>
        </w:rPr>
        <w:t>document SC</w:t>
      </w:r>
      <w:r w:rsidR="00BD044D" w:rsidRPr="00CD2562">
        <w:rPr>
          <w:lang w:val="fr-FR"/>
        </w:rPr>
        <w:t xml:space="preserve">IT/SDWG/6/7). </w:t>
      </w:r>
      <w:r w:rsidRPr="00CD2562">
        <w:rPr>
          <w:lang w:val="fr-FR"/>
        </w:rPr>
        <w:t xml:space="preserve"> Le SDW</w:t>
      </w:r>
      <w:r w:rsidR="00BD044D" w:rsidRPr="00CD2562">
        <w:rPr>
          <w:lang w:val="fr-FR"/>
        </w:rPr>
        <w:t>G a décidé de créer une équipe d</w:t>
      </w:r>
      <w:r w:rsidRPr="00CD2562">
        <w:rPr>
          <w:lang w:val="fr-FR"/>
        </w:rPr>
        <w:t>’</w:t>
      </w:r>
      <w:r w:rsidR="00BD044D" w:rsidRPr="00CD2562">
        <w:rPr>
          <w:lang w:val="fr-FR"/>
        </w:rPr>
        <w:t xml:space="preserve">experts chargée des rapports techniques annuels pour étudier les problèmes et recommander des améliorations (voir les paragraphes 59 à 61 du </w:t>
      </w:r>
      <w:r w:rsidRPr="00CD2562">
        <w:rPr>
          <w:lang w:val="fr-FR"/>
        </w:rPr>
        <w:t>document SC</w:t>
      </w:r>
      <w:r w:rsidR="00BD044D" w:rsidRPr="00CD2562">
        <w:rPr>
          <w:lang w:val="fr-FR"/>
        </w:rPr>
        <w:t xml:space="preserve">IT/SDWG/6/11).  Cette décision a abouti aux révisions structurelles des rapports techniques annuels </w:t>
      </w:r>
      <w:r w:rsidRPr="00CD2562">
        <w:rPr>
          <w:lang w:val="fr-FR"/>
        </w:rPr>
        <w:t>en 2007-</w:t>
      </w:r>
      <w:r w:rsidR="00BD044D" w:rsidRPr="00CD2562">
        <w:rPr>
          <w:lang w:val="fr-FR"/>
        </w:rPr>
        <w:t xml:space="preserve">2008 et </w:t>
      </w:r>
      <w:r w:rsidRPr="00CD2562">
        <w:rPr>
          <w:lang w:val="fr-FR"/>
        </w:rPr>
        <w:t>en 2010</w:t>
      </w:r>
      <w:r w:rsidR="00BD044D" w:rsidRPr="00CD2562">
        <w:rPr>
          <w:lang w:val="fr-FR"/>
        </w:rPr>
        <w:t xml:space="preserve">, dernières mises à jour importantes des rapports techniques annuels (voir les paragraphes 47 et 48 du </w:t>
      </w:r>
      <w:r w:rsidRPr="00CD2562">
        <w:rPr>
          <w:lang w:val="fr-FR"/>
        </w:rPr>
        <w:t>document CW</w:t>
      </w:r>
      <w:r w:rsidR="00BD044D" w:rsidRPr="00CD2562">
        <w:rPr>
          <w:lang w:val="fr-FR"/>
        </w:rPr>
        <w:t>S/1/10)</w:t>
      </w:r>
      <w:r w:rsidR="00970DF7" w:rsidRPr="00CD2562">
        <w:rPr>
          <w:lang w:val="fr-FR"/>
        </w:rPr>
        <w:t>.</w:t>
      </w:r>
    </w:p>
    <w:p w14:paraId="594040E9" w14:textId="11E496A2" w:rsidR="00837637" w:rsidRPr="00CD2562" w:rsidRDefault="00215941" w:rsidP="009B23C7">
      <w:pPr>
        <w:pStyle w:val="ONUMFS"/>
        <w:rPr>
          <w:lang w:val="fr-FR"/>
        </w:rPr>
      </w:pPr>
      <w:r w:rsidRPr="00CD2562">
        <w:rPr>
          <w:lang w:val="fr-FR"/>
        </w:rPr>
        <w:t>Selon ces documents, les questions actuellement étudiées par</w:t>
      </w:r>
      <w:r w:rsidR="00837637" w:rsidRPr="00CD2562">
        <w:rPr>
          <w:lang w:val="fr-FR"/>
        </w:rPr>
        <w:t xml:space="preserve"> le CWS</w:t>
      </w:r>
      <w:r w:rsidRPr="00CD2562">
        <w:rPr>
          <w:lang w:val="fr-FR"/>
        </w:rPr>
        <w:t xml:space="preserve"> ont déjà été examinées dans le pas</w:t>
      </w:r>
      <w:r w:rsidR="00CD2562" w:rsidRPr="00CD2562">
        <w:rPr>
          <w:lang w:val="fr-FR"/>
        </w:rPr>
        <w:t>sé.  De</w:t>
      </w:r>
      <w:r w:rsidRPr="00CD2562">
        <w:rPr>
          <w:lang w:val="fr-FR"/>
        </w:rPr>
        <w:t xml:space="preserve">s changements ont été apportés à plusieurs reprises afin </w:t>
      </w:r>
      <w:r w:rsidR="00CE3137" w:rsidRPr="00CD2562">
        <w:rPr>
          <w:lang w:val="fr-FR"/>
        </w:rPr>
        <w:t xml:space="preserve">de </w:t>
      </w:r>
      <w:r w:rsidRPr="00CD2562">
        <w:rPr>
          <w:lang w:val="fr-FR"/>
        </w:rPr>
        <w:t>tenter d</w:t>
      </w:r>
      <w:r w:rsidR="00837637" w:rsidRPr="00CD2562">
        <w:rPr>
          <w:lang w:val="fr-FR"/>
        </w:rPr>
        <w:t>’</w:t>
      </w:r>
      <w:r w:rsidRPr="00CD2562">
        <w:rPr>
          <w:lang w:val="fr-FR"/>
        </w:rPr>
        <w:t>améliorer l</w:t>
      </w:r>
      <w:r w:rsidR="00837637" w:rsidRPr="00CD2562">
        <w:rPr>
          <w:lang w:val="fr-FR"/>
        </w:rPr>
        <w:t>’</w:t>
      </w:r>
      <w:r w:rsidRPr="00CD2562">
        <w:rPr>
          <w:lang w:val="fr-FR"/>
        </w:rPr>
        <w:t>accès, la visibilité et l</w:t>
      </w:r>
      <w:r w:rsidR="00837637" w:rsidRPr="00CD2562">
        <w:rPr>
          <w:lang w:val="fr-FR"/>
        </w:rPr>
        <w:t>’</w:t>
      </w:r>
      <w:r w:rsidRPr="00CD2562">
        <w:rPr>
          <w:lang w:val="fr-FR"/>
        </w:rPr>
        <w:t>utilité des rapports techniques annuels, notamment le passage à la publication en ligne, la collecte par l</w:t>
      </w:r>
      <w:r w:rsidR="00837637" w:rsidRPr="00CD2562">
        <w:rPr>
          <w:lang w:val="fr-FR"/>
        </w:rPr>
        <w:t>’</w:t>
      </w:r>
      <w:r w:rsidRPr="00CD2562">
        <w:rPr>
          <w:lang w:val="fr-FR"/>
        </w:rPr>
        <w:t>intermédiaire du Wiki, l</w:t>
      </w:r>
      <w:r w:rsidR="00837637" w:rsidRPr="00CD2562">
        <w:rPr>
          <w:lang w:val="fr-FR"/>
        </w:rPr>
        <w:t>’</w:t>
      </w:r>
      <w:r w:rsidRPr="00CD2562">
        <w:rPr>
          <w:lang w:val="fr-FR"/>
        </w:rPr>
        <w:t>amélioration de la visibilité des moteurs de recherche et la modification du contenu des rapports techniques annue</w:t>
      </w:r>
      <w:r w:rsidR="00CD2562" w:rsidRPr="00CD2562">
        <w:rPr>
          <w:lang w:val="fr-FR"/>
        </w:rPr>
        <w:t>ls.  La</w:t>
      </w:r>
      <w:r w:rsidRPr="00CD2562">
        <w:rPr>
          <w:lang w:val="fr-FR"/>
        </w:rPr>
        <w:t xml:space="preserve"> question </w:t>
      </w:r>
      <w:r w:rsidR="00CE3137" w:rsidRPr="00CD2562">
        <w:rPr>
          <w:lang w:val="fr-FR"/>
        </w:rPr>
        <w:t xml:space="preserve">est </w:t>
      </w:r>
      <w:r w:rsidRPr="00CD2562">
        <w:rPr>
          <w:lang w:val="fr-FR"/>
        </w:rPr>
        <w:t>maintenant de savoir si ces changements ont eu un effet positif sur les rapports techniques annuels.</w:t>
      </w:r>
    </w:p>
    <w:p w14:paraId="37BBDC93" w14:textId="48F4270B" w:rsidR="00061A58" w:rsidRPr="00CD2562" w:rsidRDefault="00AB31D7" w:rsidP="009B23C7">
      <w:pPr>
        <w:pStyle w:val="Heading2"/>
        <w:rPr>
          <w:lang w:val="fr-FR"/>
        </w:rPr>
      </w:pPr>
      <w:r>
        <w:rPr>
          <w:lang w:val="fr-FR"/>
        </w:rPr>
        <w:t>S</w:t>
      </w:r>
      <w:r w:rsidR="009B23C7" w:rsidRPr="00CD2562">
        <w:rPr>
          <w:lang w:val="fr-FR"/>
        </w:rPr>
        <w:t>ituation actuelle</w:t>
      </w:r>
    </w:p>
    <w:p w14:paraId="3D09CB12" w14:textId="15C276BA" w:rsidR="00061A58" w:rsidRPr="00CD2562" w:rsidRDefault="00837637" w:rsidP="009B23C7">
      <w:pPr>
        <w:pStyle w:val="ONUMFS"/>
        <w:rPr>
          <w:lang w:val="fr-FR"/>
        </w:rPr>
      </w:pPr>
      <w:r w:rsidRPr="00CD2562">
        <w:rPr>
          <w:lang w:val="fr-FR"/>
        </w:rPr>
        <w:t>En 2021</w:t>
      </w:r>
      <w:r w:rsidR="00F71337" w:rsidRPr="00CD2562">
        <w:rPr>
          <w:lang w:val="fr-FR"/>
        </w:rPr>
        <w:t>, l</w:t>
      </w:r>
      <w:r w:rsidRPr="00CD2562">
        <w:rPr>
          <w:lang w:val="fr-FR"/>
        </w:rPr>
        <w:t>’</w:t>
      </w:r>
      <w:r w:rsidR="00F71337" w:rsidRPr="00CD2562">
        <w:rPr>
          <w:lang w:val="fr-FR"/>
        </w:rPr>
        <w:t>environnement des rapports techniques annuels a beaucoup changé depuis leur créati</w:t>
      </w:r>
      <w:r w:rsidR="00CD2562" w:rsidRPr="00CD2562">
        <w:rPr>
          <w:lang w:val="fr-FR"/>
        </w:rPr>
        <w:t>on.  Le</w:t>
      </w:r>
      <w:r w:rsidR="00F71337" w:rsidRPr="00CD2562">
        <w:rPr>
          <w:lang w:val="fr-FR"/>
        </w:rPr>
        <w:t>s publications en ligne sont devenues courantes et un grand nombre d</w:t>
      </w:r>
      <w:r w:rsidRPr="00CD2562">
        <w:rPr>
          <w:lang w:val="fr-FR"/>
        </w:rPr>
        <w:t>’</w:t>
      </w:r>
      <w:r w:rsidR="00F71337" w:rsidRPr="00CD2562">
        <w:rPr>
          <w:lang w:val="fr-FR"/>
        </w:rPr>
        <w:t>offices de propriété intellectuelle publient des rapports annuels contenant une grande partie des informations contenues dans les rapports techniques annue</w:t>
      </w:r>
      <w:r w:rsidR="00CD2562" w:rsidRPr="00CD2562">
        <w:rPr>
          <w:lang w:val="fr-FR"/>
        </w:rPr>
        <w:t>ls.  Le</w:t>
      </w:r>
      <w:r w:rsidR="00F71337" w:rsidRPr="00CD2562">
        <w:rPr>
          <w:lang w:val="fr-FR"/>
        </w:rPr>
        <w:t>s outils de traduction automatique sont largement disponibles et de plus en plus sophistiqués, ce qui rend les publications plus faciles d</w:t>
      </w:r>
      <w:r w:rsidRPr="00CD2562">
        <w:rPr>
          <w:lang w:val="fr-FR"/>
        </w:rPr>
        <w:t>’</w:t>
      </w:r>
      <w:r w:rsidR="00F71337" w:rsidRPr="00CD2562">
        <w:rPr>
          <w:lang w:val="fr-FR"/>
        </w:rPr>
        <w:t>accès pour les locuteurs d</w:t>
      </w:r>
      <w:r w:rsidRPr="00CD2562">
        <w:rPr>
          <w:lang w:val="fr-FR"/>
        </w:rPr>
        <w:t>’</w:t>
      </w:r>
      <w:r w:rsidR="00F71337" w:rsidRPr="00CD2562">
        <w:rPr>
          <w:lang w:val="fr-FR"/>
        </w:rPr>
        <w:t>autres langu</w:t>
      </w:r>
      <w:r w:rsidR="00CD2562" w:rsidRPr="00CD2562">
        <w:rPr>
          <w:lang w:val="fr-FR"/>
        </w:rPr>
        <w:t>es.  Ce</w:t>
      </w:r>
      <w:r w:rsidR="00F71337" w:rsidRPr="00CD2562">
        <w:rPr>
          <w:lang w:val="fr-FR"/>
        </w:rPr>
        <w:t>s facteurs répondent à de nombreux besoins que les rapports techniques annuels étaient censés satisfaire à l</w:t>
      </w:r>
      <w:r w:rsidRPr="00CD2562">
        <w:rPr>
          <w:lang w:val="fr-FR"/>
        </w:rPr>
        <w:t>’</w:t>
      </w:r>
      <w:r w:rsidR="00F71337" w:rsidRPr="00CD2562">
        <w:rPr>
          <w:lang w:val="fr-FR"/>
        </w:rPr>
        <w:t>origine</w:t>
      </w:r>
      <w:r w:rsidR="00061A58" w:rsidRPr="00CD2562">
        <w:rPr>
          <w:lang w:val="fr-FR"/>
        </w:rPr>
        <w:t>.</w:t>
      </w:r>
    </w:p>
    <w:p w14:paraId="13CE4FC4" w14:textId="053F7AC6" w:rsidR="00F71337" w:rsidRPr="00CD2562" w:rsidRDefault="00CE3137" w:rsidP="009B23C7">
      <w:pPr>
        <w:pStyle w:val="ONUMFS"/>
        <w:rPr>
          <w:lang w:val="fr-FR"/>
        </w:rPr>
      </w:pPr>
      <w:r w:rsidRPr="00CD2562">
        <w:rPr>
          <w:lang w:val="fr-FR"/>
        </w:rPr>
        <w:t xml:space="preserve">La question qui </w:t>
      </w:r>
      <w:r w:rsidR="00F71337" w:rsidRPr="00CD2562">
        <w:rPr>
          <w:lang w:val="fr-FR"/>
        </w:rPr>
        <w:t xml:space="preserve">se pose alors </w:t>
      </w:r>
      <w:r w:rsidRPr="00CD2562">
        <w:rPr>
          <w:lang w:val="fr-FR"/>
        </w:rPr>
        <w:t xml:space="preserve">est de savoir </w:t>
      </w:r>
      <w:r w:rsidR="00F71337" w:rsidRPr="00CD2562">
        <w:rPr>
          <w:lang w:val="fr-FR"/>
        </w:rPr>
        <w:t>dans quelle mesure les rapports techniques annuels ont été utilisés ces dernières anné</w:t>
      </w:r>
      <w:r w:rsidR="00CD2562" w:rsidRPr="00CD2562">
        <w:rPr>
          <w:lang w:val="fr-FR"/>
        </w:rPr>
        <w:t>es.  Si</w:t>
      </w:r>
      <w:r w:rsidR="00F71337" w:rsidRPr="00CD2562">
        <w:rPr>
          <w:lang w:val="fr-FR"/>
        </w:rPr>
        <w:t xml:space="preserve"> nous constatons une forte demande, cela indique qu</w:t>
      </w:r>
      <w:r w:rsidR="00837637" w:rsidRPr="00CD2562">
        <w:rPr>
          <w:lang w:val="fr-FR"/>
        </w:rPr>
        <w:t>’</w:t>
      </w:r>
      <w:r w:rsidR="00F71337" w:rsidRPr="00CD2562">
        <w:rPr>
          <w:lang w:val="fr-FR"/>
        </w:rPr>
        <w:t>ils peuvent encore répondre à des besoins importants, même s</w:t>
      </w:r>
      <w:r w:rsidR="00837637" w:rsidRPr="00CD2562">
        <w:rPr>
          <w:lang w:val="fr-FR"/>
        </w:rPr>
        <w:t>’</w:t>
      </w:r>
      <w:r w:rsidR="00F71337" w:rsidRPr="00CD2562">
        <w:rPr>
          <w:lang w:val="fr-FR"/>
        </w:rPr>
        <w:t>ils sont différents de leur objectif initi</w:t>
      </w:r>
      <w:r w:rsidR="00CD2562" w:rsidRPr="00CD2562">
        <w:rPr>
          <w:lang w:val="fr-FR"/>
        </w:rPr>
        <w:t>al.  Si</w:t>
      </w:r>
      <w:r w:rsidRPr="00CD2562">
        <w:rPr>
          <w:lang w:val="fr-FR"/>
        </w:rPr>
        <w:t>, en revanche,</w:t>
      </w:r>
      <w:r w:rsidR="00F71337" w:rsidRPr="00CD2562">
        <w:rPr>
          <w:lang w:val="fr-FR"/>
        </w:rPr>
        <w:t xml:space="preserve"> </w:t>
      </w:r>
      <w:r w:rsidRPr="00CD2562">
        <w:rPr>
          <w:lang w:val="fr-FR"/>
        </w:rPr>
        <w:t>la</w:t>
      </w:r>
      <w:r w:rsidR="00F71337" w:rsidRPr="00CD2562">
        <w:rPr>
          <w:lang w:val="fr-FR"/>
        </w:rPr>
        <w:t xml:space="preserve"> demande</w:t>
      </w:r>
      <w:r w:rsidR="00497479" w:rsidRPr="00CD2562">
        <w:rPr>
          <w:lang w:val="fr-FR"/>
        </w:rPr>
        <w:t xml:space="preserve"> </w:t>
      </w:r>
      <w:r w:rsidRPr="00CD2562">
        <w:rPr>
          <w:lang w:val="fr-FR"/>
        </w:rPr>
        <w:t xml:space="preserve">est </w:t>
      </w:r>
      <w:r w:rsidR="00497479" w:rsidRPr="00CD2562">
        <w:rPr>
          <w:lang w:val="fr-FR"/>
        </w:rPr>
        <w:t>faible</w:t>
      </w:r>
      <w:r w:rsidR="00F71337" w:rsidRPr="00CD2562">
        <w:rPr>
          <w:lang w:val="fr-FR"/>
        </w:rPr>
        <w:t>, cela peut indiquer que les rapports techniques annuels ne sont pas aussi utiles qu</w:t>
      </w:r>
      <w:r w:rsidR="00837637" w:rsidRPr="00CD2562">
        <w:rPr>
          <w:lang w:val="fr-FR"/>
        </w:rPr>
        <w:t>’</w:t>
      </w:r>
      <w:r w:rsidR="00F71337" w:rsidRPr="00CD2562">
        <w:rPr>
          <w:lang w:val="fr-FR"/>
        </w:rPr>
        <w:t>ils l</w:t>
      </w:r>
      <w:r w:rsidR="00837637" w:rsidRPr="00CD2562">
        <w:rPr>
          <w:lang w:val="fr-FR"/>
        </w:rPr>
        <w:t>’</w:t>
      </w:r>
      <w:r w:rsidR="00F71337" w:rsidRPr="00CD2562">
        <w:rPr>
          <w:lang w:val="fr-FR"/>
        </w:rPr>
        <w:t>étaient dans le pas</w:t>
      </w:r>
      <w:r w:rsidR="00CD2562" w:rsidRPr="00CD2562">
        <w:rPr>
          <w:lang w:val="fr-FR"/>
        </w:rPr>
        <w:t>sé.  No</w:t>
      </w:r>
      <w:r w:rsidR="00F71337" w:rsidRPr="00CD2562">
        <w:rPr>
          <w:lang w:val="fr-FR"/>
        </w:rPr>
        <w:t xml:space="preserve">us pouvons </w:t>
      </w:r>
      <w:r w:rsidR="00497479" w:rsidRPr="00CD2562">
        <w:rPr>
          <w:lang w:val="fr-FR"/>
        </w:rPr>
        <w:t>répondre à</w:t>
      </w:r>
      <w:r w:rsidR="00F71337" w:rsidRPr="00CD2562">
        <w:rPr>
          <w:lang w:val="fr-FR"/>
        </w:rPr>
        <w:t xml:space="preserve"> cette question </w:t>
      </w:r>
      <w:r w:rsidR="00497479" w:rsidRPr="00CD2562">
        <w:rPr>
          <w:lang w:val="fr-FR"/>
        </w:rPr>
        <w:t>en nous appuyant sur</w:t>
      </w:r>
      <w:r w:rsidR="00F71337" w:rsidRPr="00CD2562">
        <w:rPr>
          <w:lang w:val="fr-FR"/>
        </w:rPr>
        <w:t xml:space="preserve"> de</w:t>
      </w:r>
      <w:r w:rsidR="00497479" w:rsidRPr="00CD2562">
        <w:rPr>
          <w:lang w:val="fr-FR"/>
        </w:rPr>
        <w:t>s</w:t>
      </w:r>
      <w:r w:rsidR="00F71337" w:rsidRPr="00CD2562">
        <w:rPr>
          <w:lang w:val="fr-FR"/>
        </w:rPr>
        <w:t xml:space="preserve"> données empiriques provenant</w:t>
      </w:r>
      <w:r w:rsidR="00497479" w:rsidRPr="00CD2562">
        <w:rPr>
          <w:lang w:val="fr-FR"/>
        </w:rPr>
        <w:t>, d</w:t>
      </w:r>
      <w:r w:rsidR="00837637" w:rsidRPr="00CD2562">
        <w:rPr>
          <w:lang w:val="fr-FR"/>
        </w:rPr>
        <w:t>’</w:t>
      </w:r>
      <w:r w:rsidR="00497479" w:rsidRPr="00CD2562">
        <w:rPr>
          <w:lang w:val="fr-FR"/>
        </w:rPr>
        <w:t>une part,</w:t>
      </w:r>
      <w:r w:rsidR="00F71337" w:rsidRPr="00CD2562">
        <w:rPr>
          <w:lang w:val="fr-FR"/>
        </w:rPr>
        <w:t xml:space="preserve"> de</w:t>
      </w:r>
      <w:r w:rsidR="00497479" w:rsidRPr="00CD2562">
        <w:rPr>
          <w:lang w:val="fr-FR"/>
        </w:rPr>
        <w:t>s</w:t>
      </w:r>
      <w:r w:rsidR="00F71337" w:rsidRPr="00CD2562">
        <w:rPr>
          <w:lang w:val="fr-FR"/>
        </w:rPr>
        <w:t xml:space="preserve"> producteurs d</w:t>
      </w:r>
      <w:r w:rsidR="00497479" w:rsidRPr="00CD2562">
        <w:rPr>
          <w:lang w:val="fr-FR"/>
        </w:rPr>
        <w:t xml:space="preserve">es </w:t>
      </w:r>
      <w:r w:rsidR="00F71337" w:rsidRPr="00CD2562">
        <w:rPr>
          <w:lang w:val="fr-FR"/>
        </w:rPr>
        <w:t>rapports techniques annuels (</w:t>
      </w:r>
      <w:r w:rsidR="00497479" w:rsidRPr="00CD2562">
        <w:rPr>
          <w:lang w:val="fr-FR"/>
        </w:rPr>
        <w:t>offices de propriété intellectuelle</w:t>
      </w:r>
      <w:r w:rsidR="00F71337" w:rsidRPr="00CD2562">
        <w:rPr>
          <w:lang w:val="fr-FR"/>
        </w:rPr>
        <w:t>) et</w:t>
      </w:r>
      <w:r w:rsidR="00497479" w:rsidRPr="00CD2562">
        <w:rPr>
          <w:lang w:val="fr-FR"/>
        </w:rPr>
        <w:t>, d</w:t>
      </w:r>
      <w:r w:rsidR="00837637" w:rsidRPr="00CD2562">
        <w:rPr>
          <w:lang w:val="fr-FR"/>
        </w:rPr>
        <w:t>’</w:t>
      </w:r>
      <w:r w:rsidR="00497479" w:rsidRPr="00CD2562">
        <w:rPr>
          <w:lang w:val="fr-FR"/>
        </w:rPr>
        <w:t>autre part, des consommateurs des</w:t>
      </w:r>
      <w:r w:rsidR="00F71337" w:rsidRPr="00CD2562">
        <w:rPr>
          <w:lang w:val="fr-FR"/>
        </w:rPr>
        <w:t xml:space="preserve"> rapports techniques annuels (utilisateurs finaux).</w:t>
      </w:r>
    </w:p>
    <w:p w14:paraId="585579B9" w14:textId="6FF58521" w:rsidR="000740C3" w:rsidRPr="00CD2562" w:rsidRDefault="009B23C7" w:rsidP="009B23C7">
      <w:pPr>
        <w:pStyle w:val="Heading2"/>
        <w:rPr>
          <w:lang w:val="fr-FR"/>
        </w:rPr>
      </w:pPr>
      <w:r w:rsidRPr="00CD2562">
        <w:rPr>
          <w:lang w:val="fr-FR"/>
        </w:rPr>
        <w:t>Producteurs des rapports techniques annuels</w:t>
      </w:r>
    </w:p>
    <w:p w14:paraId="248BCD9F" w14:textId="3D04426F" w:rsidR="00070ED9" w:rsidRPr="00CD2562" w:rsidRDefault="00070ED9" w:rsidP="009B23C7">
      <w:pPr>
        <w:pStyle w:val="ONUMFS"/>
        <w:rPr>
          <w:lang w:val="fr-FR"/>
        </w:rPr>
      </w:pPr>
      <w:r w:rsidRPr="00CD2562">
        <w:rPr>
          <w:lang w:val="fr-FR"/>
        </w:rPr>
        <w:t xml:space="preserve">Du côté des producteurs, la </w:t>
      </w:r>
      <w:r w:rsidR="00CE3137" w:rsidRPr="00CD2562">
        <w:rPr>
          <w:lang w:val="fr-FR"/>
        </w:rPr>
        <w:t>fourniture</w:t>
      </w:r>
      <w:r w:rsidRPr="00CD2562">
        <w:rPr>
          <w:lang w:val="fr-FR"/>
        </w:rPr>
        <w:t xml:space="preserve"> de rapports techniques annuels n</w:t>
      </w:r>
      <w:r w:rsidR="00837637" w:rsidRPr="00CD2562">
        <w:rPr>
          <w:lang w:val="fr-FR"/>
        </w:rPr>
        <w:t>’</w:t>
      </w:r>
      <w:r w:rsidRPr="00CD2562">
        <w:rPr>
          <w:lang w:val="fr-FR"/>
        </w:rPr>
        <w:t>a cessé de diminuer au fil des a</w:t>
      </w:r>
      <w:r w:rsidR="00CD2562" w:rsidRPr="00CD2562">
        <w:rPr>
          <w:lang w:val="fr-FR"/>
        </w:rPr>
        <w:t>ns.  De</w:t>
      </w:r>
      <w:r w:rsidRPr="00CD2562">
        <w:rPr>
          <w:lang w:val="fr-FR"/>
        </w:rPr>
        <w:t xml:space="preserve"> 1998 à 2001, plus de 50 offices ont</w:t>
      </w:r>
      <w:r w:rsidR="00C74516" w:rsidRPr="00CD2562">
        <w:rPr>
          <w:lang w:val="fr-FR"/>
        </w:rPr>
        <w:t>,</w:t>
      </w:r>
      <w:r w:rsidRPr="00CD2562">
        <w:rPr>
          <w:lang w:val="fr-FR"/>
        </w:rPr>
        <w:t xml:space="preserve"> </w:t>
      </w:r>
      <w:r w:rsidR="00C74516" w:rsidRPr="00CD2562">
        <w:rPr>
          <w:lang w:val="fr-FR"/>
        </w:rPr>
        <w:t xml:space="preserve">chaque année, </w:t>
      </w:r>
      <w:r w:rsidRPr="00CD2562">
        <w:rPr>
          <w:lang w:val="fr-FR"/>
        </w:rPr>
        <w:t xml:space="preserve">fourni des </w:t>
      </w:r>
      <w:r w:rsidR="00C74516" w:rsidRPr="00CD2562">
        <w:rPr>
          <w:lang w:val="fr-FR"/>
        </w:rPr>
        <w:t>rappor</w:t>
      </w:r>
      <w:r w:rsidR="00CD2562" w:rsidRPr="00CD2562">
        <w:rPr>
          <w:lang w:val="fr-FR"/>
        </w:rPr>
        <w:t>ts.  De</w:t>
      </w:r>
      <w:r w:rsidRPr="00CD2562">
        <w:rPr>
          <w:lang w:val="fr-FR"/>
        </w:rPr>
        <w:t xml:space="preserve"> 2002 à 2007, </w:t>
      </w:r>
      <w:r w:rsidR="00C74516" w:rsidRPr="00CD2562">
        <w:rPr>
          <w:lang w:val="fr-FR"/>
        </w:rPr>
        <w:t xml:space="preserve">42 offices en </w:t>
      </w:r>
      <w:r w:rsidRPr="00CD2562">
        <w:rPr>
          <w:lang w:val="fr-FR"/>
        </w:rPr>
        <w:t xml:space="preserve">moyenne </w:t>
      </w:r>
      <w:r w:rsidR="00C74516" w:rsidRPr="00CD2562">
        <w:rPr>
          <w:lang w:val="fr-FR"/>
        </w:rPr>
        <w:t>ont</w:t>
      </w:r>
      <w:r w:rsidRPr="00CD2562">
        <w:rPr>
          <w:lang w:val="fr-FR"/>
        </w:rPr>
        <w:t xml:space="preserve"> fourni des </w:t>
      </w:r>
      <w:r w:rsidR="00C74516" w:rsidRPr="00CD2562">
        <w:rPr>
          <w:lang w:val="fr-FR"/>
        </w:rPr>
        <w:t>rappor</w:t>
      </w:r>
      <w:r w:rsidR="00CD2562" w:rsidRPr="00CD2562">
        <w:rPr>
          <w:lang w:val="fr-FR"/>
        </w:rPr>
        <w:t>ts.  Ce</w:t>
      </w:r>
      <w:r w:rsidRPr="00CD2562">
        <w:rPr>
          <w:lang w:val="fr-FR"/>
        </w:rPr>
        <w:t xml:space="preserve"> chiffre est tombé à une moyenne de 31</w:t>
      </w:r>
      <w:r w:rsidR="0064125D" w:rsidRPr="00CD2562">
        <w:rPr>
          <w:lang w:val="fr-FR"/>
        </w:rPr>
        <w:t> </w:t>
      </w:r>
      <w:r w:rsidRPr="00CD2562">
        <w:rPr>
          <w:lang w:val="fr-FR"/>
        </w:rPr>
        <w:t>offices entre 2008 et 2013.  De 2014 à 2018, le nombre d</w:t>
      </w:r>
      <w:r w:rsidR="00837637" w:rsidRPr="00CD2562">
        <w:rPr>
          <w:lang w:val="fr-FR"/>
        </w:rPr>
        <w:t>’</w:t>
      </w:r>
      <w:r w:rsidRPr="00CD2562">
        <w:rPr>
          <w:lang w:val="fr-FR"/>
        </w:rPr>
        <w:t>offices n</w:t>
      </w:r>
      <w:r w:rsidR="00837637" w:rsidRPr="00CD2562">
        <w:rPr>
          <w:lang w:val="fr-FR"/>
        </w:rPr>
        <w:t>’</w:t>
      </w:r>
      <w:r w:rsidRPr="00CD2562">
        <w:rPr>
          <w:lang w:val="fr-FR"/>
        </w:rPr>
        <w:t xml:space="preserve">a cessé de diminuer, passant de 23 </w:t>
      </w:r>
      <w:r w:rsidR="00837637" w:rsidRPr="00CD2562">
        <w:rPr>
          <w:lang w:val="fr-FR"/>
        </w:rPr>
        <w:t>en 2014</w:t>
      </w:r>
      <w:r w:rsidRPr="00CD2562">
        <w:rPr>
          <w:lang w:val="fr-FR"/>
        </w:rPr>
        <w:t xml:space="preserve"> à seulement 11 </w:t>
      </w:r>
      <w:r w:rsidR="00837637" w:rsidRPr="00CD2562">
        <w:rPr>
          <w:lang w:val="fr-FR"/>
        </w:rPr>
        <w:t>en 2018</w:t>
      </w:r>
      <w:r w:rsidRPr="00CD2562">
        <w:rPr>
          <w:lang w:val="fr-FR"/>
        </w:rPr>
        <w:t xml:space="preserve">.  </w:t>
      </w:r>
      <w:r w:rsidR="00837637" w:rsidRPr="00CD2562">
        <w:rPr>
          <w:lang w:val="fr-FR"/>
        </w:rPr>
        <w:t>En 2020</w:t>
      </w:r>
      <w:r w:rsidR="0064125D" w:rsidRPr="00CD2562">
        <w:rPr>
          <w:lang w:val="fr-FR"/>
        </w:rPr>
        <w:t xml:space="preserve">, le nombre de </w:t>
      </w:r>
      <w:r w:rsidR="00C74516" w:rsidRPr="00CD2562">
        <w:rPr>
          <w:lang w:val="fr-FR"/>
        </w:rPr>
        <w:lastRenderedPageBreak/>
        <w:t xml:space="preserve">rapports techniques annuels </w:t>
      </w:r>
      <w:r w:rsidR="0064125D" w:rsidRPr="00CD2562">
        <w:rPr>
          <w:lang w:val="fr-FR"/>
        </w:rPr>
        <w:t>est</w:t>
      </w:r>
      <w:r w:rsidRPr="00CD2562">
        <w:rPr>
          <w:lang w:val="fr-FR"/>
        </w:rPr>
        <w:t xml:space="preserve"> revenu au</w:t>
      </w:r>
      <w:r w:rsidR="00D656F2" w:rsidRPr="00CD2562">
        <w:rPr>
          <w:lang w:val="fr-FR"/>
        </w:rPr>
        <w:t xml:space="preserve"> niveau</w:t>
      </w:r>
      <w:r w:rsidRPr="00CD2562">
        <w:rPr>
          <w:lang w:val="fr-FR"/>
        </w:rPr>
        <w:t xml:space="preserve"> </w:t>
      </w:r>
      <w:r w:rsidR="00837637" w:rsidRPr="00CD2562">
        <w:rPr>
          <w:lang w:val="fr-FR"/>
        </w:rPr>
        <w:t>de 2018</w:t>
      </w:r>
      <w:r w:rsidRPr="00CD2562">
        <w:rPr>
          <w:lang w:val="fr-FR"/>
        </w:rPr>
        <w:t>, avec seulement 11</w:t>
      </w:r>
      <w:r w:rsidR="00362A9B" w:rsidRPr="00CD2562">
        <w:rPr>
          <w:lang w:val="fr-FR"/>
        </w:rPr>
        <w:t> </w:t>
      </w:r>
      <w:r w:rsidRPr="00CD2562">
        <w:rPr>
          <w:lang w:val="fr-FR"/>
        </w:rPr>
        <w:t xml:space="preserve">offices qui les </w:t>
      </w:r>
      <w:r w:rsidR="00362A9B" w:rsidRPr="00CD2562">
        <w:rPr>
          <w:lang w:val="fr-FR"/>
        </w:rPr>
        <w:t xml:space="preserve">ont </w:t>
      </w:r>
      <w:r w:rsidRPr="00CD2562">
        <w:rPr>
          <w:lang w:val="fr-FR"/>
        </w:rPr>
        <w:t>fourn</w:t>
      </w:r>
      <w:r w:rsidR="00CD2562" w:rsidRPr="00CD2562">
        <w:rPr>
          <w:lang w:val="fr-FR"/>
        </w:rPr>
        <w:t>is.  Le</w:t>
      </w:r>
      <w:r w:rsidRPr="00CD2562">
        <w:rPr>
          <w:lang w:val="fr-FR"/>
        </w:rPr>
        <w:t xml:space="preserve"> graphique suivant montre le déclin </w:t>
      </w:r>
      <w:r w:rsidR="00837637" w:rsidRPr="00CD2562">
        <w:rPr>
          <w:lang w:val="fr-FR"/>
        </w:rPr>
        <w:t>depuis 1998</w:t>
      </w:r>
      <w:r w:rsidR="00362A9B" w:rsidRPr="00CD2562">
        <w:rPr>
          <w:lang w:val="fr-FR"/>
        </w:rPr>
        <w:t>.</w:t>
      </w:r>
    </w:p>
    <w:p w14:paraId="425E9D7B" w14:textId="239156EA" w:rsidR="004E109D" w:rsidRPr="00CD2562" w:rsidRDefault="00F93E92" w:rsidP="0085337D">
      <w:pPr>
        <w:pStyle w:val="ONUMFS"/>
        <w:numPr>
          <w:ilvl w:val="0"/>
          <w:numId w:val="0"/>
        </w:numPr>
        <w:rPr>
          <w:lang w:val="fr-FR"/>
        </w:rPr>
      </w:pPr>
      <w:r w:rsidRPr="00CD2562">
        <w:rPr>
          <w:noProof/>
          <w:lang w:eastAsia="en-US"/>
        </w:rPr>
        <w:drawing>
          <wp:inline distT="0" distB="0" distL="0" distR="0" wp14:anchorId="293B95C4" wp14:editId="3EA94B17">
            <wp:extent cx="5942330" cy="3413125"/>
            <wp:effectExtent l="0" t="0" r="1270" b="158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82DF3F" w14:textId="5E0BDD7F" w:rsidR="00964E8D" w:rsidRPr="00CD2562" w:rsidRDefault="008265C4" w:rsidP="009B23C7">
      <w:pPr>
        <w:pStyle w:val="ONUMFS"/>
        <w:rPr>
          <w:lang w:val="fr-FR"/>
        </w:rPr>
      </w:pPr>
      <w:r w:rsidRPr="00CD2562">
        <w:rPr>
          <w:lang w:val="fr-FR"/>
        </w:rPr>
        <w:t xml:space="preserve">La légère augmentation du nombre de rapports techniques annuels enregistrée </w:t>
      </w:r>
      <w:r w:rsidR="00837637" w:rsidRPr="00CD2562">
        <w:rPr>
          <w:lang w:val="fr-FR"/>
        </w:rPr>
        <w:t>en 2019</w:t>
      </w:r>
      <w:r w:rsidR="00964E8D" w:rsidRPr="00CD2562">
        <w:rPr>
          <w:lang w:val="fr-FR"/>
        </w:rPr>
        <w:t>, avec 18</w:t>
      </w:r>
      <w:r w:rsidRPr="00CD2562">
        <w:rPr>
          <w:lang w:val="fr-FR"/>
        </w:rPr>
        <w:t> </w:t>
      </w:r>
      <w:r w:rsidR="00964E8D" w:rsidRPr="00CD2562">
        <w:rPr>
          <w:lang w:val="fr-FR"/>
        </w:rPr>
        <w:t>offices</w:t>
      </w:r>
      <w:r w:rsidRPr="00CD2562">
        <w:rPr>
          <w:lang w:val="fr-FR"/>
        </w:rPr>
        <w:t xml:space="preserve"> ayant fourni des rapports, constitue une exception à ce modè</w:t>
      </w:r>
      <w:r w:rsidR="00CD2562" w:rsidRPr="00CD2562">
        <w:rPr>
          <w:lang w:val="fr-FR"/>
        </w:rPr>
        <w:t>le.  Ce</w:t>
      </w:r>
      <w:r w:rsidR="00964E8D" w:rsidRPr="00CD2562">
        <w:rPr>
          <w:lang w:val="fr-FR"/>
        </w:rPr>
        <w:t xml:space="preserve">s </w:t>
      </w:r>
      <w:r w:rsidRPr="00CD2562">
        <w:rPr>
          <w:lang w:val="fr-FR"/>
        </w:rPr>
        <w:t xml:space="preserve">rapports </w:t>
      </w:r>
      <w:r w:rsidR="00964E8D" w:rsidRPr="00CD2562">
        <w:rPr>
          <w:lang w:val="fr-FR"/>
        </w:rPr>
        <w:t xml:space="preserve">ont été collectés </w:t>
      </w:r>
      <w:r w:rsidR="00837637" w:rsidRPr="00CD2562">
        <w:rPr>
          <w:lang w:val="fr-FR"/>
        </w:rPr>
        <w:t>en 2020</w:t>
      </w:r>
      <w:r w:rsidR="00964E8D" w:rsidRPr="00CD2562">
        <w:rPr>
          <w:lang w:val="fr-FR"/>
        </w:rPr>
        <w:t xml:space="preserve"> pendant la pandémie de COVID</w:t>
      </w:r>
      <w:r w:rsidR="00837637" w:rsidRPr="00CD2562">
        <w:rPr>
          <w:lang w:val="fr-FR"/>
        </w:rPr>
        <w:t>-</w:t>
      </w:r>
      <w:r w:rsidR="00964E8D" w:rsidRPr="00CD2562">
        <w:rPr>
          <w:lang w:val="fr-FR"/>
        </w:rPr>
        <w:t>19.  L</w:t>
      </w:r>
      <w:r w:rsidR="00837637" w:rsidRPr="00CD2562">
        <w:rPr>
          <w:lang w:val="fr-FR"/>
        </w:rPr>
        <w:t>’</w:t>
      </w:r>
      <w:r w:rsidR="00362A9B" w:rsidRPr="00CD2562">
        <w:rPr>
          <w:lang w:val="fr-FR"/>
        </w:rPr>
        <w:t xml:space="preserve">augmentation </w:t>
      </w:r>
      <w:r w:rsidRPr="00CD2562">
        <w:rPr>
          <w:lang w:val="fr-FR"/>
        </w:rPr>
        <w:t xml:space="preserve">enregistrée </w:t>
      </w:r>
      <w:r w:rsidR="00837637" w:rsidRPr="00CD2562">
        <w:rPr>
          <w:lang w:val="fr-FR"/>
        </w:rPr>
        <w:t>en 2019</w:t>
      </w:r>
      <w:r w:rsidR="00964E8D" w:rsidRPr="00CD2562">
        <w:rPr>
          <w:lang w:val="fr-FR"/>
        </w:rPr>
        <w:t xml:space="preserve"> semble être temporaire, </w:t>
      </w:r>
      <w:r w:rsidRPr="00CD2562">
        <w:rPr>
          <w:lang w:val="fr-FR"/>
        </w:rPr>
        <w:t>la hausse</w:t>
      </w:r>
      <w:r w:rsidR="00964E8D" w:rsidRPr="00CD2562">
        <w:rPr>
          <w:lang w:val="fr-FR"/>
        </w:rPr>
        <w:t xml:space="preserve"> n</w:t>
      </w:r>
      <w:r w:rsidR="00837637" w:rsidRPr="00CD2562">
        <w:rPr>
          <w:lang w:val="fr-FR"/>
        </w:rPr>
        <w:t>’</w:t>
      </w:r>
      <w:r w:rsidR="00964E8D" w:rsidRPr="00CD2562">
        <w:rPr>
          <w:lang w:val="fr-FR"/>
        </w:rPr>
        <w:t>a</w:t>
      </w:r>
      <w:r w:rsidRPr="00CD2562">
        <w:rPr>
          <w:lang w:val="fr-FR"/>
        </w:rPr>
        <w:t>yant</w:t>
      </w:r>
      <w:r w:rsidR="00964E8D" w:rsidRPr="00CD2562">
        <w:rPr>
          <w:lang w:val="fr-FR"/>
        </w:rPr>
        <w:t xml:space="preserve"> pas du</w:t>
      </w:r>
      <w:r w:rsidR="00CD2562" w:rsidRPr="00CD2562">
        <w:rPr>
          <w:lang w:val="fr-FR"/>
        </w:rPr>
        <w:t>ré.  Le</w:t>
      </w:r>
      <w:r w:rsidRPr="00CD2562">
        <w:rPr>
          <w:lang w:val="fr-FR"/>
        </w:rPr>
        <w:t xml:space="preserve"> nombre de rapports techniques annuels</w:t>
      </w:r>
      <w:r w:rsidR="00964E8D" w:rsidRPr="00CD2562">
        <w:rPr>
          <w:lang w:val="fr-FR"/>
        </w:rPr>
        <w:t xml:space="preserve"> </w:t>
      </w:r>
      <w:r w:rsidR="00837637" w:rsidRPr="00CD2562">
        <w:rPr>
          <w:lang w:val="fr-FR"/>
        </w:rPr>
        <w:t>pour 2020</w:t>
      </w:r>
      <w:r w:rsidR="00964E8D" w:rsidRPr="00CD2562">
        <w:rPr>
          <w:lang w:val="fr-FR"/>
        </w:rPr>
        <w:t xml:space="preserve"> (</w:t>
      </w:r>
      <w:r w:rsidR="00362A9B" w:rsidRPr="00CD2562">
        <w:rPr>
          <w:lang w:val="fr-FR"/>
        </w:rPr>
        <w:t>fourni</w:t>
      </w:r>
      <w:r w:rsidR="00964E8D" w:rsidRPr="00CD2562">
        <w:rPr>
          <w:lang w:val="fr-FR"/>
        </w:rPr>
        <w:t xml:space="preserve">s </w:t>
      </w:r>
      <w:r w:rsidR="00837637" w:rsidRPr="00CD2562">
        <w:rPr>
          <w:lang w:val="fr-FR"/>
        </w:rPr>
        <w:t>en 2021</w:t>
      </w:r>
      <w:r w:rsidR="00964E8D" w:rsidRPr="00CD2562">
        <w:rPr>
          <w:lang w:val="fr-FR"/>
        </w:rPr>
        <w:t xml:space="preserve">) </w:t>
      </w:r>
      <w:r w:rsidRPr="00CD2562">
        <w:rPr>
          <w:lang w:val="fr-FR"/>
        </w:rPr>
        <w:t>est</w:t>
      </w:r>
      <w:r w:rsidR="00964E8D" w:rsidRPr="00CD2562">
        <w:rPr>
          <w:lang w:val="fr-FR"/>
        </w:rPr>
        <w:t xml:space="preserve"> retombé</w:t>
      </w:r>
      <w:r w:rsidR="00674957" w:rsidRPr="00CD2562">
        <w:rPr>
          <w:lang w:val="fr-FR"/>
        </w:rPr>
        <w:t xml:space="preserve"> à un niveau proche du plancher historique</w:t>
      </w:r>
      <w:r w:rsidR="00964E8D" w:rsidRPr="00CD2562">
        <w:rPr>
          <w:lang w:val="fr-FR"/>
        </w:rPr>
        <w:t>.</w:t>
      </w:r>
    </w:p>
    <w:p w14:paraId="52B7BC5B" w14:textId="414A07CB" w:rsidR="00674957" w:rsidRPr="00CD2562" w:rsidRDefault="00674957" w:rsidP="009B23C7">
      <w:pPr>
        <w:pStyle w:val="ONUMFS"/>
        <w:rPr>
          <w:lang w:val="fr-FR"/>
        </w:rPr>
      </w:pPr>
      <w:r w:rsidRPr="00CD2562">
        <w:rPr>
          <w:lang w:val="fr-FR"/>
        </w:rPr>
        <w:t>Selon ces données, la baisse de la participation des offices de propriété intellectuelle semble indiquer que les rapports techniques annuels ne sont pas perçus comme ayant la même importance qu</w:t>
      </w:r>
      <w:r w:rsidR="00837637" w:rsidRPr="00CD2562">
        <w:rPr>
          <w:lang w:val="fr-FR"/>
        </w:rPr>
        <w:t>’</w:t>
      </w:r>
      <w:r w:rsidRPr="00CD2562">
        <w:rPr>
          <w:lang w:val="fr-FR"/>
        </w:rPr>
        <w:t>il y a 20 ans du point de vue des producteurs de</w:t>
      </w:r>
      <w:r w:rsidR="00362A9B" w:rsidRPr="00CD2562">
        <w:rPr>
          <w:lang w:val="fr-FR"/>
        </w:rPr>
        <w:t>s</w:t>
      </w:r>
      <w:r w:rsidRPr="00CD2562">
        <w:rPr>
          <w:lang w:val="fr-FR"/>
        </w:rPr>
        <w:t xml:space="preserve"> rapports techniques annuels (offices de propriété intellectuelle).</w:t>
      </w:r>
    </w:p>
    <w:p w14:paraId="02B4A307" w14:textId="48E980D5" w:rsidR="000740C3" w:rsidRPr="00CD2562" w:rsidRDefault="009B23C7" w:rsidP="009B23C7">
      <w:pPr>
        <w:pStyle w:val="Heading2"/>
        <w:rPr>
          <w:lang w:val="fr-FR"/>
        </w:rPr>
      </w:pPr>
      <w:r w:rsidRPr="00CD2562">
        <w:rPr>
          <w:lang w:val="fr-FR"/>
        </w:rPr>
        <w:t>U</w:t>
      </w:r>
      <w:r w:rsidR="00674957" w:rsidRPr="00CD2562">
        <w:rPr>
          <w:lang w:val="fr-FR"/>
        </w:rPr>
        <w:t>tilisateurs de</w:t>
      </w:r>
      <w:r w:rsidR="00362A9B" w:rsidRPr="00CD2562">
        <w:rPr>
          <w:lang w:val="fr-FR"/>
        </w:rPr>
        <w:t>s</w:t>
      </w:r>
      <w:r w:rsidR="00674957" w:rsidRPr="00CD2562">
        <w:rPr>
          <w:lang w:val="fr-FR"/>
        </w:rPr>
        <w:t xml:space="preserve"> rapports techniques annuels</w:t>
      </w:r>
    </w:p>
    <w:p w14:paraId="2A838C95" w14:textId="62E23E44" w:rsidR="00674957" w:rsidRPr="00CD2562" w:rsidRDefault="00674957" w:rsidP="009B23C7">
      <w:pPr>
        <w:pStyle w:val="ONUMFS"/>
        <w:rPr>
          <w:lang w:val="fr-FR"/>
        </w:rPr>
      </w:pPr>
      <w:r w:rsidRPr="00CD2562">
        <w:rPr>
          <w:lang w:val="fr-FR"/>
        </w:rPr>
        <w:t>Du côté des utilisateurs, les statistiques Web relatives aux consultations de</w:t>
      </w:r>
      <w:r w:rsidR="002D1F11" w:rsidRPr="00CD2562">
        <w:rPr>
          <w:lang w:val="fr-FR"/>
        </w:rPr>
        <w:t>s</w:t>
      </w:r>
      <w:r w:rsidRPr="00CD2562">
        <w:rPr>
          <w:lang w:val="fr-FR"/>
        </w:rPr>
        <w:t xml:space="preserve"> pages </w:t>
      </w:r>
      <w:r w:rsidR="00A70070" w:rsidRPr="00CD2562">
        <w:rPr>
          <w:lang w:val="fr-FR"/>
        </w:rPr>
        <w:t>dédiées aux rapports techniques annuels</w:t>
      </w:r>
      <w:r w:rsidRPr="00CD2562">
        <w:rPr>
          <w:lang w:val="fr-FR"/>
        </w:rPr>
        <w:t xml:space="preserve"> présentent un schéma similai</w:t>
      </w:r>
      <w:r w:rsidR="00CD2562" w:rsidRPr="00CD2562">
        <w:rPr>
          <w:lang w:val="fr-FR"/>
        </w:rPr>
        <w:t>re.  Le</w:t>
      </w:r>
      <w:r w:rsidR="002D1F11" w:rsidRPr="00CD2562">
        <w:rPr>
          <w:lang w:val="fr-FR"/>
        </w:rPr>
        <w:t xml:space="preserve"> Secrétariat dispose de </w:t>
      </w:r>
      <w:r w:rsidRPr="00CD2562">
        <w:rPr>
          <w:lang w:val="fr-FR"/>
        </w:rPr>
        <w:t>statistiques</w:t>
      </w:r>
      <w:r w:rsidR="00A70070" w:rsidRPr="00CD2562">
        <w:rPr>
          <w:lang w:val="fr-FR"/>
        </w:rPr>
        <w:t> W</w:t>
      </w:r>
      <w:r w:rsidRPr="00CD2562">
        <w:rPr>
          <w:lang w:val="fr-FR"/>
        </w:rPr>
        <w:t xml:space="preserve">eb </w:t>
      </w:r>
      <w:r w:rsidR="00837637" w:rsidRPr="00CD2562">
        <w:rPr>
          <w:lang w:val="fr-FR"/>
        </w:rPr>
        <w:t>depuis 2017</w:t>
      </w:r>
      <w:r w:rsidRPr="00CD2562">
        <w:rPr>
          <w:lang w:val="fr-FR"/>
        </w:rPr>
        <w:t xml:space="preserve">.  Les statistiques </w:t>
      </w:r>
      <w:r w:rsidR="00837637" w:rsidRPr="00CD2562">
        <w:rPr>
          <w:lang w:val="fr-FR"/>
        </w:rPr>
        <w:t>pour 2021</w:t>
      </w:r>
      <w:r w:rsidRPr="00CD2562">
        <w:rPr>
          <w:lang w:val="fr-FR"/>
        </w:rPr>
        <w:t xml:space="preserve"> sont exclues des calculs</w:t>
      </w:r>
      <w:r w:rsidR="002D1F11" w:rsidRPr="00CD2562">
        <w:rPr>
          <w:lang w:val="fr-FR"/>
        </w:rPr>
        <w:t>,</w:t>
      </w:r>
      <w:r w:rsidRPr="00CD2562">
        <w:rPr>
          <w:lang w:val="fr-FR"/>
        </w:rPr>
        <w:t xml:space="preserve"> seul</w:t>
      </w:r>
      <w:r w:rsidR="00A70070" w:rsidRPr="00CD2562">
        <w:rPr>
          <w:lang w:val="fr-FR"/>
        </w:rPr>
        <w:t>e</w:t>
      </w:r>
      <w:r w:rsidRPr="00CD2562">
        <w:rPr>
          <w:lang w:val="fr-FR"/>
        </w:rPr>
        <w:t xml:space="preserve">s </w:t>
      </w:r>
      <w:r w:rsidR="00A70070" w:rsidRPr="00CD2562">
        <w:rPr>
          <w:lang w:val="fr-FR"/>
        </w:rPr>
        <w:t xml:space="preserve">les données relatives </w:t>
      </w:r>
      <w:r w:rsidR="002D1F11" w:rsidRPr="00CD2562">
        <w:rPr>
          <w:lang w:val="fr-FR"/>
        </w:rPr>
        <w:t>à une période de</w:t>
      </w:r>
      <w:r w:rsidR="00A70070" w:rsidRPr="00CD2562">
        <w:rPr>
          <w:lang w:val="fr-FR"/>
        </w:rPr>
        <w:t xml:space="preserve"> </w:t>
      </w:r>
      <w:r w:rsidRPr="00CD2562">
        <w:rPr>
          <w:lang w:val="fr-FR"/>
        </w:rPr>
        <w:t>sept</w:t>
      </w:r>
      <w:r w:rsidR="00A70070" w:rsidRPr="00CD2562">
        <w:rPr>
          <w:lang w:val="fr-FR"/>
        </w:rPr>
        <w:t> </w:t>
      </w:r>
      <w:r w:rsidRPr="00CD2562">
        <w:rPr>
          <w:lang w:val="fr-FR"/>
        </w:rPr>
        <w:t xml:space="preserve">mois </w:t>
      </w:r>
      <w:r w:rsidR="002D1F11" w:rsidRPr="00CD2562">
        <w:rPr>
          <w:lang w:val="fr-FR"/>
        </w:rPr>
        <w:t>étant</w:t>
      </w:r>
      <w:r w:rsidRPr="00CD2562">
        <w:rPr>
          <w:lang w:val="fr-FR"/>
        </w:rPr>
        <w:t xml:space="preserve"> disponibles, mais les chiffres </w:t>
      </w:r>
      <w:r w:rsidR="002D1F11" w:rsidRPr="00CD2562">
        <w:rPr>
          <w:lang w:val="fr-FR"/>
        </w:rPr>
        <w:t xml:space="preserve">obtenus </w:t>
      </w:r>
      <w:r w:rsidRPr="00CD2562">
        <w:rPr>
          <w:lang w:val="fr-FR"/>
        </w:rPr>
        <w:t>jusqu</w:t>
      </w:r>
      <w:r w:rsidR="00837637" w:rsidRPr="00CD2562">
        <w:rPr>
          <w:lang w:val="fr-FR"/>
        </w:rPr>
        <w:t>’</w:t>
      </w:r>
      <w:r w:rsidR="002D1F11" w:rsidRPr="00CD2562">
        <w:rPr>
          <w:lang w:val="fr-FR"/>
        </w:rPr>
        <w:t>ici</w:t>
      </w:r>
      <w:r w:rsidRPr="00CD2562">
        <w:rPr>
          <w:lang w:val="fr-FR"/>
        </w:rPr>
        <w:t xml:space="preserve"> sont conformes à ceux des années précédentes.</w:t>
      </w:r>
    </w:p>
    <w:p w14:paraId="416A2FED" w14:textId="2F623CB3" w:rsidR="002D1F11" w:rsidRPr="00CD2562" w:rsidRDefault="002D1F11" w:rsidP="009B23C7">
      <w:pPr>
        <w:pStyle w:val="ONUMFS"/>
        <w:rPr>
          <w:lang w:val="fr-FR"/>
        </w:rPr>
      </w:pPr>
      <w:r w:rsidRPr="00CD2562">
        <w:rPr>
          <w:lang w:val="fr-FR"/>
        </w:rPr>
        <w:t>Chaque année, le</w:t>
      </w:r>
      <w:r w:rsidR="00BE14B4" w:rsidRPr="00CD2562">
        <w:rPr>
          <w:lang w:val="fr-FR"/>
        </w:rPr>
        <w:t xml:space="preserve"> nombre de</w:t>
      </w:r>
      <w:r w:rsidRPr="00CD2562">
        <w:rPr>
          <w:lang w:val="fr-FR"/>
        </w:rPr>
        <w:t xml:space="preserve"> pages dédiées aux rapports techniques annuels qui sont consultées présente</w:t>
      </w:r>
      <w:r w:rsidR="00BE14B4" w:rsidRPr="00CD2562">
        <w:rPr>
          <w:lang w:val="fr-FR"/>
        </w:rPr>
        <w:t xml:space="preserve"> le même sché</w:t>
      </w:r>
      <w:r w:rsidR="00CD2562" w:rsidRPr="00CD2562">
        <w:rPr>
          <w:lang w:val="fr-FR"/>
        </w:rPr>
        <w:t>ma.  Le</w:t>
      </w:r>
      <w:r w:rsidRPr="00CD2562">
        <w:rPr>
          <w:lang w:val="fr-FR"/>
        </w:rPr>
        <w:t xml:space="preserve"> graphique </w:t>
      </w:r>
      <w:r w:rsidR="00BE14B4" w:rsidRPr="00CD2562">
        <w:rPr>
          <w:lang w:val="fr-FR"/>
        </w:rPr>
        <w:t>ci</w:t>
      </w:r>
      <w:r w:rsidR="00837637" w:rsidRPr="00CD2562">
        <w:rPr>
          <w:lang w:val="fr-FR"/>
        </w:rPr>
        <w:t>-</w:t>
      </w:r>
      <w:r w:rsidR="00BE14B4" w:rsidRPr="00CD2562">
        <w:rPr>
          <w:lang w:val="fr-FR"/>
        </w:rPr>
        <w:t>après</w:t>
      </w:r>
      <w:r w:rsidRPr="00CD2562">
        <w:rPr>
          <w:lang w:val="fr-FR"/>
        </w:rPr>
        <w:t xml:space="preserve"> montre le</w:t>
      </w:r>
      <w:r w:rsidR="00BE14B4" w:rsidRPr="00CD2562">
        <w:rPr>
          <w:lang w:val="fr-FR"/>
        </w:rPr>
        <w:t xml:space="preserve"> nombre de </w:t>
      </w:r>
      <w:r w:rsidRPr="00CD2562">
        <w:rPr>
          <w:lang w:val="fr-FR"/>
        </w:rPr>
        <w:t xml:space="preserve">pages consultées </w:t>
      </w:r>
      <w:r w:rsidR="00837637" w:rsidRPr="00CD2562">
        <w:rPr>
          <w:lang w:val="fr-FR"/>
        </w:rPr>
        <w:t>en 2019</w:t>
      </w:r>
      <w:r w:rsidRPr="00CD2562">
        <w:rPr>
          <w:lang w:val="fr-FR"/>
        </w:rPr>
        <w:t xml:space="preserve"> pour tous les </w:t>
      </w:r>
      <w:r w:rsidR="00BE14B4" w:rsidRPr="00CD2562">
        <w:rPr>
          <w:lang w:val="fr-FR"/>
        </w:rPr>
        <w:t xml:space="preserve">rapports </w:t>
      </w:r>
      <w:r w:rsidR="00362A9B" w:rsidRPr="00CD2562">
        <w:rPr>
          <w:lang w:val="fr-FR"/>
        </w:rPr>
        <w:t>fournis</w:t>
      </w:r>
      <w:r w:rsidRPr="00CD2562">
        <w:rPr>
          <w:lang w:val="fr-FR"/>
        </w:rPr>
        <w:t xml:space="preserve"> au cours de l</w:t>
      </w:r>
      <w:r w:rsidR="00837637" w:rsidRPr="00CD2562">
        <w:rPr>
          <w:lang w:val="fr-FR"/>
        </w:rPr>
        <w:t>’</w:t>
      </w:r>
      <w:r w:rsidRPr="00CD2562">
        <w:rPr>
          <w:lang w:val="fr-FR"/>
        </w:rPr>
        <w:t>année indiquée.</w:t>
      </w:r>
    </w:p>
    <w:p w14:paraId="07199240" w14:textId="77777777" w:rsidR="000740C3" w:rsidRPr="00CD2562" w:rsidRDefault="000740C3" w:rsidP="00F8715A">
      <w:pPr>
        <w:pStyle w:val="ONUMFS"/>
        <w:numPr>
          <w:ilvl w:val="0"/>
          <w:numId w:val="0"/>
        </w:numPr>
        <w:jc w:val="center"/>
        <w:rPr>
          <w:lang w:val="fr-FR"/>
        </w:rPr>
      </w:pPr>
      <w:r w:rsidRPr="00CD2562">
        <w:rPr>
          <w:noProof/>
          <w:lang w:eastAsia="en-US"/>
        </w:rPr>
        <w:lastRenderedPageBreak/>
        <w:drawing>
          <wp:inline distT="0" distB="0" distL="0" distR="0" wp14:anchorId="7D1F7E86" wp14:editId="4EDB2A41">
            <wp:extent cx="4953000" cy="24765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D55345" w14:textId="649D842A" w:rsidR="00BE14B4" w:rsidRPr="00CD2562" w:rsidRDefault="00F7070F" w:rsidP="009B23C7">
      <w:pPr>
        <w:pStyle w:val="ONUMFS"/>
        <w:rPr>
          <w:lang w:val="fr-FR"/>
        </w:rPr>
      </w:pPr>
      <w:r w:rsidRPr="00CD2562">
        <w:rPr>
          <w:lang w:val="fr-FR"/>
        </w:rPr>
        <w:t>Au cours de l</w:t>
      </w:r>
      <w:r w:rsidR="00837637" w:rsidRPr="00CD2562">
        <w:rPr>
          <w:lang w:val="fr-FR"/>
        </w:rPr>
        <w:t>’</w:t>
      </w:r>
      <w:r w:rsidRPr="00CD2562">
        <w:rPr>
          <w:lang w:val="fr-FR"/>
        </w:rPr>
        <w:t>année</w:t>
      </w:r>
      <w:r w:rsidR="004F3380">
        <w:rPr>
          <w:lang w:val="fr-FR"/>
        </w:rPr>
        <w:t> </w:t>
      </w:r>
      <w:r w:rsidRPr="00CD2562">
        <w:rPr>
          <w:lang w:val="fr-FR"/>
        </w:rPr>
        <w:t>2019, les rapports techniques annuels de l</w:t>
      </w:r>
      <w:r w:rsidR="00837637" w:rsidRPr="00CD2562">
        <w:rPr>
          <w:lang w:val="fr-FR"/>
        </w:rPr>
        <w:t>’</w:t>
      </w:r>
      <w:r w:rsidRPr="00CD2562">
        <w:rPr>
          <w:lang w:val="fr-FR"/>
        </w:rPr>
        <w:t>année précédente (2018) sont collect</w:t>
      </w:r>
      <w:r w:rsidR="00CD2562" w:rsidRPr="00CD2562">
        <w:rPr>
          <w:lang w:val="fr-FR"/>
        </w:rPr>
        <w:t>és.  Ce</w:t>
      </w:r>
      <w:r w:rsidRPr="00CD2562">
        <w:rPr>
          <w:lang w:val="fr-FR"/>
        </w:rPr>
        <w:t xml:space="preserve">s rapports </w:t>
      </w:r>
      <w:r w:rsidR="007D15AB" w:rsidRPr="00CD2562">
        <w:rPr>
          <w:lang w:val="fr-FR"/>
        </w:rPr>
        <w:t>totalisent,</w:t>
      </w:r>
      <w:r w:rsidRPr="00CD2562">
        <w:rPr>
          <w:lang w:val="fr-FR"/>
        </w:rPr>
        <w:t xml:space="preserve"> </w:t>
      </w:r>
      <w:r w:rsidR="007D15AB" w:rsidRPr="00CD2562">
        <w:rPr>
          <w:lang w:val="fr-FR"/>
        </w:rPr>
        <w:t xml:space="preserve">dans les statistiques Web </w:t>
      </w:r>
      <w:r w:rsidR="00837637" w:rsidRPr="00CD2562">
        <w:rPr>
          <w:lang w:val="fr-FR"/>
        </w:rPr>
        <w:t>de 2019</w:t>
      </w:r>
      <w:r w:rsidR="007D15AB" w:rsidRPr="00CD2562">
        <w:rPr>
          <w:lang w:val="fr-FR"/>
        </w:rPr>
        <w:t xml:space="preserve">, </w:t>
      </w:r>
      <w:r w:rsidRPr="00CD2562">
        <w:rPr>
          <w:lang w:val="fr-FR"/>
        </w:rPr>
        <w:t xml:space="preserve">le deuxième plus grand nombre de </w:t>
      </w:r>
      <w:r w:rsidR="007D15AB" w:rsidRPr="00CD2562">
        <w:rPr>
          <w:lang w:val="fr-FR"/>
        </w:rPr>
        <w:t>consultations</w:t>
      </w:r>
      <w:r w:rsidRPr="00CD2562">
        <w:rPr>
          <w:lang w:val="fr-FR"/>
        </w:rPr>
        <w:t>, car les pages sont publiées au milieu de l</w:t>
      </w:r>
      <w:r w:rsidR="00837637" w:rsidRPr="00CD2562">
        <w:rPr>
          <w:lang w:val="fr-FR"/>
        </w:rPr>
        <w:t>’</w:t>
      </w:r>
      <w:r w:rsidRPr="00CD2562">
        <w:rPr>
          <w:lang w:val="fr-FR"/>
        </w:rPr>
        <w:t>ann</w:t>
      </w:r>
      <w:r w:rsidR="00CD2562" w:rsidRPr="00CD2562">
        <w:rPr>
          <w:lang w:val="fr-FR"/>
        </w:rPr>
        <w:t>ée.  Le</w:t>
      </w:r>
      <w:r w:rsidRPr="00CD2562">
        <w:rPr>
          <w:lang w:val="fr-FR"/>
        </w:rPr>
        <w:t>s rapports de l</w:t>
      </w:r>
      <w:r w:rsidR="00837637" w:rsidRPr="00CD2562">
        <w:rPr>
          <w:lang w:val="fr-FR"/>
        </w:rPr>
        <w:t>’</w:t>
      </w:r>
      <w:r w:rsidRPr="00CD2562">
        <w:rPr>
          <w:lang w:val="fr-FR"/>
        </w:rPr>
        <w:t xml:space="preserve">année précédente (2017) </w:t>
      </w:r>
      <w:r w:rsidR="007D15AB" w:rsidRPr="00CD2562">
        <w:rPr>
          <w:lang w:val="fr-FR"/>
        </w:rPr>
        <w:t>totalisent</w:t>
      </w:r>
      <w:r w:rsidRPr="00CD2562">
        <w:rPr>
          <w:lang w:val="fr-FR"/>
        </w:rPr>
        <w:t xml:space="preserve"> le plus grand nombre de </w:t>
      </w:r>
      <w:r w:rsidR="007D15AB" w:rsidRPr="00CD2562">
        <w:rPr>
          <w:lang w:val="fr-FR"/>
        </w:rPr>
        <w:t>consultations</w:t>
      </w:r>
      <w:r w:rsidRPr="00CD2562">
        <w:rPr>
          <w:lang w:val="fr-FR"/>
        </w:rPr>
        <w:t>, car ils sont disponibles pour toute l</w:t>
      </w:r>
      <w:r w:rsidR="00837637" w:rsidRPr="00CD2562">
        <w:rPr>
          <w:lang w:val="fr-FR"/>
        </w:rPr>
        <w:t>’</w:t>
      </w:r>
      <w:r w:rsidRPr="00CD2562">
        <w:rPr>
          <w:lang w:val="fr-FR"/>
        </w:rPr>
        <w:t>année</w:t>
      </w:r>
      <w:r w:rsidR="004F3380">
        <w:rPr>
          <w:lang w:val="fr-FR"/>
        </w:rPr>
        <w:t> </w:t>
      </w:r>
      <w:r w:rsidRPr="00CD2562">
        <w:rPr>
          <w:lang w:val="fr-FR"/>
        </w:rPr>
        <w:t>2019 et constituent les rapports les plus récents pour une partie de l</w:t>
      </w:r>
      <w:r w:rsidR="00837637" w:rsidRPr="00CD2562">
        <w:rPr>
          <w:lang w:val="fr-FR"/>
        </w:rPr>
        <w:t>’</w:t>
      </w:r>
      <w:r w:rsidRPr="00CD2562">
        <w:rPr>
          <w:lang w:val="fr-FR"/>
        </w:rPr>
        <w:t>année (jusqu</w:t>
      </w:r>
      <w:r w:rsidR="00837637" w:rsidRPr="00CD2562">
        <w:rPr>
          <w:lang w:val="fr-FR"/>
        </w:rPr>
        <w:t>’</w:t>
      </w:r>
      <w:r w:rsidRPr="00CD2562">
        <w:rPr>
          <w:lang w:val="fr-FR"/>
        </w:rPr>
        <w:t xml:space="preserve">à la publication des rapports techniques annuels </w:t>
      </w:r>
      <w:r w:rsidR="00837637" w:rsidRPr="00CD2562">
        <w:rPr>
          <w:lang w:val="fr-FR"/>
        </w:rPr>
        <w:t>de 2018</w:t>
      </w:r>
      <w:r w:rsidRPr="00CD2562">
        <w:rPr>
          <w:lang w:val="fr-FR"/>
        </w:rPr>
        <w:t>).  Les rapports des années précédentes (2016 à 2014) chutent considérablement au regard du nombre de pages consultées, car les informations deviennent de plus en plus obsolètes.</w:t>
      </w:r>
    </w:p>
    <w:p w14:paraId="6D6C68A1" w14:textId="3EC60A3B" w:rsidR="009B23C7" w:rsidRPr="00CD2562" w:rsidRDefault="001B258C" w:rsidP="009B23C7">
      <w:pPr>
        <w:pStyle w:val="ONUMFS"/>
        <w:rPr>
          <w:lang w:val="fr-FR"/>
        </w:rPr>
      </w:pPr>
      <w:r w:rsidRPr="00CD2562">
        <w:rPr>
          <w:lang w:val="fr-FR"/>
        </w:rPr>
        <w:t>Pour chaque année de statistiques Web dans nos données (2017 à 2020), le schéma est le mê</w:t>
      </w:r>
      <w:r w:rsidR="00CD2562" w:rsidRPr="00CD2562">
        <w:rPr>
          <w:lang w:val="fr-FR"/>
        </w:rPr>
        <w:t>me.  Le</w:t>
      </w:r>
      <w:r w:rsidRPr="00CD2562">
        <w:rPr>
          <w:lang w:val="fr-FR"/>
        </w:rPr>
        <w:t>s rapports techniques annuels sont le plus consultés au cours des deux premières années de publicati</w:t>
      </w:r>
      <w:r w:rsidR="00CD2562" w:rsidRPr="00CD2562">
        <w:rPr>
          <w:lang w:val="fr-FR"/>
        </w:rPr>
        <w:t>on.  Ap</w:t>
      </w:r>
      <w:r w:rsidRPr="00CD2562">
        <w:rPr>
          <w:lang w:val="fr-FR"/>
        </w:rPr>
        <w:t>rès cela, le nombre de consultations chute rapidement pour devenir presque n</w:t>
      </w:r>
      <w:r w:rsidR="00CD2562" w:rsidRPr="00CD2562">
        <w:rPr>
          <w:lang w:val="fr-FR"/>
        </w:rPr>
        <w:t>ul.  Le</w:t>
      </w:r>
      <w:r w:rsidRPr="00CD2562">
        <w:rPr>
          <w:lang w:val="fr-FR"/>
        </w:rPr>
        <w:t xml:space="preserve"> présent document se concentre sur les deux premières années, au cours desquelles les rapports techniques annuels sont le plus consult</w:t>
      </w:r>
      <w:r w:rsidR="00CD2562" w:rsidRPr="00CD2562">
        <w:rPr>
          <w:lang w:val="fr-FR"/>
        </w:rPr>
        <w:t>és.  Le</w:t>
      </w:r>
      <w:r w:rsidRPr="00CD2562">
        <w:rPr>
          <w:lang w:val="fr-FR"/>
        </w:rPr>
        <w:t xml:space="preserve"> graphique ci</w:t>
      </w:r>
      <w:r w:rsidR="00837637" w:rsidRPr="00CD2562">
        <w:rPr>
          <w:lang w:val="fr-FR"/>
        </w:rPr>
        <w:t>-</w:t>
      </w:r>
      <w:r w:rsidRPr="00CD2562">
        <w:rPr>
          <w:lang w:val="fr-FR"/>
        </w:rPr>
        <w:t>après présente le nombre total de pages consultées au cours des deux</w:t>
      </w:r>
      <w:r w:rsidR="00524C6D" w:rsidRPr="00CD2562">
        <w:rPr>
          <w:lang w:val="fr-FR"/>
        </w:rPr>
        <w:t> </w:t>
      </w:r>
      <w:r w:rsidRPr="00CD2562">
        <w:rPr>
          <w:lang w:val="fr-FR"/>
        </w:rPr>
        <w:t xml:space="preserve">premières années de publication des rapports (les rapports </w:t>
      </w:r>
      <w:r w:rsidR="00837637" w:rsidRPr="00CD2562">
        <w:rPr>
          <w:lang w:val="fr-FR"/>
        </w:rPr>
        <w:t>de 2019</w:t>
      </w:r>
      <w:r w:rsidRPr="00CD2562">
        <w:rPr>
          <w:lang w:val="fr-FR"/>
        </w:rPr>
        <w:t xml:space="preserve"> sont exclus car ils ont été publiés en février 2021, de sorte que seules les données sur une période de six mois sont disponibles).</w:t>
      </w:r>
    </w:p>
    <w:p w14:paraId="07A0E76F" w14:textId="05FAF737" w:rsidR="000740C3" w:rsidRPr="00CD2562" w:rsidRDefault="004F3380" w:rsidP="00F8715A">
      <w:pPr>
        <w:pStyle w:val="ONUMFS"/>
        <w:numPr>
          <w:ilvl w:val="0"/>
          <w:numId w:val="0"/>
        </w:numPr>
        <w:jc w:val="center"/>
        <w:rPr>
          <w:lang w:val="fr-FR"/>
        </w:rPr>
      </w:pPr>
      <w:r w:rsidRPr="004F3380">
        <w:rPr>
          <w:noProof/>
          <w:lang w:eastAsia="en-US"/>
        </w:rPr>
        <mc:AlternateContent>
          <mc:Choice Requires="wps">
            <w:drawing>
              <wp:anchor distT="45720" distB="45720" distL="114300" distR="114300" simplePos="0" relativeHeight="251659264" behindDoc="0" locked="0" layoutInCell="1" allowOverlap="1" wp14:anchorId="52A41580" wp14:editId="13012B31">
                <wp:simplePos x="0" y="0"/>
                <wp:positionH relativeFrom="column">
                  <wp:posOffset>2436495</wp:posOffset>
                </wp:positionH>
                <wp:positionV relativeFrom="paragraph">
                  <wp:posOffset>2409861</wp:posOffset>
                </wp:positionV>
                <wp:extent cx="422695"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95" cy="1404620"/>
                        </a:xfrm>
                        <a:prstGeom prst="rect">
                          <a:avLst/>
                        </a:prstGeom>
                        <a:solidFill>
                          <a:srgbClr val="FFFFFF"/>
                        </a:solidFill>
                        <a:ln w="9525">
                          <a:noFill/>
                          <a:miter lim="800000"/>
                          <a:headEnd/>
                          <a:tailEnd/>
                        </a:ln>
                      </wps:spPr>
                      <wps:txbx>
                        <w:txbxContent>
                          <w:p w14:paraId="541F2D6F" w14:textId="7B504F23" w:rsidR="004F3380" w:rsidRPr="004F3380" w:rsidRDefault="004F3380">
                            <w:pPr>
                              <w:rPr>
                                <w:rFonts w:asciiTheme="minorHAnsi" w:hAnsiTheme="minorHAnsi" w:cstheme="minorHAnsi"/>
                                <w:sz w:val="16"/>
                                <w:lang w:val="fr-FR"/>
                              </w:rPr>
                            </w:pPr>
                            <w:r>
                              <w:rPr>
                                <w:rFonts w:asciiTheme="minorHAnsi" w:hAnsiTheme="minorHAnsi" w:cstheme="minorHAnsi"/>
                                <w:sz w:val="16"/>
                                <w:lang w:val="fr-FR"/>
                              </w:rPr>
                              <w:t>p</w:t>
                            </w:r>
                            <w:r w:rsidRPr="004F3380">
                              <w:rPr>
                                <w:rFonts w:asciiTheme="minorHAnsi" w:hAnsiTheme="minorHAnsi" w:cstheme="minorHAnsi"/>
                                <w:sz w:val="16"/>
                                <w:lang w:val="fr-FR"/>
                              </w:rPr>
                              <w:t>remière</w:t>
                            </w:r>
                            <w:r w:rsidRPr="004F3380">
                              <w:rPr>
                                <w:rFonts w:asciiTheme="minorHAnsi" w:hAnsiTheme="minorHAnsi" w:cstheme="minorHAnsi"/>
                                <w:sz w:val="16"/>
                                <w:lang w:val="fr-FR"/>
                              </w:rPr>
                              <w:br/>
                              <w:t>année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41580" id="_x0000_t202" coordsize="21600,21600" o:spt="202" path="m,l,21600r21600,l21600,xe">
                <v:stroke joinstyle="miter"/>
                <v:path gradientshapeok="t" o:connecttype="rect"/>
              </v:shapetype>
              <v:shape id="Text Box 2" o:spid="_x0000_s1026" type="#_x0000_t202" style="position:absolute;left:0;text-align:left;margin-left:191.85pt;margin-top:189.75pt;width:3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" stroked="f">
                <v:textbox style="mso-fit-shape-to-text:t" inset="0,0,0,0">
                  <w:txbxContent>
                    <w:p w14:paraId="541F2D6F" w14:textId="7B504F23" w:rsidR="004F3380" w:rsidRPr="004F3380" w:rsidRDefault="004F3380">
                      <w:pPr>
                        <w:rPr>
                          <w:rFonts w:asciiTheme="minorHAnsi" w:hAnsiTheme="minorHAnsi" w:cstheme="minorHAnsi"/>
                          <w:sz w:val="16"/>
                          <w:lang w:val="fr-FR"/>
                        </w:rPr>
                      </w:pPr>
                      <w:r>
                        <w:rPr>
                          <w:rFonts w:asciiTheme="minorHAnsi" w:hAnsiTheme="minorHAnsi" w:cstheme="minorHAnsi"/>
                          <w:sz w:val="16"/>
                          <w:lang w:val="fr-FR"/>
                        </w:rPr>
                        <w:t>p</w:t>
                      </w:r>
                      <w:r w:rsidRPr="004F3380">
                        <w:rPr>
                          <w:rFonts w:asciiTheme="minorHAnsi" w:hAnsiTheme="minorHAnsi" w:cstheme="minorHAnsi"/>
                          <w:sz w:val="16"/>
                          <w:lang w:val="fr-FR"/>
                        </w:rPr>
                        <w:t>remière</w:t>
                      </w:r>
                      <w:r w:rsidRPr="004F3380">
                        <w:rPr>
                          <w:rFonts w:asciiTheme="minorHAnsi" w:hAnsiTheme="minorHAnsi" w:cstheme="minorHAnsi"/>
                          <w:sz w:val="16"/>
                          <w:lang w:val="fr-FR"/>
                        </w:rPr>
                        <w:br/>
                        <w:t>année</w:t>
                      </w:r>
                    </w:p>
                  </w:txbxContent>
                </v:textbox>
              </v:shape>
            </w:pict>
          </mc:Fallback>
        </mc:AlternateContent>
      </w:r>
      <w:r w:rsidR="000740C3" w:rsidRPr="00CD2562">
        <w:rPr>
          <w:noProof/>
          <w:lang w:eastAsia="en-US"/>
        </w:rPr>
        <w:drawing>
          <wp:inline distT="0" distB="0" distL="0" distR="0" wp14:anchorId="5C7DFDC8" wp14:editId="48F0D82E">
            <wp:extent cx="4683760" cy="2674620"/>
            <wp:effectExtent l="0" t="0" r="254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87A018" w14:textId="2ECDE7F7" w:rsidR="007876DA" w:rsidRPr="00CD2562" w:rsidRDefault="007876DA" w:rsidP="009B23C7">
      <w:pPr>
        <w:pStyle w:val="ONUMFS"/>
        <w:rPr>
          <w:lang w:val="fr-FR"/>
        </w:rPr>
      </w:pPr>
      <w:r w:rsidRPr="00CD2562">
        <w:rPr>
          <w:lang w:val="fr-FR"/>
        </w:rPr>
        <w:t>L</w:t>
      </w:r>
      <w:r w:rsidR="00837637" w:rsidRPr="00CD2562">
        <w:rPr>
          <w:lang w:val="fr-FR"/>
        </w:rPr>
        <w:t>’</w:t>
      </w:r>
      <w:r w:rsidRPr="00CD2562">
        <w:rPr>
          <w:lang w:val="fr-FR"/>
        </w:rPr>
        <w:t>année</w:t>
      </w:r>
      <w:r w:rsidR="004F3380">
        <w:rPr>
          <w:lang w:val="fr-FR"/>
        </w:rPr>
        <w:t> </w:t>
      </w:r>
      <w:r w:rsidRPr="00CD2562">
        <w:rPr>
          <w:lang w:val="fr-FR"/>
        </w:rPr>
        <w:t>2018 constitue l</w:t>
      </w:r>
      <w:r w:rsidR="00837637" w:rsidRPr="00CD2562">
        <w:rPr>
          <w:lang w:val="fr-FR"/>
        </w:rPr>
        <w:t>’</w:t>
      </w:r>
      <w:r w:rsidRPr="00CD2562">
        <w:rPr>
          <w:lang w:val="fr-FR"/>
        </w:rPr>
        <w:t>année la plus récente pour laquelle nous disposons de deux</w:t>
      </w:r>
      <w:r w:rsidR="00524C6D" w:rsidRPr="00CD2562">
        <w:rPr>
          <w:lang w:val="fr-FR"/>
        </w:rPr>
        <w:t> </w:t>
      </w:r>
      <w:r w:rsidRPr="00CD2562">
        <w:rPr>
          <w:lang w:val="fr-FR"/>
        </w:rPr>
        <w:t>années complètes de statistiques Web (</w:t>
      </w:r>
      <w:r w:rsidR="00837637" w:rsidRPr="00CD2562">
        <w:rPr>
          <w:lang w:val="fr-FR"/>
        </w:rPr>
        <w:t>pour 2019</w:t>
      </w:r>
      <w:r w:rsidRPr="00CD2562">
        <w:rPr>
          <w:lang w:val="fr-FR"/>
        </w:rPr>
        <w:t xml:space="preserve"> et 2020).  </w:t>
      </w:r>
      <w:r w:rsidR="00837637" w:rsidRPr="00CD2562">
        <w:rPr>
          <w:lang w:val="fr-FR"/>
        </w:rPr>
        <w:t>En 2019</w:t>
      </w:r>
      <w:r w:rsidRPr="00CD2562">
        <w:rPr>
          <w:lang w:val="fr-FR"/>
        </w:rPr>
        <w:t xml:space="preserve">, leur première année de publication, </w:t>
      </w:r>
      <w:r w:rsidR="00362A9B" w:rsidRPr="00CD2562">
        <w:rPr>
          <w:lang w:val="fr-FR"/>
        </w:rPr>
        <w:t>l</w:t>
      </w:r>
      <w:r w:rsidR="00837637" w:rsidRPr="00CD2562">
        <w:rPr>
          <w:lang w:val="fr-FR"/>
        </w:rPr>
        <w:t>’</w:t>
      </w:r>
      <w:r w:rsidR="00362A9B" w:rsidRPr="00CD2562">
        <w:rPr>
          <w:lang w:val="fr-FR"/>
        </w:rPr>
        <w:t>ensemble d</w:t>
      </w:r>
      <w:r w:rsidRPr="00CD2562">
        <w:rPr>
          <w:lang w:val="fr-FR"/>
        </w:rPr>
        <w:t xml:space="preserve">es rapports techniques annuels </w:t>
      </w:r>
      <w:r w:rsidR="00837637" w:rsidRPr="00CD2562">
        <w:rPr>
          <w:lang w:val="fr-FR"/>
        </w:rPr>
        <w:t>de 2018</w:t>
      </w:r>
      <w:r w:rsidRPr="00CD2562">
        <w:rPr>
          <w:lang w:val="fr-FR"/>
        </w:rPr>
        <w:t xml:space="preserve"> comptent au total </w:t>
      </w:r>
      <w:r w:rsidRPr="00CD2562">
        <w:rPr>
          <w:lang w:val="fr-FR"/>
        </w:rPr>
        <w:lastRenderedPageBreak/>
        <w:t>105</w:t>
      </w:r>
      <w:r w:rsidR="00362A9B" w:rsidRPr="00CD2562">
        <w:rPr>
          <w:lang w:val="fr-FR"/>
        </w:rPr>
        <w:t> </w:t>
      </w:r>
      <w:r w:rsidRPr="00CD2562">
        <w:rPr>
          <w:lang w:val="fr-FR"/>
        </w:rPr>
        <w:t>pages consulté</w:t>
      </w:r>
      <w:r w:rsidR="00CD2562" w:rsidRPr="00CD2562">
        <w:rPr>
          <w:lang w:val="fr-FR"/>
        </w:rPr>
        <w:t>es.  En</w:t>
      </w:r>
      <w:r w:rsidR="00837637" w:rsidRPr="00CD2562">
        <w:rPr>
          <w:lang w:val="fr-FR"/>
        </w:rPr>
        <w:t> 2020</w:t>
      </w:r>
      <w:r w:rsidRPr="00CD2562">
        <w:rPr>
          <w:lang w:val="fr-FR"/>
        </w:rPr>
        <w:t xml:space="preserve">, leur deuxième année de publication, </w:t>
      </w:r>
      <w:r w:rsidR="00362A9B" w:rsidRPr="00CD2562">
        <w:rPr>
          <w:lang w:val="fr-FR"/>
        </w:rPr>
        <w:t>l</w:t>
      </w:r>
      <w:r w:rsidR="00837637" w:rsidRPr="00CD2562">
        <w:rPr>
          <w:lang w:val="fr-FR"/>
        </w:rPr>
        <w:t>’</w:t>
      </w:r>
      <w:r w:rsidR="00362A9B" w:rsidRPr="00CD2562">
        <w:rPr>
          <w:lang w:val="fr-FR"/>
        </w:rPr>
        <w:t>ensemble d</w:t>
      </w:r>
      <w:r w:rsidRPr="00CD2562">
        <w:rPr>
          <w:lang w:val="fr-FR"/>
        </w:rPr>
        <w:t xml:space="preserve">es rapports techniques annuels </w:t>
      </w:r>
      <w:r w:rsidR="00837637" w:rsidRPr="00CD2562">
        <w:rPr>
          <w:lang w:val="fr-FR"/>
        </w:rPr>
        <w:t>de 2018</w:t>
      </w:r>
      <w:r w:rsidRPr="00CD2562">
        <w:rPr>
          <w:lang w:val="fr-FR"/>
        </w:rPr>
        <w:t xml:space="preserve"> comptent au total 265</w:t>
      </w:r>
      <w:r w:rsidR="00362A9B" w:rsidRPr="00CD2562">
        <w:rPr>
          <w:lang w:val="fr-FR"/>
        </w:rPr>
        <w:t> </w:t>
      </w:r>
      <w:r w:rsidRPr="00CD2562">
        <w:rPr>
          <w:lang w:val="fr-FR"/>
        </w:rPr>
        <w:t>pages consulté</w:t>
      </w:r>
      <w:r w:rsidR="00CD2562" w:rsidRPr="00CD2562">
        <w:rPr>
          <w:lang w:val="fr-FR"/>
        </w:rPr>
        <w:t>es.  Ce</w:t>
      </w:r>
      <w:r w:rsidRPr="00CD2562">
        <w:rPr>
          <w:lang w:val="fr-FR"/>
        </w:rPr>
        <w:t>la représente un total de 370 pages consultées au cours des deux</w:t>
      </w:r>
      <w:r w:rsidR="00524C6D" w:rsidRPr="00CD2562">
        <w:rPr>
          <w:lang w:val="fr-FR"/>
        </w:rPr>
        <w:t> </w:t>
      </w:r>
      <w:r w:rsidRPr="00CD2562">
        <w:rPr>
          <w:lang w:val="fr-FR"/>
        </w:rPr>
        <w:t>premières années de publicati</w:t>
      </w:r>
      <w:r w:rsidR="00CD2562" w:rsidRPr="00CD2562">
        <w:rPr>
          <w:lang w:val="fr-FR"/>
        </w:rPr>
        <w:t>on.  D’a</w:t>
      </w:r>
      <w:r w:rsidRPr="00CD2562">
        <w:rPr>
          <w:lang w:val="fr-FR"/>
        </w:rPr>
        <w:t>utres rapports techniques annuels affichent des totaux similaires pour leurs deux</w:t>
      </w:r>
      <w:r w:rsidR="00362A9B" w:rsidRPr="00CD2562">
        <w:rPr>
          <w:lang w:val="fr-FR"/>
        </w:rPr>
        <w:t> </w:t>
      </w:r>
      <w:r w:rsidRPr="00CD2562">
        <w:rPr>
          <w:lang w:val="fr-FR"/>
        </w:rPr>
        <w:t>premières années de publicati</w:t>
      </w:r>
      <w:r w:rsidR="00CD2562" w:rsidRPr="00CD2562">
        <w:rPr>
          <w:lang w:val="fr-FR"/>
        </w:rPr>
        <w:t>on.  La</w:t>
      </w:r>
      <w:r w:rsidRPr="00CD2562">
        <w:rPr>
          <w:lang w:val="fr-FR"/>
        </w:rPr>
        <w:t xml:space="preserve"> répartition entre les consultations de la première et de la deuxième année varie en fonction du moment où les rapports sont publiés au cours de l</w:t>
      </w:r>
      <w:r w:rsidR="00837637" w:rsidRPr="00CD2562">
        <w:rPr>
          <w:lang w:val="fr-FR"/>
        </w:rPr>
        <w:t>’</w:t>
      </w:r>
      <w:r w:rsidRPr="00CD2562">
        <w:rPr>
          <w:lang w:val="fr-FR"/>
        </w:rPr>
        <w:t>année, mais le total sur deux</w:t>
      </w:r>
      <w:r w:rsidR="00362A9B" w:rsidRPr="00CD2562">
        <w:rPr>
          <w:lang w:val="fr-FR"/>
        </w:rPr>
        <w:t> </w:t>
      </w:r>
      <w:r w:rsidRPr="00CD2562">
        <w:rPr>
          <w:lang w:val="fr-FR"/>
        </w:rPr>
        <w:t>ans reste compris entre 360 et 440.</w:t>
      </w:r>
    </w:p>
    <w:p w14:paraId="145CE121" w14:textId="5D6D883C" w:rsidR="007876DA" w:rsidRPr="00CD2562" w:rsidRDefault="007876DA" w:rsidP="009B23C7">
      <w:pPr>
        <w:pStyle w:val="ONUMFS"/>
        <w:rPr>
          <w:lang w:val="fr-FR"/>
        </w:rPr>
      </w:pPr>
      <w:r w:rsidRPr="00CD2562">
        <w:rPr>
          <w:lang w:val="fr-FR"/>
        </w:rPr>
        <w:t>Il ressort de ces données que les rapports techniques annuels enregistrent en moyenne environ 180</w:t>
      </w:r>
      <w:r w:rsidR="00362A9B" w:rsidRPr="00CD2562">
        <w:rPr>
          <w:lang w:val="fr-FR"/>
        </w:rPr>
        <w:t> </w:t>
      </w:r>
      <w:r w:rsidR="00491FE1" w:rsidRPr="00CD2562">
        <w:rPr>
          <w:lang w:val="fr-FR"/>
        </w:rPr>
        <w:t xml:space="preserve">consultations </w:t>
      </w:r>
      <w:r w:rsidRPr="00CD2562">
        <w:rPr>
          <w:lang w:val="fr-FR"/>
        </w:rPr>
        <w:t>par an au cours de leurs deux</w:t>
      </w:r>
      <w:r w:rsidR="00524C6D" w:rsidRPr="00CD2562">
        <w:rPr>
          <w:lang w:val="fr-FR"/>
        </w:rPr>
        <w:t> </w:t>
      </w:r>
      <w:r w:rsidRPr="00CD2562">
        <w:rPr>
          <w:lang w:val="fr-FR"/>
        </w:rPr>
        <w:t>premières anné</w:t>
      </w:r>
      <w:r w:rsidR="00CD2562" w:rsidRPr="00CD2562">
        <w:rPr>
          <w:lang w:val="fr-FR"/>
        </w:rPr>
        <w:t>es.  Ce</w:t>
      </w:r>
      <w:r w:rsidR="00491FE1" w:rsidRPr="00CD2562">
        <w:rPr>
          <w:lang w:val="fr-FR"/>
        </w:rPr>
        <w:t xml:space="preserve"> chiffre est très faib</w:t>
      </w:r>
      <w:r w:rsidR="00CD2562" w:rsidRPr="00CD2562">
        <w:rPr>
          <w:lang w:val="fr-FR"/>
        </w:rPr>
        <w:t xml:space="preserve">le.  À </w:t>
      </w:r>
      <w:r w:rsidRPr="00CD2562">
        <w:rPr>
          <w:lang w:val="fr-FR"/>
        </w:rPr>
        <w:t>titre de comparaison, le</w:t>
      </w:r>
      <w:r w:rsidR="00491FE1" w:rsidRPr="00CD2562">
        <w:rPr>
          <w:lang w:val="fr-FR"/>
        </w:rPr>
        <w:t xml:space="preserve"> nombre de</w:t>
      </w:r>
      <w:r w:rsidRPr="00CD2562">
        <w:rPr>
          <w:lang w:val="fr-FR"/>
        </w:rPr>
        <w:t xml:space="preserve"> pages consultées </w:t>
      </w:r>
      <w:r w:rsidR="00837637" w:rsidRPr="00CD2562">
        <w:rPr>
          <w:lang w:val="fr-FR"/>
        </w:rPr>
        <w:t>en 2020</w:t>
      </w:r>
      <w:r w:rsidRPr="00CD2562">
        <w:rPr>
          <w:lang w:val="fr-FR"/>
        </w:rPr>
        <w:t xml:space="preserve"> pour d</w:t>
      </w:r>
      <w:r w:rsidR="00837637" w:rsidRPr="00CD2562">
        <w:rPr>
          <w:lang w:val="fr-FR"/>
        </w:rPr>
        <w:t>’</w:t>
      </w:r>
      <w:r w:rsidRPr="00CD2562">
        <w:rPr>
          <w:lang w:val="fr-FR"/>
        </w:rPr>
        <w:t>autres contenus liés</w:t>
      </w:r>
      <w:r w:rsidR="00837637" w:rsidRPr="00CD2562">
        <w:rPr>
          <w:lang w:val="fr-FR"/>
        </w:rPr>
        <w:t xml:space="preserve"> au CWS</w:t>
      </w:r>
      <w:r w:rsidR="00491FE1" w:rsidRPr="00CD2562">
        <w:rPr>
          <w:lang w:val="fr-FR"/>
        </w:rPr>
        <w:t xml:space="preserve"> est indiqué ci</w:t>
      </w:r>
      <w:r w:rsidR="00837637" w:rsidRPr="00CD2562">
        <w:rPr>
          <w:lang w:val="fr-FR"/>
        </w:rPr>
        <w:t>-</w:t>
      </w:r>
      <w:r w:rsidR="00491FE1" w:rsidRPr="00CD2562">
        <w:rPr>
          <w:lang w:val="fr-FR"/>
        </w:rPr>
        <w:t>après</w:t>
      </w:r>
      <w:r w:rsidR="00837637" w:rsidRPr="00CD2562">
        <w:rPr>
          <w:lang w:val="fr-FR"/>
        </w:rPr>
        <w:t> :</w:t>
      </w:r>
    </w:p>
    <w:p w14:paraId="29E7B553" w14:textId="1754AC05" w:rsidR="000740C3" w:rsidRPr="00CD2562" w:rsidRDefault="00144580" w:rsidP="00F8715A">
      <w:pPr>
        <w:pStyle w:val="ONUMFS"/>
        <w:numPr>
          <w:ilvl w:val="0"/>
          <w:numId w:val="0"/>
        </w:numPr>
        <w:jc w:val="center"/>
        <w:rPr>
          <w:lang w:val="fr-FR"/>
        </w:rPr>
      </w:pPr>
      <w:r>
        <w:rPr>
          <w:noProof/>
          <w:lang w:eastAsia="en-US"/>
        </w:rPr>
        <mc:AlternateContent>
          <mc:Choice Requires="wps">
            <w:drawing>
              <wp:anchor distT="0" distB="0" distL="114300" distR="114300" simplePos="0" relativeHeight="251661312" behindDoc="0" locked="0" layoutInCell="1" allowOverlap="1" wp14:anchorId="79DAB565" wp14:editId="33BBCA95">
                <wp:simplePos x="0" y="0"/>
                <wp:positionH relativeFrom="column">
                  <wp:posOffset>1635125</wp:posOffset>
                </wp:positionH>
                <wp:positionV relativeFrom="paragraph">
                  <wp:posOffset>1712595</wp:posOffset>
                </wp:positionV>
                <wp:extent cx="629285" cy="2501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0190"/>
                        </a:xfrm>
                        <a:prstGeom prst="rect">
                          <a:avLst/>
                        </a:prstGeom>
                        <a:solidFill>
                          <a:srgbClr val="FFFFFF"/>
                        </a:solidFill>
                        <a:ln w="9525">
                          <a:noFill/>
                          <a:miter lim="800000"/>
                          <a:headEnd/>
                          <a:tailEnd/>
                        </a:ln>
                      </wps:spPr>
                      <wps:txbx>
                        <w:txbxContent>
                          <w:p w14:paraId="36BB4EA2" w14:textId="6D88C5B3" w:rsidR="004F3380" w:rsidRPr="004F3380" w:rsidRDefault="004F3380" w:rsidP="00144580">
                            <w:pPr>
                              <w:pStyle w:val="NormalWeb"/>
                              <w:spacing w:before="0" w:beforeAutospacing="0" w:after="0" w:afterAutospacing="0"/>
                              <w:jc w:val="center"/>
                              <w:rPr>
                                <w:lang w:val="fr-CH"/>
                              </w:rPr>
                            </w:pPr>
                            <w:r>
                              <w:rPr>
                                <w:rFonts w:ascii="Calibri" w:eastAsia="SimSun" w:hAnsi="Calibri" w:cstheme="minorBidi"/>
                                <w:sz w:val="16"/>
                                <w:szCs w:val="16"/>
                                <w:lang w:val="fr-FR"/>
                              </w:rPr>
                              <w:t>P</w:t>
                            </w:r>
                            <w:r w:rsidRPr="004F3380">
                              <w:rPr>
                                <w:rFonts w:ascii="Calibri" w:eastAsia="SimSun" w:hAnsi="Calibri" w:cstheme="minorBidi"/>
                                <w:sz w:val="16"/>
                                <w:szCs w:val="16"/>
                                <w:lang w:val="fr-FR"/>
                              </w:rPr>
                              <w:t>age d’accueil de la Section des normes</w:t>
                            </w:r>
                          </w:p>
                        </w:txbxContent>
                      </wps:txbx>
                      <wps:bodyPr rot="0" vert="horz" wrap="square" lIns="0" tIns="0" rIns="0" bIns="0" anchor="t" anchorCtr="0">
                        <a:spAutoFit/>
                      </wps:bodyPr>
                    </wps:wsp>
                  </a:graphicData>
                </a:graphic>
                <wp14:sizeRelH relativeFrom="margin">
                  <wp14:pctWidth>0</wp14:pctWidth>
                </wp14:sizeRelH>
              </wp:anchor>
            </w:drawing>
          </mc:Choice>
          <mc:Fallback>
            <w:pict>
              <v:shape w14:anchorId="79DAB565" id="_x0000_s1027" type="#_x0000_t202" style="position:absolute;left:0;text-align:left;margin-left:128.75pt;margin-top:134.85pt;width:49.55pt;height:19.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" stroked="f">
                <v:textbox style="mso-fit-shape-to-text:t" inset="0,0,0,0">
                  <w:txbxContent>
                    <w:p w14:paraId="36BB4EA2" w14:textId="6D88C5B3" w:rsidR="004F3380" w:rsidRPr="004F3380" w:rsidRDefault="004F3380" w:rsidP="00144580">
                      <w:pPr>
                        <w:pStyle w:val="NormalWeb"/>
                        <w:spacing w:before="0" w:beforeAutospacing="0" w:after="0" w:afterAutospacing="0"/>
                        <w:jc w:val="center"/>
                        <w:rPr>
                          <w:lang w:val="fr-CH"/>
                        </w:rPr>
                      </w:pPr>
                      <w:r>
                        <w:rPr>
                          <w:rFonts w:ascii="Calibri" w:eastAsia="SimSun" w:hAnsi="Calibri" w:cstheme="minorBidi"/>
                          <w:sz w:val="16"/>
                          <w:szCs w:val="16"/>
                          <w:lang w:val="fr-FR"/>
                        </w:rPr>
                        <w:t>P</w:t>
                      </w:r>
                      <w:r w:rsidRPr="004F3380">
                        <w:rPr>
                          <w:rFonts w:ascii="Calibri" w:eastAsia="SimSun" w:hAnsi="Calibri" w:cstheme="minorBidi"/>
                          <w:sz w:val="16"/>
                          <w:szCs w:val="16"/>
                          <w:lang w:val="fr-FR"/>
                        </w:rPr>
                        <w:t>age d’accueil de la Section des normes</w:t>
                      </w:r>
                    </w:p>
                  </w:txbxContent>
                </v:textbox>
              </v:shape>
            </w:pict>
          </mc:Fallback>
        </mc:AlternateContent>
      </w:r>
      <w:r>
        <w:rPr>
          <w:noProof/>
          <w:lang w:eastAsia="en-US"/>
        </w:rPr>
        <mc:AlternateContent>
          <mc:Choice Requires="wps">
            <w:drawing>
              <wp:anchor distT="0" distB="0" distL="114300" distR="114300" simplePos="0" relativeHeight="251663360" behindDoc="0" locked="0" layoutInCell="1" allowOverlap="1" wp14:anchorId="733FC2D6" wp14:editId="60BC2A1D">
                <wp:simplePos x="0" y="0"/>
                <wp:positionH relativeFrom="column">
                  <wp:posOffset>4094205</wp:posOffset>
                </wp:positionH>
                <wp:positionV relativeFrom="paragraph">
                  <wp:posOffset>1704855</wp:posOffset>
                </wp:positionV>
                <wp:extent cx="571500" cy="327804"/>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7804"/>
                        </a:xfrm>
                        <a:prstGeom prst="rect">
                          <a:avLst/>
                        </a:prstGeom>
                        <a:solidFill>
                          <a:srgbClr val="FFFFFF"/>
                        </a:solidFill>
                        <a:ln w="9525">
                          <a:noFill/>
                          <a:miter lim="800000"/>
                          <a:headEnd/>
                          <a:tailEnd/>
                        </a:ln>
                      </wps:spPr>
                      <wps:txbx>
                        <w:txbxContent>
                          <w:p w14:paraId="309A67E1" w14:textId="66FED6DB" w:rsidR="00144580" w:rsidRPr="00144580" w:rsidRDefault="00144580" w:rsidP="00144580">
                            <w:pPr>
                              <w:pStyle w:val="NormalWeb"/>
                              <w:spacing w:before="0" w:beforeAutospacing="0" w:after="0" w:afterAutospacing="0"/>
                              <w:jc w:val="center"/>
                              <w:rPr>
                                <w:lang w:val="fr-FR"/>
                              </w:rPr>
                            </w:pPr>
                            <w:r w:rsidRPr="00144580">
                              <w:rPr>
                                <w:rFonts w:asciiTheme="minorHAnsi" w:hAnsi="Calibri" w:cstheme="minorBidi"/>
                                <w:sz w:val="16"/>
                                <w:szCs w:val="16"/>
                                <w:lang w:val="fr-FR"/>
                              </w:rPr>
                              <w:t>Circulaire ES 2001</w:t>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733FC2D6" id="Text Box 12" o:spid="_x0000_s1028" type="#_x0000_t202" style="position:absolute;left:0;text-align:left;margin-left:322.4pt;margin-top:134.25pt;width:45pt;height:25.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" stroked="f">
                <v:textbox inset="0,0,0,0">
                  <w:txbxContent>
                    <w:p w14:paraId="309A67E1" w14:textId="66FED6DB" w:rsidR="00144580" w:rsidRPr="00144580" w:rsidRDefault="00144580" w:rsidP="00144580">
                      <w:pPr>
                        <w:pStyle w:val="NormalWeb"/>
                        <w:spacing w:before="0" w:beforeAutospacing="0" w:after="0" w:afterAutospacing="0"/>
                        <w:jc w:val="center"/>
                        <w:rPr>
                          <w:lang w:val="fr-FR"/>
                        </w:rPr>
                      </w:pPr>
                      <w:r w:rsidRPr="00144580">
                        <w:rPr>
                          <w:rFonts w:asciiTheme="minorHAnsi" w:hAnsi="Calibri" w:cstheme="minorBidi"/>
                          <w:sz w:val="16"/>
                          <w:szCs w:val="16"/>
                          <w:lang w:val="fr-FR"/>
                        </w:rPr>
                        <w:t>Circulaire ES 2001</w:t>
                      </w:r>
                    </w:p>
                  </w:txbxContent>
                </v:textbox>
              </v:shape>
            </w:pict>
          </mc:Fallback>
        </mc:AlternateContent>
      </w:r>
      <w:r w:rsidRPr="00743620">
        <w:rPr>
          <w:noProof/>
          <w:lang w:val="fr-CH" w:eastAsia="en-US"/>
        </w:rPr>
        <w:t xml:space="preserve"> </w:t>
      </w:r>
      <w:r w:rsidR="000740C3" w:rsidRPr="00CD2562">
        <w:rPr>
          <w:noProof/>
          <w:lang w:eastAsia="en-US"/>
        </w:rPr>
        <w:drawing>
          <wp:inline distT="0" distB="0" distL="0" distR="0" wp14:anchorId="3CB3D01C" wp14:editId="5AA22B02">
            <wp:extent cx="4869180" cy="2194560"/>
            <wp:effectExtent l="0" t="0" r="762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F326E7" w14:textId="1CACE47C" w:rsidR="00072A69" w:rsidRPr="00CD2562" w:rsidRDefault="00072A69" w:rsidP="009B23C7">
      <w:pPr>
        <w:pStyle w:val="ONUMFS"/>
        <w:rPr>
          <w:lang w:val="fr-FR"/>
        </w:rPr>
      </w:pPr>
      <w:r w:rsidRPr="00CD2562">
        <w:rPr>
          <w:lang w:val="fr-FR"/>
        </w:rPr>
        <w:t>La norme</w:t>
      </w:r>
      <w:r w:rsidR="00524C6D" w:rsidRPr="00CD2562">
        <w:rPr>
          <w:lang w:val="fr-FR"/>
        </w:rPr>
        <w:t> </w:t>
      </w:r>
      <w:r w:rsidRPr="00CD2562">
        <w:rPr>
          <w:lang w:val="fr-FR"/>
        </w:rPr>
        <w:t>ST.3 de l</w:t>
      </w:r>
      <w:r w:rsidR="00837637" w:rsidRPr="00CD2562">
        <w:rPr>
          <w:lang w:val="fr-FR"/>
        </w:rPr>
        <w:t>’</w:t>
      </w:r>
      <w:r w:rsidRPr="00CD2562">
        <w:rPr>
          <w:lang w:val="fr-FR"/>
        </w:rPr>
        <w:t>OMPI sur les codes à deux</w:t>
      </w:r>
      <w:r w:rsidR="00524C6D" w:rsidRPr="00CD2562">
        <w:rPr>
          <w:lang w:val="fr-FR"/>
        </w:rPr>
        <w:t> </w:t>
      </w:r>
      <w:r w:rsidRPr="00CD2562">
        <w:rPr>
          <w:lang w:val="fr-FR"/>
        </w:rPr>
        <w:t>lettres pour les États et les organisations est la plus consultée, avec environ 30 000</w:t>
      </w:r>
      <w:r w:rsidR="00D656F2" w:rsidRPr="00CD2562">
        <w:rPr>
          <w:lang w:val="fr-FR"/>
        </w:rPr>
        <w:t> c</w:t>
      </w:r>
      <w:r w:rsidRPr="00CD2562">
        <w:rPr>
          <w:lang w:val="fr-FR"/>
        </w:rPr>
        <w:t xml:space="preserve">onsultations par </w:t>
      </w:r>
      <w:r w:rsidR="00CD2562" w:rsidRPr="00CD2562">
        <w:rPr>
          <w:lang w:val="fr-FR"/>
        </w:rPr>
        <w:t>an.  La</w:t>
      </w:r>
      <w:r w:rsidRPr="00CD2562">
        <w:rPr>
          <w:lang w:val="fr-FR"/>
        </w:rPr>
        <w:t xml:space="preserve"> page d</w:t>
      </w:r>
      <w:r w:rsidR="00837637" w:rsidRPr="00CD2562">
        <w:rPr>
          <w:lang w:val="fr-FR"/>
        </w:rPr>
        <w:t>’</w:t>
      </w:r>
      <w:r w:rsidRPr="00CD2562">
        <w:rPr>
          <w:lang w:val="fr-FR"/>
        </w:rPr>
        <w:t xml:space="preserve">accueil de la Section des normes, notre page Web la plus populaire, est consultée environ 10 000 fois par </w:t>
      </w:r>
      <w:r w:rsidR="00CD2562" w:rsidRPr="00CD2562">
        <w:rPr>
          <w:lang w:val="fr-FR"/>
        </w:rPr>
        <w:t>an.  La</w:t>
      </w:r>
      <w:r w:rsidRPr="00CD2562">
        <w:rPr>
          <w:lang w:val="fr-FR"/>
        </w:rPr>
        <w:t xml:space="preserve"> norme</w:t>
      </w:r>
      <w:r w:rsidR="00524C6D" w:rsidRPr="00CD2562">
        <w:rPr>
          <w:lang w:val="fr-FR"/>
        </w:rPr>
        <w:t> </w:t>
      </w:r>
      <w:r w:rsidRPr="00CD2562">
        <w:rPr>
          <w:lang w:val="fr-FR"/>
        </w:rPr>
        <w:t>ST.96 de l</w:t>
      </w:r>
      <w:r w:rsidR="00837637" w:rsidRPr="00CD2562">
        <w:rPr>
          <w:lang w:val="fr-FR"/>
        </w:rPr>
        <w:t>’</w:t>
      </w:r>
      <w:r w:rsidRPr="00CD2562">
        <w:rPr>
          <w:lang w:val="fr-FR"/>
        </w:rPr>
        <w:t>OMPI relative au stockage des données de propriété intellectuelle en XML est également consultée 10 000</w:t>
      </w:r>
      <w:r w:rsidR="00D656F2" w:rsidRPr="00CD2562">
        <w:rPr>
          <w:lang w:val="fr-FR"/>
        </w:rPr>
        <w:t> </w:t>
      </w:r>
      <w:r w:rsidRPr="00CD2562">
        <w:rPr>
          <w:lang w:val="fr-FR"/>
        </w:rPr>
        <w:t xml:space="preserve">fois par </w:t>
      </w:r>
      <w:r w:rsidR="00CD2562" w:rsidRPr="00CD2562">
        <w:rPr>
          <w:lang w:val="fr-FR"/>
        </w:rPr>
        <w:t>an.  La</w:t>
      </w:r>
      <w:r w:rsidRPr="00CD2562">
        <w:rPr>
          <w:lang w:val="fr-FR"/>
        </w:rPr>
        <w:t xml:space="preserve"> norme</w:t>
      </w:r>
      <w:r w:rsidR="00524C6D" w:rsidRPr="00CD2562">
        <w:rPr>
          <w:lang w:val="fr-FR"/>
        </w:rPr>
        <w:t> </w:t>
      </w:r>
      <w:r w:rsidRPr="00CD2562">
        <w:rPr>
          <w:lang w:val="fr-FR"/>
        </w:rPr>
        <w:t xml:space="preserve">ST.26 relative aux séquences de nucléotides est consultée plus </w:t>
      </w:r>
      <w:r w:rsidR="00837637" w:rsidRPr="00CD2562">
        <w:rPr>
          <w:lang w:val="fr-FR"/>
        </w:rPr>
        <w:t>de 5000</w:t>
      </w:r>
      <w:r w:rsidRPr="00CD2562">
        <w:rPr>
          <w:lang w:val="fr-FR"/>
        </w:rPr>
        <w:t xml:space="preserve"> fois par </w:t>
      </w:r>
      <w:r w:rsidR="00CD2562" w:rsidRPr="00CD2562">
        <w:rPr>
          <w:lang w:val="fr-FR"/>
        </w:rPr>
        <w:t>an.  Ce</w:t>
      </w:r>
      <w:r w:rsidRPr="00CD2562">
        <w:rPr>
          <w:lang w:val="fr-FR"/>
        </w:rPr>
        <w:t>s articles font partie de nos contenus les plus populaires liés</w:t>
      </w:r>
      <w:r w:rsidR="00837637" w:rsidRPr="00CD2562">
        <w:rPr>
          <w:lang w:val="fr-FR"/>
        </w:rPr>
        <w:t xml:space="preserve"> au CWS</w:t>
      </w:r>
      <w:r w:rsidRPr="00CD2562">
        <w:rPr>
          <w:lang w:val="fr-FR"/>
        </w:rPr>
        <w:t>.</w:t>
      </w:r>
    </w:p>
    <w:p w14:paraId="59A4E848" w14:textId="6C453520" w:rsidR="00837637" w:rsidRPr="00CD2562" w:rsidRDefault="00072A69" w:rsidP="009B23C7">
      <w:pPr>
        <w:pStyle w:val="ONUMFS"/>
        <w:rPr>
          <w:lang w:val="fr-FR"/>
        </w:rPr>
      </w:pPr>
      <w:r w:rsidRPr="00CD2562">
        <w:rPr>
          <w:lang w:val="fr-FR"/>
        </w:rPr>
        <w:t>À titre de comparaison, même des contenus obsolètes totalisent encore un nombre appréciable de consultations</w:t>
      </w:r>
      <w:r w:rsidR="000740C3" w:rsidRPr="00CD2562">
        <w:rPr>
          <w:lang w:val="fr-FR"/>
        </w:rPr>
        <w:t xml:space="preserve">. </w:t>
      </w:r>
      <w:r w:rsidR="009B23C7" w:rsidRPr="00CD2562">
        <w:rPr>
          <w:lang w:val="fr-FR"/>
        </w:rPr>
        <w:t xml:space="preserve"> L</w:t>
      </w:r>
      <w:r w:rsidR="00837637" w:rsidRPr="00CD2562">
        <w:rPr>
          <w:lang w:val="fr-FR"/>
        </w:rPr>
        <w:t>’</w:t>
      </w:r>
      <w:hyperlink r:id="rId13" w:history="1">
        <w:r w:rsidR="009B23C7" w:rsidRPr="00CD2562">
          <w:rPr>
            <w:rStyle w:val="Hyperlink"/>
            <w:lang w:val="fr-FR"/>
          </w:rPr>
          <w:t>appendice 3 de la norme ST.9</w:t>
        </w:r>
      </w:hyperlink>
      <w:r w:rsidR="000740C3" w:rsidRPr="00CD2562">
        <w:rPr>
          <w:lang w:val="fr-FR"/>
        </w:rPr>
        <w:t xml:space="preserve">, </w:t>
      </w:r>
      <w:r w:rsidRPr="00CD2562">
        <w:rPr>
          <w:lang w:val="fr-FR"/>
        </w:rPr>
        <w:t xml:space="preserve">qui a été archivée </w:t>
      </w:r>
      <w:r w:rsidR="00837637" w:rsidRPr="00CD2562">
        <w:rPr>
          <w:lang w:val="fr-FR"/>
        </w:rPr>
        <w:t>en 2008</w:t>
      </w:r>
      <w:r w:rsidRPr="00CD2562">
        <w:rPr>
          <w:lang w:val="fr-FR"/>
        </w:rPr>
        <w:t xml:space="preserve"> et mise à jour pour la dernière fois </w:t>
      </w:r>
      <w:r w:rsidR="00837637" w:rsidRPr="00CD2562">
        <w:rPr>
          <w:lang w:val="fr-FR"/>
        </w:rPr>
        <w:t>en 1996</w:t>
      </w:r>
      <w:r w:rsidRPr="00CD2562">
        <w:rPr>
          <w:lang w:val="fr-FR"/>
        </w:rPr>
        <w:t>, a encore fait l</w:t>
      </w:r>
      <w:r w:rsidR="00837637" w:rsidRPr="00CD2562">
        <w:rPr>
          <w:lang w:val="fr-FR"/>
        </w:rPr>
        <w:t>’</w:t>
      </w:r>
      <w:r w:rsidRPr="00CD2562">
        <w:rPr>
          <w:lang w:val="fr-FR"/>
        </w:rPr>
        <w:t>objet de 700</w:t>
      </w:r>
      <w:r w:rsidR="004F3380">
        <w:rPr>
          <w:lang w:val="fr-FR"/>
        </w:rPr>
        <w:t> </w:t>
      </w:r>
      <w:r w:rsidRPr="00CD2562">
        <w:rPr>
          <w:lang w:val="fr-FR"/>
        </w:rPr>
        <w:t xml:space="preserve">consultations </w:t>
      </w:r>
      <w:r w:rsidR="00837637" w:rsidRPr="00CD2562">
        <w:rPr>
          <w:lang w:val="fr-FR"/>
        </w:rPr>
        <w:t>en 2020</w:t>
      </w:r>
      <w:r w:rsidR="000740C3" w:rsidRPr="00CD2562">
        <w:rPr>
          <w:lang w:val="fr-FR"/>
        </w:rPr>
        <w:t xml:space="preserve">.  </w:t>
      </w:r>
      <w:r w:rsidRPr="00CD2562">
        <w:rPr>
          <w:lang w:val="fr-FR"/>
        </w:rPr>
        <w:t xml:space="preserve">Une </w:t>
      </w:r>
      <w:hyperlink r:id="rId14" w:history="1">
        <w:r w:rsidR="000740C3" w:rsidRPr="00CD2562">
          <w:rPr>
            <w:rStyle w:val="Hyperlink"/>
            <w:lang w:val="fr-FR"/>
          </w:rPr>
          <w:t>circula</w:t>
        </w:r>
        <w:r w:rsidRPr="00CD2562">
          <w:rPr>
            <w:rStyle w:val="Hyperlink"/>
            <w:lang w:val="fr-FR"/>
          </w:rPr>
          <w:t>ire en espagnol</w:t>
        </w:r>
      </w:hyperlink>
      <w:r w:rsidR="000740C3" w:rsidRPr="00CD2562">
        <w:rPr>
          <w:lang w:val="fr-FR"/>
        </w:rPr>
        <w:t xml:space="preserve"> </w:t>
      </w:r>
      <w:r w:rsidR="00531486" w:rsidRPr="00CD2562">
        <w:rPr>
          <w:lang w:val="fr-FR"/>
        </w:rPr>
        <w:t>publiée par</w:t>
      </w:r>
      <w:r w:rsidR="00837637" w:rsidRPr="00CD2562">
        <w:rPr>
          <w:lang w:val="fr-FR"/>
        </w:rPr>
        <w:t xml:space="preserve"> le SCI</w:t>
      </w:r>
      <w:r w:rsidR="00531486" w:rsidRPr="00CD2562">
        <w:rPr>
          <w:lang w:val="fr-FR"/>
        </w:rPr>
        <w:t xml:space="preserve">T </w:t>
      </w:r>
      <w:r w:rsidR="00837637" w:rsidRPr="00CD2562">
        <w:rPr>
          <w:lang w:val="fr-FR"/>
        </w:rPr>
        <w:t>en 2001</w:t>
      </w:r>
      <w:r w:rsidR="00531486" w:rsidRPr="00CD2562">
        <w:rPr>
          <w:lang w:val="fr-FR"/>
        </w:rPr>
        <w:t xml:space="preserve"> a été consultée 800 fois </w:t>
      </w:r>
      <w:r w:rsidR="00837637" w:rsidRPr="00CD2562">
        <w:rPr>
          <w:lang w:val="fr-FR"/>
        </w:rPr>
        <w:t>en 2020</w:t>
      </w:r>
      <w:r w:rsidR="00531486" w:rsidRPr="00CD2562">
        <w:rPr>
          <w:lang w:val="fr-FR"/>
        </w:rPr>
        <w:t>.  Dans ce contexte, les 180 consultations annuelles en moyenne des rapports techniques annuels sont extrêmement faibl</w:t>
      </w:r>
      <w:r w:rsidR="00CD2562" w:rsidRPr="00CD2562">
        <w:rPr>
          <w:lang w:val="fr-FR"/>
        </w:rPr>
        <w:t>es.  Il</w:t>
      </w:r>
      <w:r w:rsidR="00531486" w:rsidRPr="00CD2562">
        <w:rPr>
          <w:lang w:val="fr-FR"/>
        </w:rPr>
        <w:t xml:space="preserve"> s</w:t>
      </w:r>
      <w:r w:rsidR="00837637" w:rsidRPr="00CD2562">
        <w:rPr>
          <w:lang w:val="fr-FR"/>
        </w:rPr>
        <w:t>’</w:t>
      </w:r>
      <w:r w:rsidR="00531486" w:rsidRPr="00CD2562">
        <w:rPr>
          <w:lang w:val="fr-FR"/>
        </w:rPr>
        <w:t>agit d</w:t>
      </w:r>
      <w:r w:rsidR="00837637" w:rsidRPr="00CD2562">
        <w:rPr>
          <w:lang w:val="fr-FR"/>
        </w:rPr>
        <w:t>’</w:t>
      </w:r>
      <w:r w:rsidR="00531486" w:rsidRPr="00CD2562">
        <w:rPr>
          <w:lang w:val="fr-FR"/>
        </w:rPr>
        <w:t xml:space="preserve">un ordre de grandeur inférieur à celui des contenus même </w:t>
      </w:r>
      <w:r w:rsidR="00362A9B" w:rsidRPr="00CD2562">
        <w:rPr>
          <w:lang w:val="fr-FR"/>
        </w:rPr>
        <w:t>obsolètes</w:t>
      </w:r>
      <w:r w:rsidR="000740C3" w:rsidRPr="00CD2562">
        <w:rPr>
          <w:lang w:val="fr-FR"/>
        </w:rPr>
        <w:t>.</w:t>
      </w:r>
    </w:p>
    <w:p w14:paraId="0A23FDD3" w14:textId="7CF643CA" w:rsidR="00531486" w:rsidRPr="00CD2562" w:rsidRDefault="00531486" w:rsidP="009B23C7">
      <w:pPr>
        <w:pStyle w:val="ONUMFS"/>
        <w:rPr>
          <w:lang w:val="fr-FR"/>
        </w:rPr>
      </w:pPr>
      <w:r w:rsidRPr="00CD2562">
        <w:rPr>
          <w:lang w:val="fr-FR"/>
        </w:rPr>
        <w:t xml:space="preserve">Il convient de souligner que 180 constitue une moyenne pour toutes les pages </w:t>
      </w:r>
      <w:r w:rsidR="003558DD" w:rsidRPr="00CD2562">
        <w:rPr>
          <w:lang w:val="fr-FR"/>
        </w:rPr>
        <w:t>consacrées aux</w:t>
      </w:r>
      <w:r w:rsidRPr="00CD2562">
        <w:rPr>
          <w:lang w:val="fr-FR"/>
        </w:rPr>
        <w:t xml:space="preserve"> rapports techniques annuels </w:t>
      </w:r>
      <w:r w:rsidR="003558DD" w:rsidRPr="00CD2562">
        <w:rPr>
          <w:lang w:val="fr-FR"/>
        </w:rPr>
        <w:t xml:space="preserve">au cours </w:t>
      </w:r>
      <w:r w:rsidRPr="00CD2562">
        <w:rPr>
          <w:lang w:val="fr-FR"/>
        </w:rPr>
        <w:t>d</w:t>
      </w:r>
      <w:r w:rsidR="00837637" w:rsidRPr="00CD2562">
        <w:rPr>
          <w:lang w:val="fr-FR"/>
        </w:rPr>
        <w:t>’</w:t>
      </w:r>
      <w:r w:rsidRPr="00CD2562">
        <w:rPr>
          <w:lang w:val="fr-FR"/>
        </w:rPr>
        <w:t>une année donn</w:t>
      </w:r>
      <w:r w:rsidR="00CD2562" w:rsidRPr="00CD2562">
        <w:rPr>
          <w:lang w:val="fr-FR"/>
        </w:rPr>
        <w:t>ée.  Le</w:t>
      </w:r>
      <w:r w:rsidRPr="00CD2562">
        <w:rPr>
          <w:lang w:val="fr-FR"/>
        </w:rPr>
        <w:t xml:space="preserve"> nombre de consultations de chaque page </w:t>
      </w:r>
      <w:r w:rsidR="003558DD" w:rsidRPr="00CD2562">
        <w:rPr>
          <w:lang w:val="fr-FR"/>
        </w:rPr>
        <w:t>de</w:t>
      </w:r>
      <w:r w:rsidRPr="00CD2562">
        <w:rPr>
          <w:lang w:val="fr-FR"/>
        </w:rPr>
        <w:t xml:space="preserve"> rapport technique annuel est souvent inférieur à 10.  Sur les 164 pages de rapports techniques annuels consultées </w:t>
      </w:r>
      <w:r w:rsidR="00837637" w:rsidRPr="00CD2562">
        <w:rPr>
          <w:lang w:val="fr-FR"/>
        </w:rPr>
        <w:t>en 2020</w:t>
      </w:r>
      <w:r w:rsidRPr="00CD2562">
        <w:rPr>
          <w:lang w:val="fr-FR"/>
        </w:rPr>
        <w:t>, seules 15</w:t>
      </w:r>
      <w:r w:rsidR="00362A9B" w:rsidRPr="00CD2562">
        <w:rPr>
          <w:lang w:val="fr-FR"/>
        </w:rPr>
        <w:t> </w:t>
      </w:r>
      <w:r w:rsidRPr="00CD2562">
        <w:rPr>
          <w:lang w:val="fr-FR"/>
        </w:rPr>
        <w:t>pages ont été consultées 10 fois ou pl</w:t>
      </w:r>
      <w:r w:rsidR="00CD2562" w:rsidRPr="00CD2562">
        <w:rPr>
          <w:lang w:val="fr-FR"/>
        </w:rPr>
        <w:t>us.  Qu</w:t>
      </w:r>
      <w:r w:rsidRPr="00CD2562">
        <w:rPr>
          <w:lang w:val="fr-FR"/>
        </w:rPr>
        <w:t>atre</w:t>
      </w:r>
      <w:r w:rsidR="00837637" w:rsidRPr="00CD2562">
        <w:rPr>
          <w:lang w:val="fr-FR"/>
        </w:rPr>
        <w:t>-</w:t>
      </w:r>
      <w:r w:rsidRPr="00CD2562">
        <w:rPr>
          <w:lang w:val="fr-FR"/>
        </w:rPr>
        <w:t>vingt</w:t>
      </w:r>
      <w:r w:rsidR="00837637" w:rsidRPr="00CD2562">
        <w:rPr>
          <w:lang w:val="fr-FR"/>
        </w:rPr>
        <w:t>-</w:t>
      </w:r>
      <w:r w:rsidRPr="00CD2562">
        <w:rPr>
          <w:lang w:val="fr-FR"/>
        </w:rPr>
        <w:t>quinze de ces pages ont été consultées une seule fois pendant toute l</w:t>
      </w:r>
      <w:r w:rsidR="00837637" w:rsidRPr="00CD2562">
        <w:rPr>
          <w:lang w:val="fr-FR"/>
        </w:rPr>
        <w:t>’</w:t>
      </w:r>
      <w:r w:rsidRPr="00CD2562">
        <w:rPr>
          <w:lang w:val="fr-FR"/>
        </w:rPr>
        <w:t>année</w:t>
      </w:r>
      <w:r w:rsidR="004F3380">
        <w:rPr>
          <w:lang w:val="fr-FR"/>
        </w:rPr>
        <w:t> </w:t>
      </w:r>
      <w:r w:rsidRPr="00CD2562">
        <w:rPr>
          <w:lang w:val="fr-FR"/>
        </w:rPr>
        <w:t xml:space="preserve">2020.  Sur 31 rapports techniques annuels soumis </w:t>
      </w:r>
      <w:r w:rsidR="00837637" w:rsidRPr="00CD2562">
        <w:rPr>
          <w:lang w:val="fr-FR"/>
        </w:rPr>
        <w:t>en 2018</w:t>
      </w:r>
      <w:r w:rsidRPr="00CD2562">
        <w:rPr>
          <w:lang w:val="fr-FR"/>
        </w:rPr>
        <w:t>, 22 ont fait l</w:t>
      </w:r>
      <w:r w:rsidR="00837637" w:rsidRPr="00CD2562">
        <w:rPr>
          <w:lang w:val="fr-FR"/>
        </w:rPr>
        <w:t>’</w:t>
      </w:r>
      <w:r w:rsidRPr="00CD2562">
        <w:rPr>
          <w:lang w:val="fr-FR"/>
        </w:rPr>
        <w:t>objet de moins de 10 consultations sur toute l</w:t>
      </w:r>
      <w:r w:rsidR="00837637" w:rsidRPr="00CD2562">
        <w:rPr>
          <w:lang w:val="fr-FR"/>
        </w:rPr>
        <w:t>’</w:t>
      </w:r>
      <w:r w:rsidRPr="00CD2562">
        <w:rPr>
          <w:lang w:val="fr-FR"/>
        </w:rPr>
        <w:t>année</w:t>
      </w:r>
      <w:r w:rsidR="004F3380">
        <w:rPr>
          <w:lang w:val="fr-FR"/>
        </w:rPr>
        <w:t> </w:t>
      </w:r>
      <w:r w:rsidRPr="00CD2562">
        <w:rPr>
          <w:lang w:val="fr-FR"/>
        </w:rPr>
        <w:t>2020.  Cela représente moins d</w:t>
      </w:r>
      <w:r w:rsidR="00837637" w:rsidRPr="00CD2562">
        <w:rPr>
          <w:lang w:val="fr-FR"/>
        </w:rPr>
        <w:t>’</w:t>
      </w:r>
      <w:r w:rsidRPr="00CD2562">
        <w:rPr>
          <w:lang w:val="fr-FR"/>
        </w:rPr>
        <w:t>une consultation de ces pages</w:t>
      </w:r>
      <w:r w:rsidR="003558DD" w:rsidRPr="00CD2562">
        <w:rPr>
          <w:lang w:val="fr-FR"/>
        </w:rPr>
        <w:t xml:space="preserve"> par mois</w:t>
      </w:r>
      <w:r w:rsidRPr="00CD2562">
        <w:rPr>
          <w:lang w:val="fr-FR"/>
        </w:rPr>
        <w:t>.</w:t>
      </w:r>
    </w:p>
    <w:p w14:paraId="1EA51701" w14:textId="1AC09A06" w:rsidR="00FE0673" w:rsidRPr="00CD2562" w:rsidRDefault="008319D4" w:rsidP="00FE0673">
      <w:pPr>
        <w:pStyle w:val="ONUMFS"/>
        <w:numPr>
          <w:ilvl w:val="0"/>
          <w:numId w:val="0"/>
        </w:numPr>
        <w:rPr>
          <w:lang w:val="fr-FR"/>
        </w:rPr>
      </w:pPr>
      <w:r w:rsidRPr="00CD2562">
        <w:rPr>
          <w:noProof/>
          <w:lang w:eastAsia="en-US"/>
        </w:rPr>
        <w:lastRenderedPageBreak/>
        <w:drawing>
          <wp:inline distT="0" distB="0" distL="0" distR="0" wp14:anchorId="69E19B2A" wp14:editId="1A58E4D0">
            <wp:extent cx="5940425" cy="2862632"/>
            <wp:effectExtent l="0" t="0" r="317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C772EE" w14:textId="4FE9E6CC" w:rsidR="003558DD" w:rsidRPr="00CD2562" w:rsidRDefault="003558DD" w:rsidP="009B23C7">
      <w:pPr>
        <w:pStyle w:val="ONUMFS"/>
        <w:rPr>
          <w:lang w:val="fr-FR"/>
        </w:rPr>
      </w:pPr>
      <w:r w:rsidRPr="00CD2562">
        <w:rPr>
          <w:lang w:val="fr-FR"/>
        </w:rPr>
        <w:t>Cela indique que la plupart des pages de rapports techniques annuels sont très peu consulté</w:t>
      </w:r>
      <w:r w:rsidR="00CD2562" w:rsidRPr="00CD2562">
        <w:rPr>
          <w:lang w:val="fr-FR"/>
        </w:rPr>
        <w:t>es.  Co</w:t>
      </w:r>
      <w:r w:rsidRPr="00CD2562">
        <w:rPr>
          <w:lang w:val="fr-FR"/>
        </w:rPr>
        <w:t xml:space="preserve">mpte tenu des efforts déployés par les offices de propriété intellectuelle pour rédiger et publier les rapports techniques annuels, il semble que le nombre de </w:t>
      </w:r>
      <w:r w:rsidR="00CE65AB" w:rsidRPr="00CD2562">
        <w:rPr>
          <w:lang w:val="fr-FR"/>
        </w:rPr>
        <w:t>consultations</w:t>
      </w:r>
      <w:r w:rsidRPr="00CD2562">
        <w:rPr>
          <w:lang w:val="fr-FR"/>
        </w:rPr>
        <w:t xml:space="preserve"> ne justifie pas le niveau d</w:t>
      </w:r>
      <w:r w:rsidR="00837637" w:rsidRPr="00CD2562">
        <w:rPr>
          <w:lang w:val="fr-FR"/>
        </w:rPr>
        <w:t>’</w:t>
      </w:r>
      <w:r w:rsidRPr="00CD2562">
        <w:rPr>
          <w:lang w:val="fr-FR"/>
        </w:rPr>
        <w:t xml:space="preserve">effort actuellement investi par les fournisseurs </w:t>
      </w:r>
      <w:r w:rsidR="00CE65AB" w:rsidRPr="00CD2562">
        <w:rPr>
          <w:lang w:val="fr-FR"/>
        </w:rPr>
        <w:t>de rapports techniques annuels</w:t>
      </w:r>
      <w:r w:rsidRPr="00CD2562">
        <w:rPr>
          <w:lang w:val="fr-FR"/>
        </w:rPr>
        <w:t>.</w:t>
      </w:r>
    </w:p>
    <w:p w14:paraId="4495FBB1" w14:textId="7843F1C8" w:rsidR="000740C3" w:rsidRPr="00CD2562" w:rsidRDefault="009B23C7" w:rsidP="009B23C7">
      <w:pPr>
        <w:pStyle w:val="Heading2"/>
        <w:rPr>
          <w:lang w:val="fr-FR"/>
        </w:rPr>
      </w:pPr>
      <w:r w:rsidRPr="00CD2562">
        <w:rPr>
          <w:lang w:val="fr-FR"/>
        </w:rPr>
        <w:t>Source des consultations</w:t>
      </w:r>
    </w:p>
    <w:p w14:paraId="76B85EC1" w14:textId="5812D8B9" w:rsidR="00CE65AB" w:rsidRPr="00CD2562" w:rsidRDefault="00CE65AB" w:rsidP="009B23C7">
      <w:pPr>
        <w:pStyle w:val="ONUMFS"/>
        <w:rPr>
          <w:lang w:val="fr-FR"/>
        </w:rPr>
      </w:pPr>
      <w:r w:rsidRPr="00CD2562">
        <w:rPr>
          <w:lang w:val="fr-FR"/>
        </w:rPr>
        <w:t>Les statistiques Web ne révèlent pas la provenance des consultations des pag</w:t>
      </w:r>
      <w:r w:rsidR="00CD2562" w:rsidRPr="00CD2562">
        <w:rPr>
          <w:lang w:val="fr-FR"/>
        </w:rPr>
        <w:t>es.  Ch</w:t>
      </w:r>
      <w:r w:rsidRPr="00CD2562">
        <w:rPr>
          <w:lang w:val="fr-FR"/>
        </w:rPr>
        <w:t>aque fois qu</w:t>
      </w:r>
      <w:r w:rsidR="00837637" w:rsidRPr="00CD2562">
        <w:rPr>
          <w:lang w:val="fr-FR"/>
        </w:rPr>
        <w:t>’</w:t>
      </w:r>
      <w:r w:rsidRPr="00CD2562">
        <w:rPr>
          <w:lang w:val="fr-FR"/>
        </w:rPr>
        <w:t>un office de propriété intellectuelle accède à une page de rapport technique annuel pendant qu</w:t>
      </w:r>
      <w:r w:rsidR="00837637" w:rsidRPr="00CD2562">
        <w:rPr>
          <w:lang w:val="fr-FR"/>
        </w:rPr>
        <w:t>’</w:t>
      </w:r>
      <w:r w:rsidRPr="00CD2562">
        <w:rPr>
          <w:lang w:val="fr-FR"/>
        </w:rPr>
        <w:t>il l</w:t>
      </w:r>
      <w:r w:rsidR="00837637" w:rsidRPr="00CD2562">
        <w:rPr>
          <w:lang w:val="fr-FR"/>
        </w:rPr>
        <w:t>’</w:t>
      </w:r>
      <w:r w:rsidRPr="00CD2562">
        <w:rPr>
          <w:lang w:val="fr-FR"/>
        </w:rPr>
        <w:t>établit aux fins de sa publication, la page consultée est enregistrée dans les statistiques</w:t>
      </w:r>
      <w:r w:rsidR="00837675" w:rsidRPr="00CD2562">
        <w:rPr>
          <w:lang w:val="fr-FR"/>
        </w:rPr>
        <w:t> </w:t>
      </w:r>
      <w:r w:rsidRPr="00CD2562">
        <w:rPr>
          <w:lang w:val="fr-FR"/>
        </w:rPr>
        <w:t>Web internes de l</w:t>
      </w:r>
      <w:r w:rsidR="00837637" w:rsidRPr="00CD2562">
        <w:rPr>
          <w:lang w:val="fr-FR"/>
        </w:rPr>
        <w:t>’</w:t>
      </w:r>
      <w:r w:rsidRPr="00CD2562">
        <w:rPr>
          <w:lang w:val="fr-FR"/>
        </w:rPr>
        <w:t>O</w:t>
      </w:r>
      <w:r w:rsidR="00CD2562" w:rsidRPr="00CD2562">
        <w:rPr>
          <w:lang w:val="fr-FR"/>
        </w:rPr>
        <w:t>MPI.  Ce</w:t>
      </w:r>
      <w:r w:rsidRPr="00CD2562">
        <w:rPr>
          <w:lang w:val="fr-FR"/>
        </w:rPr>
        <w:t xml:space="preserve">s pages ne sont pas consultées par les utilisateurs des rapports techniques annuels, mais </w:t>
      </w:r>
      <w:r w:rsidR="00837675" w:rsidRPr="00CD2562">
        <w:rPr>
          <w:lang w:val="fr-FR"/>
        </w:rPr>
        <w:t>par</w:t>
      </w:r>
      <w:r w:rsidRPr="00CD2562">
        <w:rPr>
          <w:lang w:val="fr-FR"/>
        </w:rPr>
        <w:t xml:space="preserve"> l</w:t>
      </w:r>
      <w:r w:rsidR="00837637" w:rsidRPr="00CD2562">
        <w:rPr>
          <w:lang w:val="fr-FR"/>
        </w:rPr>
        <w:t>’</w:t>
      </w:r>
      <w:r w:rsidR="00837675" w:rsidRPr="00CD2562">
        <w:rPr>
          <w:lang w:val="fr-FR"/>
        </w:rPr>
        <w:t xml:space="preserve">office </w:t>
      </w:r>
      <w:r w:rsidRPr="00CD2562">
        <w:rPr>
          <w:lang w:val="fr-FR"/>
        </w:rPr>
        <w:t xml:space="preserve">qui </w:t>
      </w:r>
      <w:r w:rsidR="00837675" w:rsidRPr="00CD2562">
        <w:rPr>
          <w:lang w:val="fr-FR"/>
        </w:rPr>
        <w:t>établit les</w:t>
      </w:r>
      <w:r w:rsidRPr="00CD2562">
        <w:rPr>
          <w:lang w:val="fr-FR"/>
        </w:rPr>
        <w:t xml:space="preserve"> rapports techniques annue</w:t>
      </w:r>
      <w:r w:rsidR="00CD2562" w:rsidRPr="00CD2562">
        <w:rPr>
          <w:lang w:val="fr-FR"/>
        </w:rPr>
        <w:t>ls.  Ce</w:t>
      </w:r>
      <w:r w:rsidRPr="00CD2562">
        <w:rPr>
          <w:lang w:val="fr-FR"/>
        </w:rPr>
        <w:t xml:space="preserve">la </w:t>
      </w:r>
      <w:r w:rsidR="00837675" w:rsidRPr="00CD2562">
        <w:rPr>
          <w:lang w:val="fr-FR"/>
        </w:rPr>
        <w:t>augmente</w:t>
      </w:r>
      <w:r w:rsidRPr="00CD2562">
        <w:rPr>
          <w:lang w:val="fr-FR"/>
        </w:rPr>
        <w:t xml:space="preserve"> le nombre de pages </w:t>
      </w:r>
      <w:r w:rsidR="00837675" w:rsidRPr="00CD2562">
        <w:rPr>
          <w:lang w:val="fr-FR"/>
        </w:rPr>
        <w:t>consulté</w:t>
      </w:r>
      <w:r w:rsidRPr="00CD2562">
        <w:rPr>
          <w:lang w:val="fr-FR"/>
        </w:rPr>
        <w:t>es pendant l</w:t>
      </w:r>
      <w:r w:rsidR="00837637" w:rsidRPr="00CD2562">
        <w:rPr>
          <w:lang w:val="fr-FR"/>
        </w:rPr>
        <w:t>’</w:t>
      </w:r>
      <w:r w:rsidRPr="00CD2562">
        <w:rPr>
          <w:lang w:val="fr-FR"/>
        </w:rPr>
        <w:t xml:space="preserve">année où </w:t>
      </w:r>
      <w:r w:rsidR="00837675" w:rsidRPr="00CD2562">
        <w:rPr>
          <w:lang w:val="fr-FR"/>
        </w:rPr>
        <w:t xml:space="preserve">les </w:t>
      </w:r>
      <w:r w:rsidRPr="00CD2562">
        <w:rPr>
          <w:lang w:val="fr-FR"/>
        </w:rPr>
        <w:t xml:space="preserve">rapports techniques annuels </w:t>
      </w:r>
      <w:r w:rsidR="00837675" w:rsidRPr="00CD2562">
        <w:rPr>
          <w:lang w:val="fr-FR"/>
        </w:rPr>
        <w:t>sont</w:t>
      </w:r>
      <w:r w:rsidRPr="00CD2562">
        <w:rPr>
          <w:lang w:val="fr-FR"/>
        </w:rPr>
        <w:t xml:space="preserve"> </w:t>
      </w:r>
      <w:r w:rsidR="00837675" w:rsidRPr="00CD2562">
        <w:rPr>
          <w:lang w:val="fr-FR"/>
        </w:rPr>
        <w:t>établ</w:t>
      </w:r>
      <w:r w:rsidR="00CD2562" w:rsidRPr="00CD2562">
        <w:rPr>
          <w:lang w:val="fr-FR"/>
        </w:rPr>
        <w:t>is.  Il</w:t>
      </w:r>
      <w:r w:rsidRPr="00CD2562">
        <w:rPr>
          <w:lang w:val="fr-FR"/>
        </w:rPr>
        <w:t xml:space="preserve"> est également fréquent que les </w:t>
      </w:r>
      <w:r w:rsidR="00837675" w:rsidRPr="00CD2562">
        <w:rPr>
          <w:lang w:val="fr-FR"/>
        </w:rPr>
        <w:t>offices de propriété intellectuelle</w:t>
      </w:r>
      <w:r w:rsidRPr="00CD2562">
        <w:rPr>
          <w:lang w:val="fr-FR"/>
        </w:rPr>
        <w:t xml:space="preserve"> consultent leur</w:t>
      </w:r>
      <w:r w:rsidR="00F578FA" w:rsidRPr="00CD2562">
        <w:rPr>
          <w:lang w:val="fr-FR"/>
        </w:rPr>
        <w:t>s</w:t>
      </w:r>
      <w:r w:rsidRPr="00CD2562">
        <w:rPr>
          <w:lang w:val="fr-FR"/>
        </w:rPr>
        <w:t xml:space="preserve"> rapports techniques annuels précédent</w:t>
      </w:r>
      <w:r w:rsidR="00837675" w:rsidRPr="00CD2562">
        <w:rPr>
          <w:lang w:val="fr-FR"/>
        </w:rPr>
        <w:t>s au moment de l</w:t>
      </w:r>
      <w:r w:rsidR="00837637" w:rsidRPr="00CD2562">
        <w:rPr>
          <w:lang w:val="fr-FR"/>
        </w:rPr>
        <w:t>’</w:t>
      </w:r>
      <w:r w:rsidR="00837675" w:rsidRPr="00CD2562">
        <w:rPr>
          <w:lang w:val="fr-FR"/>
        </w:rPr>
        <w:t>établissement d</w:t>
      </w:r>
      <w:r w:rsidR="00837637" w:rsidRPr="00CD2562">
        <w:rPr>
          <w:lang w:val="fr-FR"/>
        </w:rPr>
        <w:t>’</w:t>
      </w:r>
      <w:r w:rsidRPr="00CD2562">
        <w:rPr>
          <w:lang w:val="fr-FR"/>
        </w:rPr>
        <w:t>un nouve</w:t>
      </w:r>
      <w:r w:rsidR="00837675" w:rsidRPr="00CD2562">
        <w:rPr>
          <w:lang w:val="fr-FR"/>
        </w:rPr>
        <w:t>au</w:t>
      </w:r>
      <w:r w:rsidRPr="00CD2562">
        <w:rPr>
          <w:lang w:val="fr-FR"/>
        </w:rPr>
        <w:t xml:space="preserve"> rapport, ce qui gonfle également le nombre de pages consultées </w:t>
      </w:r>
      <w:r w:rsidR="00837675" w:rsidRPr="00CD2562">
        <w:rPr>
          <w:lang w:val="fr-FR"/>
        </w:rPr>
        <w:t>en ce qui concerne les</w:t>
      </w:r>
      <w:r w:rsidRPr="00CD2562">
        <w:rPr>
          <w:lang w:val="fr-FR"/>
        </w:rPr>
        <w:t xml:space="preserve"> rapports techniques annuels de l</w:t>
      </w:r>
      <w:r w:rsidR="00837637" w:rsidRPr="00CD2562">
        <w:rPr>
          <w:lang w:val="fr-FR"/>
        </w:rPr>
        <w:t>’</w:t>
      </w:r>
      <w:r w:rsidRPr="00CD2562">
        <w:rPr>
          <w:lang w:val="fr-FR"/>
        </w:rPr>
        <w:t>année précéden</w:t>
      </w:r>
      <w:r w:rsidR="00CD2562" w:rsidRPr="00CD2562">
        <w:rPr>
          <w:lang w:val="fr-FR"/>
        </w:rPr>
        <w:t>te.  On</w:t>
      </w:r>
      <w:r w:rsidRPr="00CD2562">
        <w:rPr>
          <w:lang w:val="fr-FR"/>
        </w:rPr>
        <w:t xml:space="preserve"> ne sait pas dans quelle mesure ces pages </w:t>
      </w:r>
      <w:r w:rsidR="00F578FA" w:rsidRPr="00CD2562">
        <w:rPr>
          <w:lang w:val="fr-FR"/>
        </w:rPr>
        <w:t>consultées par l</w:t>
      </w:r>
      <w:r w:rsidR="00837637" w:rsidRPr="00CD2562">
        <w:rPr>
          <w:lang w:val="fr-FR"/>
        </w:rPr>
        <w:t>’</w:t>
      </w:r>
      <w:r w:rsidR="00F578FA" w:rsidRPr="00CD2562">
        <w:rPr>
          <w:lang w:val="fr-FR"/>
        </w:rPr>
        <w:t>office de propriété intellectuelle</w:t>
      </w:r>
      <w:r w:rsidRPr="00CD2562">
        <w:rPr>
          <w:lang w:val="fr-FR"/>
        </w:rPr>
        <w:t xml:space="preserve"> qui fournit </w:t>
      </w:r>
      <w:r w:rsidR="00F578FA" w:rsidRPr="00CD2562">
        <w:rPr>
          <w:lang w:val="fr-FR"/>
        </w:rPr>
        <w:t xml:space="preserve">le </w:t>
      </w:r>
      <w:r w:rsidRPr="00CD2562">
        <w:rPr>
          <w:lang w:val="fr-FR"/>
        </w:rPr>
        <w:t xml:space="preserve">rapport technique annuel gonflent les chiffres </w:t>
      </w:r>
      <w:r w:rsidR="00F578FA" w:rsidRPr="00CD2562">
        <w:rPr>
          <w:lang w:val="fr-FR"/>
        </w:rPr>
        <w:t xml:space="preserve">relatifs au nombre de </w:t>
      </w:r>
      <w:r w:rsidRPr="00CD2562">
        <w:rPr>
          <w:lang w:val="fr-FR"/>
        </w:rPr>
        <w:t>rapports techniques annuels</w:t>
      </w:r>
      <w:r w:rsidR="00F578FA" w:rsidRPr="00CD2562">
        <w:rPr>
          <w:lang w:val="fr-FR"/>
        </w:rPr>
        <w:t xml:space="preserve"> consultés</w:t>
      </w:r>
      <w:r w:rsidRPr="00CD2562">
        <w:rPr>
          <w:lang w:val="fr-FR"/>
        </w:rPr>
        <w:t>, mais cela pourrait être un facteur important.</w:t>
      </w:r>
    </w:p>
    <w:p w14:paraId="6308F47D" w14:textId="66494853" w:rsidR="00F578FA" w:rsidRPr="00CD2562" w:rsidRDefault="00F578FA" w:rsidP="009B23C7">
      <w:pPr>
        <w:pStyle w:val="ONUMFS"/>
        <w:rPr>
          <w:lang w:val="fr-FR"/>
        </w:rPr>
      </w:pPr>
      <w:r w:rsidRPr="00CD2562">
        <w:rPr>
          <w:lang w:val="fr-FR"/>
        </w:rPr>
        <w:t xml:space="preserve">Par exemple, les rapports techniques annuels </w:t>
      </w:r>
      <w:r w:rsidR="00837637" w:rsidRPr="00CD2562">
        <w:rPr>
          <w:lang w:val="fr-FR"/>
        </w:rPr>
        <w:t>de 2019</w:t>
      </w:r>
      <w:r w:rsidRPr="00CD2562">
        <w:rPr>
          <w:lang w:val="fr-FR"/>
        </w:rPr>
        <w:t xml:space="preserve"> ont été soumis fin</w:t>
      </w:r>
      <w:r w:rsidR="004F3380">
        <w:rPr>
          <w:lang w:val="fr-FR"/>
        </w:rPr>
        <w:t> </w:t>
      </w:r>
      <w:r w:rsidRPr="00CD2562">
        <w:rPr>
          <w:lang w:val="fr-FR"/>
        </w:rPr>
        <w:t xml:space="preserve">2020 et publiés </w:t>
      </w:r>
      <w:r w:rsidR="00837637" w:rsidRPr="00CD2562">
        <w:rPr>
          <w:lang w:val="fr-FR"/>
        </w:rPr>
        <w:t>en 2021</w:t>
      </w:r>
      <w:r w:rsidRPr="00CD2562">
        <w:rPr>
          <w:lang w:val="fr-FR"/>
        </w:rPr>
        <w:t>.  Bien que les pages n</w:t>
      </w:r>
      <w:r w:rsidR="00837637" w:rsidRPr="00CD2562">
        <w:rPr>
          <w:lang w:val="fr-FR"/>
        </w:rPr>
        <w:t>’</w:t>
      </w:r>
      <w:r w:rsidRPr="00CD2562">
        <w:rPr>
          <w:lang w:val="fr-FR"/>
        </w:rPr>
        <w:t>aient pas été publiées, les statistiques</w:t>
      </w:r>
      <w:r w:rsidR="0024053F" w:rsidRPr="00CD2562">
        <w:rPr>
          <w:lang w:val="fr-FR"/>
        </w:rPr>
        <w:t> </w:t>
      </w:r>
      <w:r w:rsidRPr="00CD2562">
        <w:rPr>
          <w:lang w:val="fr-FR"/>
        </w:rPr>
        <w:t>Web de l</w:t>
      </w:r>
      <w:r w:rsidR="00837637" w:rsidRPr="00CD2562">
        <w:rPr>
          <w:lang w:val="fr-FR"/>
        </w:rPr>
        <w:t>’</w:t>
      </w:r>
      <w:r w:rsidRPr="00CD2562">
        <w:rPr>
          <w:lang w:val="fr-FR"/>
        </w:rPr>
        <w:t xml:space="preserve">OMPI </w:t>
      </w:r>
      <w:r w:rsidR="00837637" w:rsidRPr="00CD2562">
        <w:rPr>
          <w:lang w:val="fr-FR"/>
        </w:rPr>
        <w:t>pour 2020</w:t>
      </w:r>
      <w:r w:rsidRPr="00CD2562">
        <w:rPr>
          <w:lang w:val="fr-FR"/>
        </w:rPr>
        <w:t xml:space="preserve"> montrent que les pages </w:t>
      </w:r>
      <w:r w:rsidR="0024053F" w:rsidRPr="00CD2562">
        <w:rPr>
          <w:lang w:val="fr-FR"/>
        </w:rPr>
        <w:t xml:space="preserve">de rapports techniques annuels </w:t>
      </w:r>
      <w:r w:rsidR="00837637" w:rsidRPr="00CD2562">
        <w:rPr>
          <w:lang w:val="fr-FR"/>
        </w:rPr>
        <w:t>de 2019</w:t>
      </w:r>
      <w:r w:rsidRPr="00CD2562">
        <w:rPr>
          <w:lang w:val="fr-FR"/>
        </w:rPr>
        <w:t xml:space="preserve"> ont été consultées 112</w:t>
      </w:r>
      <w:r w:rsidR="0024053F" w:rsidRPr="00CD2562">
        <w:rPr>
          <w:lang w:val="fr-FR"/>
        </w:rPr>
        <w:t> </w:t>
      </w:r>
      <w:r w:rsidRPr="00CD2562">
        <w:rPr>
          <w:lang w:val="fr-FR"/>
        </w:rPr>
        <w:t xml:space="preserve">fois </w:t>
      </w:r>
      <w:r w:rsidR="00837637" w:rsidRPr="00CD2562">
        <w:rPr>
          <w:lang w:val="fr-FR"/>
        </w:rPr>
        <w:t>en 2020</w:t>
      </w:r>
      <w:r w:rsidRPr="00CD2562">
        <w:rPr>
          <w:lang w:val="fr-FR"/>
        </w:rPr>
        <w:t>.  Ces consultations n</w:t>
      </w:r>
      <w:r w:rsidR="00837637" w:rsidRPr="00CD2562">
        <w:rPr>
          <w:lang w:val="fr-FR"/>
        </w:rPr>
        <w:t>’</w:t>
      </w:r>
      <w:r w:rsidRPr="00CD2562">
        <w:rPr>
          <w:lang w:val="fr-FR"/>
        </w:rPr>
        <w:t>ont pu provenir que de l</w:t>
      </w:r>
      <w:r w:rsidR="00837637" w:rsidRPr="00CD2562">
        <w:rPr>
          <w:lang w:val="fr-FR"/>
        </w:rPr>
        <w:t>’</w:t>
      </w:r>
      <w:r w:rsidR="0024053F" w:rsidRPr="00CD2562">
        <w:rPr>
          <w:lang w:val="fr-FR"/>
        </w:rPr>
        <w:t>office de propriété intellectuelle</w:t>
      </w:r>
      <w:r w:rsidRPr="00CD2562">
        <w:rPr>
          <w:lang w:val="fr-FR"/>
        </w:rPr>
        <w:t xml:space="preserve"> qui a soumis l</w:t>
      </w:r>
      <w:r w:rsidR="0024053F" w:rsidRPr="00CD2562">
        <w:rPr>
          <w:lang w:val="fr-FR"/>
        </w:rPr>
        <w:t>e rappo</w:t>
      </w:r>
      <w:r w:rsidR="00CD2562" w:rsidRPr="00CD2562">
        <w:rPr>
          <w:lang w:val="fr-FR"/>
        </w:rPr>
        <w:t>rt.  Ét</w:t>
      </w:r>
      <w:r w:rsidRPr="00CD2562">
        <w:rPr>
          <w:lang w:val="fr-FR"/>
        </w:rPr>
        <w:t>ant donné que la plupart des rapports techniques annuels comptent entre 100 et 200</w:t>
      </w:r>
      <w:r w:rsidR="0024053F" w:rsidRPr="00CD2562">
        <w:rPr>
          <w:lang w:val="fr-FR"/>
        </w:rPr>
        <w:t> </w:t>
      </w:r>
      <w:r w:rsidRPr="00CD2562">
        <w:rPr>
          <w:lang w:val="fr-FR"/>
        </w:rPr>
        <w:t>consultations au cours de l</w:t>
      </w:r>
      <w:r w:rsidR="00837637" w:rsidRPr="00CD2562">
        <w:rPr>
          <w:lang w:val="fr-FR"/>
        </w:rPr>
        <w:t>’</w:t>
      </w:r>
      <w:r w:rsidRPr="00CD2562">
        <w:rPr>
          <w:lang w:val="fr-FR"/>
        </w:rPr>
        <w:t>année de publication, il semble que la plupart de ces consultations de pages pourraient provenir de l</w:t>
      </w:r>
      <w:r w:rsidR="00837637" w:rsidRPr="00CD2562">
        <w:rPr>
          <w:lang w:val="fr-FR"/>
        </w:rPr>
        <w:t>’</w:t>
      </w:r>
      <w:r w:rsidR="0024053F" w:rsidRPr="00CD2562">
        <w:rPr>
          <w:lang w:val="fr-FR"/>
        </w:rPr>
        <w:t xml:space="preserve">office </w:t>
      </w:r>
      <w:r w:rsidRPr="00CD2562">
        <w:rPr>
          <w:lang w:val="fr-FR"/>
        </w:rPr>
        <w:t>plutôt que des utilisateurs fina</w:t>
      </w:r>
      <w:r w:rsidR="00CD2562" w:rsidRPr="00CD2562">
        <w:rPr>
          <w:lang w:val="fr-FR"/>
        </w:rPr>
        <w:t>ux.  On</w:t>
      </w:r>
      <w:r w:rsidRPr="00CD2562">
        <w:rPr>
          <w:lang w:val="fr-FR"/>
        </w:rPr>
        <w:t xml:space="preserve"> ne sait pas d</w:t>
      </w:r>
      <w:r w:rsidR="00837637" w:rsidRPr="00CD2562">
        <w:rPr>
          <w:lang w:val="fr-FR"/>
        </w:rPr>
        <w:t>’</w:t>
      </w:r>
      <w:r w:rsidRPr="00CD2562">
        <w:rPr>
          <w:lang w:val="fr-FR"/>
        </w:rPr>
        <w:t xml:space="preserve">où proviennent les </w:t>
      </w:r>
      <w:r w:rsidR="0024053F" w:rsidRPr="00CD2562">
        <w:rPr>
          <w:lang w:val="fr-FR"/>
        </w:rPr>
        <w:t xml:space="preserve">consultations de </w:t>
      </w:r>
      <w:r w:rsidRPr="00CD2562">
        <w:rPr>
          <w:lang w:val="fr-FR"/>
        </w:rPr>
        <w:t>pages au cours de la deuxième</w:t>
      </w:r>
      <w:r w:rsidR="001905CF" w:rsidRPr="00CD2562">
        <w:rPr>
          <w:lang w:val="fr-FR"/>
        </w:rPr>
        <w:t> </w:t>
      </w:r>
      <w:r w:rsidRPr="00CD2562">
        <w:rPr>
          <w:lang w:val="fr-FR"/>
        </w:rPr>
        <w:t>année suivant la publication d</w:t>
      </w:r>
      <w:r w:rsidR="00837637" w:rsidRPr="00CD2562">
        <w:rPr>
          <w:lang w:val="fr-FR"/>
        </w:rPr>
        <w:t>’</w:t>
      </w:r>
      <w:r w:rsidRPr="00CD2562">
        <w:rPr>
          <w:lang w:val="fr-FR"/>
        </w:rPr>
        <w:t>un rapport</w:t>
      </w:r>
      <w:r w:rsidR="001905CF" w:rsidRPr="00CD2562">
        <w:rPr>
          <w:lang w:val="fr-FR"/>
        </w:rPr>
        <w:t xml:space="preserve"> technique</w:t>
      </w:r>
      <w:r w:rsidRPr="00CD2562">
        <w:rPr>
          <w:lang w:val="fr-FR"/>
        </w:rPr>
        <w:t xml:space="preserve"> annuel, mais il est possible qu</w:t>
      </w:r>
      <w:r w:rsidR="00837637" w:rsidRPr="00CD2562">
        <w:rPr>
          <w:lang w:val="fr-FR"/>
        </w:rPr>
        <w:t>’</w:t>
      </w:r>
      <w:r w:rsidRPr="00CD2562">
        <w:rPr>
          <w:lang w:val="fr-FR"/>
        </w:rPr>
        <w:t>un grand nombre d</w:t>
      </w:r>
      <w:r w:rsidR="00837637" w:rsidRPr="00CD2562">
        <w:rPr>
          <w:lang w:val="fr-FR"/>
        </w:rPr>
        <w:t>’</w:t>
      </w:r>
      <w:r w:rsidRPr="00CD2562">
        <w:rPr>
          <w:lang w:val="fr-FR"/>
        </w:rPr>
        <w:t>entre elles proviennent de l</w:t>
      </w:r>
      <w:r w:rsidR="00837637" w:rsidRPr="00CD2562">
        <w:rPr>
          <w:lang w:val="fr-FR"/>
        </w:rPr>
        <w:t>’</w:t>
      </w:r>
      <w:r w:rsidR="001905CF" w:rsidRPr="00CD2562">
        <w:rPr>
          <w:lang w:val="fr-FR"/>
        </w:rPr>
        <w:t xml:space="preserve">office </w:t>
      </w:r>
      <w:r w:rsidRPr="00CD2562">
        <w:rPr>
          <w:lang w:val="fr-FR"/>
        </w:rPr>
        <w:t>d</w:t>
      </w:r>
      <w:r w:rsidR="00837637" w:rsidRPr="00CD2562">
        <w:rPr>
          <w:lang w:val="fr-FR"/>
        </w:rPr>
        <w:t>’</w:t>
      </w:r>
      <w:r w:rsidRPr="00CD2562">
        <w:rPr>
          <w:lang w:val="fr-FR"/>
        </w:rPr>
        <w:t xml:space="preserve">origine qui </w:t>
      </w:r>
      <w:r w:rsidR="001905CF" w:rsidRPr="00CD2562">
        <w:rPr>
          <w:lang w:val="fr-FR"/>
        </w:rPr>
        <w:t>réexamine</w:t>
      </w:r>
      <w:r w:rsidRPr="00CD2562">
        <w:rPr>
          <w:lang w:val="fr-FR"/>
        </w:rPr>
        <w:t xml:space="preserve"> </w:t>
      </w:r>
      <w:r w:rsidR="001905CF" w:rsidRPr="00CD2562">
        <w:rPr>
          <w:lang w:val="fr-FR"/>
        </w:rPr>
        <w:t>son</w:t>
      </w:r>
      <w:r w:rsidRPr="00CD2562">
        <w:rPr>
          <w:lang w:val="fr-FR"/>
        </w:rPr>
        <w:t xml:space="preserve"> précédent</w:t>
      </w:r>
      <w:r w:rsidR="001905CF" w:rsidRPr="00CD2562">
        <w:rPr>
          <w:lang w:val="fr-FR"/>
        </w:rPr>
        <w:t xml:space="preserve"> rapport</w:t>
      </w:r>
      <w:r w:rsidRPr="00CD2562">
        <w:rPr>
          <w:lang w:val="fr-FR"/>
        </w:rPr>
        <w:t xml:space="preserve"> </w:t>
      </w:r>
      <w:r w:rsidR="001905CF" w:rsidRPr="00CD2562">
        <w:rPr>
          <w:lang w:val="fr-FR"/>
        </w:rPr>
        <w:t>lors de l</w:t>
      </w:r>
      <w:r w:rsidR="00837637" w:rsidRPr="00CD2562">
        <w:rPr>
          <w:lang w:val="fr-FR"/>
        </w:rPr>
        <w:t>’</w:t>
      </w:r>
      <w:r w:rsidR="001905CF" w:rsidRPr="00CD2562">
        <w:rPr>
          <w:lang w:val="fr-FR"/>
        </w:rPr>
        <w:t>établissement</w:t>
      </w:r>
      <w:r w:rsidRPr="00CD2562">
        <w:rPr>
          <w:lang w:val="fr-FR"/>
        </w:rPr>
        <w:t xml:space="preserve"> </w:t>
      </w:r>
      <w:r w:rsidR="00D656F2" w:rsidRPr="00CD2562">
        <w:rPr>
          <w:lang w:val="fr-FR"/>
        </w:rPr>
        <w:t xml:space="preserve">de </w:t>
      </w:r>
      <w:r w:rsidR="001905CF" w:rsidRPr="00CD2562">
        <w:rPr>
          <w:lang w:val="fr-FR"/>
        </w:rPr>
        <w:t>celui de</w:t>
      </w:r>
      <w:r w:rsidRPr="00CD2562">
        <w:rPr>
          <w:lang w:val="fr-FR"/>
        </w:rPr>
        <w:t xml:space="preserve"> l</w:t>
      </w:r>
      <w:r w:rsidR="00837637" w:rsidRPr="00CD2562">
        <w:rPr>
          <w:lang w:val="fr-FR"/>
        </w:rPr>
        <w:t>’</w:t>
      </w:r>
      <w:r w:rsidRPr="00CD2562">
        <w:rPr>
          <w:lang w:val="fr-FR"/>
        </w:rPr>
        <w:t>année en cou</w:t>
      </w:r>
      <w:r w:rsidR="00CD2562" w:rsidRPr="00CD2562">
        <w:rPr>
          <w:lang w:val="fr-FR"/>
        </w:rPr>
        <w:t>rs.  Pa</w:t>
      </w:r>
      <w:r w:rsidRPr="00CD2562">
        <w:rPr>
          <w:lang w:val="fr-FR"/>
        </w:rPr>
        <w:t xml:space="preserve">r conséquent, le nombre de fois où les </w:t>
      </w:r>
      <w:r w:rsidR="0024053F" w:rsidRPr="00CD2562">
        <w:rPr>
          <w:lang w:val="fr-FR"/>
        </w:rPr>
        <w:t xml:space="preserve">rapports techniques annuels </w:t>
      </w:r>
      <w:r w:rsidRPr="00CD2562">
        <w:rPr>
          <w:lang w:val="fr-FR"/>
        </w:rPr>
        <w:t xml:space="preserve">sont consultés par </w:t>
      </w:r>
      <w:r w:rsidR="001905CF" w:rsidRPr="00CD2562">
        <w:rPr>
          <w:lang w:val="fr-FR"/>
        </w:rPr>
        <w:t>d</w:t>
      </w:r>
      <w:r w:rsidRPr="00CD2562">
        <w:rPr>
          <w:lang w:val="fr-FR"/>
        </w:rPr>
        <w:t>es utilisateurs réels est probablement bien inférieur aux chiffres indiqués par les statistiques</w:t>
      </w:r>
      <w:r w:rsidR="001905CF" w:rsidRPr="00CD2562">
        <w:rPr>
          <w:lang w:val="fr-FR"/>
        </w:rPr>
        <w:t> </w:t>
      </w:r>
      <w:r w:rsidRPr="00CD2562">
        <w:rPr>
          <w:lang w:val="fr-FR"/>
        </w:rPr>
        <w:t>Web de l</w:t>
      </w:r>
      <w:r w:rsidR="00837637" w:rsidRPr="00CD2562">
        <w:rPr>
          <w:lang w:val="fr-FR"/>
        </w:rPr>
        <w:t>’</w:t>
      </w:r>
      <w:r w:rsidRPr="00CD2562">
        <w:rPr>
          <w:lang w:val="fr-FR"/>
        </w:rPr>
        <w:t xml:space="preserve">OMPI </w:t>
      </w:r>
      <w:r w:rsidR="001905CF" w:rsidRPr="00CD2562">
        <w:rPr>
          <w:lang w:val="fr-FR"/>
        </w:rPr>
        <w:t>indiquées plus haut</w:t>
      </w:r>
      <w:r w:rsidRPr="00CD2562">
        <w:rPr>
          <w:lang w:val="fr-FR"/>
        </w:rPr>
        <w:t>.</w:t>
      </w:r>
    </w:p>
    <w:p w14:paraId="57EB363D" w14:textId="1381AEEF" w:rsidR="000740C3" w:rsidRPr="00CD2562" w:rsidRDefault="009B23C7" w:rsidP="009B23C7">
      <w:pPr>
        <w:pStyle w:val="Heading2"/>
        <w:rPr>
          <w:lang w:val="fr-FR"/>
        </w:rPr>
      </w:pPr>
      <w:r w:rsidRPr="00CD2562">
        <w:rPr>
          <w:lang w:val="fr-FR"/>
        </w:rPr>
        <w:lastRenderedPageBreak/>
        <w:t>Propositions</w:t>
      </w:r>
    </w:p>
    <w:p w14:paraId="1C381951" w14:textId="2B43C560" w:rsidR="00837637" w:rsidRPr="00CD2562" w:rsidRDefault="001905CF" w:rsidP="009B23C7">
      <w:pPr>
        <w:pStyle w:val="ONUMFS"/>
        <w:rPr>
          <w:lang w:val="fr-FR"/>
        </w:rPr>
      </w:pPr>
      <w:r w:rsidRPr="00CD2562">
        <w:rPr>
          <w:lang w:val="fr-FR"/>
        </w:rPr>
        <w:t>Sur la base des constatations ci</w:t>
      </w:r>
      <w:r w:rsidR="00837637" w:rsidRPr="00CD2562">
        <w:rPr>
          <w:lang w:val="fr-FR"/>
        </w:rPr>
        <w:t>-</w:t>
      </w:r>
      <w:r w:rsidRPr="00CD2562">
        <w:rPr>
          <w:lang w:val="fr-FR"/>
        </w:rPr>
        <w:t>dessus – disponibilité de l</w:t>
      </w:r>
      <w:r w:rsidR="00837637" w:rsidRPr="00CD2562">
        <w:rPr>
          <w:lang w:val="fr-FR"/>
        </w:rPr>
        <w:t>’</w:t>
      </w:r>
      <w:r w:rsidRPr="00CD2562">
        <w:rPr>
          <w:lang w:val="fr-FR"/>
        </w:rPr>
        <w:t>information dans les rapports annuels et sur les sites Internet des offices de propriété intellectuelle, diminution du nombre de rapports fournis, faible nombre de consultations des rapports – le Bureau international propose les deux</w:t>
      </w:r>
      <w:r w:rsidR="00524C6D" w:rsidRPr="00CD2562">
        <w:rPr>
          <w:lang w:val="fr-FR"/>
        </w:rPr>
        <w:t> </w:t>
      </w:r>
      <w:r w:rsidRPr="00CD2562">
        <w:rPr>
          <w:lang w:val="fr-FR"/>
        </w:rPr>
        <w:t xml:space="preserve">options suivantes </w:t>
      </w:r>
      <w:r w:rsidR="00F75C28" w:rsidRPr="00CD2562">
        <w:rPr>
          <w:lang w:val="fr-FR"/>
        </w:rPr>
        <w:t>en ce qui concerne</w:t>
      </w:r>
      <w:r w:rsidRPr="00CD2562">
        <w:rPr>
          <w:lang w:val="fr-FR"/>
        </w:rPr>
        <w:t xml:space="preserve"> les changements à a</w:t>
      </w:r>
      <w:r w:rsidR="00F75C28" w:rsidRPr="00CD2562">
        <w:rPr>
          <w:lang w:val="fr-FR"/>
        </w:rPr>
        <w:t>pport</w:t>
      </w:r>
      <w:r w:rsidRPr="00CD2562">
        <w:rPr>
          <w:lang w:val="fr-FR"/>
        </w:rPr>
        <w:t>er aux rapports techniques annuels</w:t>
      </w:r>
      <w:r w:rsidR="00837637" w:rsidRPr="00CD2562">
        <w:rPr>
          <w:lang w:val="fr-FR"/>
        </w:rPr>
        <w:t> :</w:t>
      </w:r>
    </w:p>
    <w:p w14:paraId="2F5D7142" w14:textId="09EACBD1" w:rsidR="000740C3" w:rsidRPr="00CD2562" w:rsidRDefault="009B23C7" w:rsidP="009B23C7">
      <w:pPr>
        <w:pStyle w:val="ONUMFS"/>
        <w:numPr>
          <w:ilvl w:val="0"/>
          <w:numId w:val="0"/>
        </w:numPr>
        <w:ind w:left="1134" w:hanging="567"/>
        <w:rPr>
          <w:lang w:val="fr-FR"/>
        </w:rPr>
      </w:pPr>
      <w:r w:rsidRPr="00CD2562">
        <w:rPr>
          <w:lang w:val="fr-FR"/>
        </w:rPr>
        <w:t>1)</w:t>
      </w:r>
      <w:r w:rsidRPr="00CD2562">
        <w:rPr>
          <w:lang w:val="fr-FR"/>
        </w:rPr>
        <w:tab/>
      </w:r>
      <w:r w:rsidR="00F75C28" w:rsidRPr="00CD2562">
        <w:rPr>
          <w:b/>
          <w:lang w:val="fr-FR"/>
        </w:rPr>
        <w:t>Mettre fin aux rapports techniques annuels</w:t>
      </w:r>
      <w:r w:rsidR="000740C3" w:rsidRPr="00CD2562">
        <w:rPr>
          <w:lang w:val="fr-FR"/>
        </w:rPr>
        <w:t xml:space="preserve"> – </w:t>
      </w:r>
      <w:r w:rsidR="009A630E" w:rsidRPr="00CD2562">
        <w:rPr>
          <w:lang w:val="fr-FR"/>
        </w:rPr>
        <w:t>Compte tenu du manque apparent d</w:t>
      </w:r>
      <w:r w:rsidR="00837637" w:rsidRPr="00CD2562">
        <w:rPr>
          <w:lang w:val="fr-FR"/>
        </w:rPr>
        <w:t>’</w:t>
      </w:r>
      <w:r w:rsidR="009A630E" w:rsidRPr="00CD2562">
        <w:rPr>
          <w:lang w:val="fr-FR"/>
        </w:rPr>
        <w:t>intérêt pour les rapports techniques annuels et de leur inutilisation, il conviendrait peut</w:t>
      </w:r>
      <w:r w:rsidR="00837637" w:rsidRPr="00CD2562">
        <w:rPr>
          <w:lang w:val="fr-FR"/>
        </w:rPr>
        <w:t>-</w:t>
      </w:r>
      <w:r w:rsidR="009A630E" w:rsidRPr="00CD2562">
        <w:rPr>
          <w:lang w:val="fr-FR"/>
        </w:rPr>
        <w:t>être de mettre fin à l</w:t>
      </w:r>
      <w:r w:rsidR="00837637" w:rsidRPr="00CD2562">
        <w:rPr>
          <w:lang w:val="fr-FR"/>
        </w:rPr>
        <w:t>’</w:t>
      </w:r>
      <w:r w:rsidR="009A630E" w:rsidRPr="00CD2562">
        <w:rPr>
          <w:lang w:val="fr-FR"/>
        </w:rPr>
        <w:t>établissement de ces rappor</w:t>
      </w:r>
      <w:r w:rsidR="00CD2562" w:rsidRPr="00CD2562">
        <w:rPr>
          <w:lang w:val="fr-FR"/>
        </w:rPr>
        <w:t>ts.  Il</w:t>
      </w:r>
      <w:r w:rsidR="009A630E" w:rsidRPr="00CD2562">
        <w:rPr>
          <w:lang w:val="fr-FR"/>
        </w:rPr>
        <w:t>s pourraient être supprimés progressivement sur une période de deux</w:t>
      </w:r>
      <w:r w:rsidR="00D656F2" w:rsidRPr="00CD2562">
        <w:rPr>
          <w:lang w:val="fr-FR"/>
        </w:rPr>
        <w:t> </w:t>
      </w:r>
      <w:r w:rsidR="009A630E" w:rsidRPr="00CD2562">
        <w:rPr>
          <w:lang w:val="fr-FR"/>
        </w:rPr>
        <w:t>ans, ce qui laisserait aux répondants et aux utilisateurs le temps de soulever tout problème potenti</w:t>
      </w:r>
      <w:r w:rsidR="00CD2562" w:rsidRPr="00CD2562">
        <w:rPr>
          <w:lang w:val="fr-FR"/>
        </w:rPr>
        <w:t>el.  Au</w:t>
      </w:r>
      <w:r w:rsidR="009A630E" w:rsidRPr="00CD2562">
        <w:rPr>
          <w:lang w:val="fr-FR"/>
        </w:rPr>
        <w:t xml:space="preserve"> cours de cette période, les rapports publiés resteront disponibl</w:t>
      </w:r>
      <w:r w:rsidR="00CD2562" w:rsidRPr="00CD2562">
        <w:rPr>
          <w:lang w:val="fr-FR"/>
        </w:rPr>
        <w:t>es.  Au</w:t>
      </w:r>
      <w:r w:rsidR="009A630E" w:rsidRPr="00CD2562">
        <w:rPr>
          <w:lang w:val="fr-FR"/>
        </w:rPr>
        <w:t xml:space="preserve"> regard du nombre extrêmement faible de rapports fournis </w:t>
      </w:r>
      <w:r w:rsidR="00837637" w:rsidRPr="00CD2562">
        <w:rPr>
          <w:lang w:val="fr-FR"/>
        </w:rPr>
        <w:t>en 2021</w:t>
      </w:r>
      <w:r w:rsidR="009A630E" w:rsidRPr="00CD2562">
        <w:rPr>
          <w:lang w:val="fr-FR"/>
        </w:rPr>
        <w:t xml:space="preserve"> (seuls six offices de propriété intellectuelle ont répondu), le Bureau international recommande que de nouveaux rapports ne soient plus fournis à partir </w:t>
      </w:r>
      <w:r w:rsidR="00837637" w:rsidRPr="00CD2562">
        <w:rPr>
          <w:lang w:val="fr-FR"/>
        </w:rPr>
        <w:t>de 2022</w:t>
      </w:r>
      <w:r w:rsidR="009A630E" w:rsidRPr="00CD2562">
        <w:rPr>
          <w:lang w:val="fr-FR"/>
        </w:rPr>
        <w:t>.  Après la période de suppression progressive, les rapports publiés seront archivés en ligne comme d</w:t>
      </w:r>
      <w:r w:rsidR="00837637" w:rsidRPr="00CD2562">
        <w:rPr>
          <w:lang w:val="fr-FR"/>
        </w:rPr>
        <w:t>’</w:t>
      </w:r>
      <w:r w:rsidR="009A630E" w:rsidRPr="00CD2562">
        <w:rPr>
          <w:lang w:val="fr-FR"/>
        </w:rPr>
        <w:t>autres données historiques</w:t>
      </w:r>
      <w:r w:rsidR="000740C3" w:rsidRPr="00CD2562">
        <w:rPr>
          <w:lang w:val="fr-FR"/>
        </w:rPr>
        <w:t>.</w:t>
      </w:r>
    </w:p>
    <w:p w14:paraId="4920B2FF" w14:textId="1CE6D17C" w:rsidR="009B23C7" w:rsidRPr="00CD2562" w:rsidRDefault="009B23C7" w:rsidP="009B23C7">
      <w:pPr>
        <w:pStyle w:val="ONUMFS"/>
        <w:numPr>
          <w:ilvl w:val="0"/>
          <w:numId w:val="0"/>
        </w:numPr>
        <w:ind w:left="1134" w:hanging="567"/>
        <w:rPr>
          <w:lang w:val="fr-FR"/>
        </w:rPr>
      </w:pPr>
      <w:r w:rsidRPr="00CD2562">
        <w:rPr>
          <w:lang w:val="fr-FR"/>
        </w:rPr>
        <w:t>2)</w:t>
      </w:r>
      <w:r w:rsidRPr="00CD2562">
        <w:rPr>
          <w:lang w:val="fr-FR"/>
        </w:rPr>
        <w:tab/>
      </w:r>
      <w:r w:rsidR="000740C3" w:rsidRPr="00CD2562">
        <w:rPr>
          <w:b/>
          <w:lang w:val="fr-FR"/>
        </w:rPr>
        <w:t>Simplif</w:t>
      </w:r>
      <w:r w:rsidR="009A630E" w:rsidRPr="00CD2562">
        <w:rPr>
          <w:b/>
          <w:lang w:val="fr-FR"/>
        </w:rPr>
        <w:t>ier la fourniture des rapports techniques annuels</w:t>
      </w:r>
      <w:r w:rsidR="000740C3" w:rsidRPr="00CD2562">
        <w:rPr>
          <w:lang w:val="fr-FR"/>
        </w:rPr>
        <w:t xml:space="preserve"> – </w:t>
      </w:r>
      <w:r w:rsidR="00D656F2" w:rsidRPr="00CD2562">
        <w:rPr>
          <w:lang w:val="fr-FR"/>
        </w:rPr>
        <w:t>Si</w:t>
      </w:r>
      <w:r w:rsidR="00837637" w:rsidRPr="00CD2562">
        <w:rPr>
          <w:lang w:val="fr-FR"/>
        </w:rPr>
        <w:t xml:space="preserve"> le CWS</w:t>
      </w:r>
      <w:r w:rsidR="00D656F2" w:rsidRPr="00CD2562">
        <w:rPr>
          <w:lang w:val="fr-FR"/>
        </w:rPr>
        <w:t xml:space="preserve"> décide de poursuivre la fourniture des rapports techniques annuels, le Bureau international propose de simplifier considérablement le process</w:t>
      </w:r>
      <w:r w:rsidR="00CD2562" w:rsidRPr="00CD2562">
        <w:rPr>
          <w:lang w:val="fr-FR"/>
        </w:rPr>
        <w:t>us.  Au</w:t>
      </w:r>
      <w:r w:rsidR="00D656F2" w:rsidRPr="00CD2562">
        <w:rPr>
          <w:lang w:val="fr-FR"/>
        </w:rPr>
        <w:t xml:space="preserve"> lieu de demander aux offices de propriété intellectuelle de fournir un texte détaillé sur leurs activités et leurs systèmes, il leur sera plutôt demandé de fournir des liens vers leur site Internet ou leur rapport annuel dans lequel il est possible de trouver les informations figurant sur les questionnaires relatifs aux rapports actue</w:t>
      </w:r>
      <w:r w:rsidR="00CD2562" w:rsidRPr="00CD2562">
        <w:rPr>
          <w:lang w:val="fr-FR"/>
        </w:rPr>
        <w:t>ls.  Le</w:t>
      </w:r>
      <w:r w:rsidR="00D656F2" w:rsidRPr="00CD2562">
        <w:rPr>
          <w:lang w:val="fr-FR"/>
        </w:rPr>
        <w:t>s informations connexes devront, de préférence, être fournies en français, anglais, ou espagnol, dans la mesure du possib</w:t>
      </w:r>
      <w:r w:rsidR="00CD2562" w:rsidRPr="00CD2562">
        <w:rPr>
          <w:lang w:val="fr-FR"/>
        </w:rPr>
        <w:t>le.  Le</w:t>
      </w:r>
      <w:r w:rsidR="00D656F2" w:rsidRPr="00CD2562">
        <w:rPr>
          <w:lang w:val="fr-FR"/>
        </w:rPr>
        <w:t xml:space="preserve"> wiki dédié aux rapports techniques annuels et le formulaire actuel continueront d</w:t>
      </w:r>
      <w:r w:rsidR="00837637" w:rsidRPr="00CD2562">
        <w:rPr>
          <w:lang w:val="fr-FR"/>
        </w:rPr>
        <w:t>’</w:t>
      </w:r>
      <w:r w:rsidR="00D656F2" w:rsidRPr="00CD2562">
        <w:rPr>
          <w:lang w:val="fr-FR"/>
        </w:rPr>
        <w:t>être utilisés, mais des liens seront fournis à la place du tex</w:t>
      </w:r>
      <w:r w:rsidR="00CD2562" w:rsidRPr="00CD2562">
        <w:rPr>
          <w:lang w:val="fr-FR"/>
        </w:rPr>
        <w:t>te.  Si</w:t>
      </w:r>
      <w:r w:rsidR="00D656F2" w:rsidRPr="00CD2562">
        <w:rPr>
          <w:lang w:val="fr-FR"/>
        </w:rPr>
        <w:t xml:space="preserve"> un office souhaite que les informations le concernant figurent sur le site de l</w:t>
      </w:r>
      <w:r w:rsidR="00837637" w:rsidRPr="00CD2562">
        <w:rPr>
          <w:lang w:val="fr-FR"/>
        </w:rPr>
        <w:t>’</w:t>
      </w:r>
      <w:r w:rsidR="00D656F2" w:rsidRPr="00CD2562">
        <w:rPr>
          <w:lang w:val="fr-FR"/>
        </w:rPr>
        <w:t>OMPI plutôt que sur son propre site Web, il pourra fournir un texte en français, anglais ou espagnol en lieu et place des liens</w:t>
      </w:r>
      <w:r w:rsidR="000740C3" w:rsidRPr="00CD2562">
        <w:rPr>
          <w:lang w:val="fr-FR"/>
        </w:rPr>
        <w:t>.</w:t>
      </w:r>
    </w:p>
    <w:p w14:paraId="5DC73F96" w14:textId="77777777" w:rsidR="00837637" w:rsidRPr="00CD2562" w:rsidRDefault="002413EB" w:rsidP="009B23C7">
      <w:pPr>
        <w:pStyle w:val="ONUMFS"/>
        <w:tabs>
          <w:tab w:val="left" w:pos="567"/>
          <w:tab w:val="left" w:pos="6096"/>
        </w:tabs>
        <w:ind w:left="5534"/>
        <w:rPr>
          <w:i/>
          <w:lang w:val="fr-FR"/>
        </w:rPr>
      </w:pPr>
      <w:r w:rsidRPr="00CD2562">
        <w:rPr>
          <w:i/>
          <w:lang w:val="fr-FR"/>
        </w:rPr>
        <w:t>Le</w:t>
      </w:r>
      <w:r w:rsidR="00D80CC9" w:rsidRPr="00CD2562">
        <w:rPr>
          <w:i/>
          <w:lang w:val="fr-FR"/>
        </w:rPr>
        <w:t xml:space="preserve"> CWS </w:t>
      </w:r>
      <w:r w:rsidRPr="00CD2562">
        <w:rPr>
          <w:i/>
          <w:lang w:val="fr-FR"/>
        </w:rPr>
        <w:t>est</w:t>
      </w:r>
      <w:r w:rsidR="00D80CC9" w:rsidRPr="00CD2562">
        <w:rPr>
          <w:i/>
          <w:lang w:val="fr-FR"/>
        </w:rPr>
        <w:t xml:space="preserve"> invit</w:t>
      </w:r>
      <w:r w:rsidRPr="00CD2562">
        <w:rPr>
          <w:i/>
          <w:lang w:val="fr-FR"/>
        </w:rPr>
        <w:t>é</w:t>
      </w:r>
    </w:p>
    <w:p w14:paraId="03C141E8" w14:textId="2F2FF498" w:rsidR="00D80CC9" w:rsidRPr="00CD2562" w:rsidRDefault="002413EB" w:rsidP="00144580">
      <w:pPr>
        <w:pStyle w:val="ONUMFS"/>
        <w:numPr>
          <w:ilvl w:val="1"/>
          <w:numId w:val="6"/>
        </w:numPr>
        <w:tabs>
          <w:tab w:val="left" w:pos="6663"/>
        </w:tabs>
        <w:ind w:left="5534" w:firstLine="567"/>
        <w:rPr>
          <w:i/>
          <w:lang w:val="fr-FR"/>
        </w:rPr>
      </w:pPr>
      <w:proofErr w:type="gramStart"/>
      <w:r w:rsidRPr="00CD2562">
        <w:rPr>
          <w:i/>
          <w:lang w:val="fr-FR"/>
        </w:rPr>
        <w:t>à</w:t>
      </w:r>
      <w:proofErr w:type="gramEnd"/>
      <w:r w:rsidRPr="00CD2562">
        <w:rPr>
          <w:i/>
          <w:lang w:val="fr-FR"/>
        </w:rPr>
        <w:t xml:space="preserve"> prendre </w:t>
      </w:r>
      <w:r w:rsidR="00D80CC9" w:rsidRPr="00CD2562">
        <w:rPr>
          <w:i/>
          <w:lang w:val="fr-FR"/>
        </w:rPr>
        <w:t xml:space="preserve">note </w:t>
      </w:r>
      <w:r w:rsidRPr="00CD2562">
        <w:rPr>
          <w:i/>
          <w:lang w:val="fr-FR"/>
        </w:rPr>
        <w:t>du</w:t>
      </w:r>
      <w:r w:rsidR="00D80CC9" w:rsidRPr="00CD2562">
        <w:rPr>
          <w:i/>
          <w:lang w:val="fr-FR"/>
        </w:rPr>
        <w:t xml:space="preserve"> conten</w:t>
      </w:r>
      <w:r w:rsidRPr="00CD2562">
        <w:rPr>
          <w:i/>
          <w:lang w:val="fr-FR"/>
        </w:rPr>
        <w:t xml:space="preserve">u du présent </w:t>
      </w:r>
      <w:r w:rsidR="009B23C7" w:rsidRPr="00CD2562">
        <w:rPr>
          <w:i/>
          <w:lang w:val="fr-FR"/>
        </w:rPr>
        <w:t>document,</w:t>
      </w:r>
    </w:p>
    <w:p w14:paraId="280A186E" w14:textId="43449949" w:rsidR="00D80CC9" w:rsidRPr="00CD2562" w:rsidRDefault="002413EB" w:rsidP="00144580">
      <w:pPr>
        <w:pStyle w:val="ONUMFS"/>
        <w:numPr>
          <w:ilvl w:val="1"/>
          <w:numId w:val="6"/>
        </w:numPr>
        <w:tabs>
          <w:tab w:val="left" w:pos="6663"/>
        </w:tabs>
        <w:ind w:left="5534" w:firstLine="567"/>
        <w:rPr>
          <w:i/>
          <w:lang w:val="fr-FR"/>
        </w:rPr>
      </w:pPr>
      <w:proofErr w:type="gramStart"/>
      <w:r w:rsidRPr="00CD2562">
        <w:rPr>
          <w:i/>
          <w:lang w:val="fr-FR"/>
        </w:rPr>
        <w:t>à</w:t>
      </w:r>
      <w:proofErr w:type="gramEnd"/>
      <w:r w:rsidRPr="00CD2562">
        <w:rPr>
          <w:i/>
          <w:lang w:val="fr-FR"/>
        </w:rPr>
        <w:t xml:space="preserve"> étudier s</w:t>
      </w:r>
      <w:r w:rsidR="00837637" w:rsidRPr="00CD2562">
        <w:rPr>
          <w:i/>
          <w:lang w:val="fr-FR"/>
        </w:rPr>
        <w:t>’</w:t>
      </w:r>
      <w:r w:rsidRPr="00CD2562">
        <w:rPr>
          <w:i/>
          <w:lang w:val="fr-FR"/>
        </w:rPr>
        <w:t>il convient d</w:t>
      </w:r>
      <w:r w:rsidR="00837637" w:rsidRPr="00CD2562">
        <w:rPr>
          <w:i/>
          <w:lang w:val="fr-FR"/>
        </w:rPr>
        <w:t>’</w:t>
      </w:r>
      <w:r w:rsidRPr="00CD2562">
        <w:rPr>
          <w:i/>
          <w:lang w:val="fr-FR"/>
        </w:rPr>
        <w:t xml:space="preserve">adopter la proposition n° 1 ou la proposition n° 2 </w:t>
      </w:r>
      <w:r w:rsidR="00D656F2" w:rsidRPr="00CD2562">
        <w:rPr>
          <w:i/>
          <w:lang w:val="fr-FR"/>
        </w:rPr>
        <w:t xml:space="preserve">figurant </w:t>
      </w:r>
      <w:r w:rsidRPr="00CD2562">
        <w:rPr>
          <w:i/>
          <w:lang w:val="fr-FR"/>
        </w:rPr>
        <w:t>au paragraphe 24</w:t>
      </w:r>
      <w:r w:rsidR="009B23C7" w:rsidRPr="00CD2562">
        <w:rPr>
          <w:i/>
          <w:lang w:val="fr-FR"/>
        </w:rPr>
        <w:t>, et à se prononcer à cet égard,</w:t>
      </w:r>
      <w:r w:rsidRPr="00CD2562">
        <w:rPr>
          <w:i/>
          <w:lang w:val="fr-FR"/>
        </w:rPr>
        <w:t xml:space="preserve"> et</w:t>
      </w:r>
    </w:p>
    <w:p w14:paraId="265801D0" w14:textId="6D0C85BA" w:rsidR="00D80CC9" w:rsidRPr="00CD2562" w:rsidRDefault="002413EB" w:rsidP="00144580">
      <w:pPr>
        <w:pStyle w:val="ONUMFS"/>
        <w:numPr>
          <w:ilvl w:val="1"/>
          <w:numId w:val="6"/>
        </w:numPr>
        <w:tabs>
          <w:tab w:val="left" w:pos="6663"/>
        </w:tabs>
        <w:ind w:left="5534" w:firstLine="567"/>
        <w:rPr>
          <w:i/>
          <w:lang w:val="fr-FR"/>
        </w:rPr>
      </w:pPr>
      <w:proofErr w:type="gramStart"/>
      <w:r w:rsidRPr="00CD2562">
        <w:rPr>
          <w:i/>
          <w:lang w:val="fr-FR"/>
        </w:rPr>
        <w:t>s</w:t>
      </w:r>
      <w:r w:rsidR="00837637" w:rsidRPr="00CD2562">
        <w:rPr>
          <w:i/>
          <w:lang w:val="fr-FR"/>
        </w:rPr>
        <w:t>’</w:t>
      </w:r>
      <w:r w:rsidRPr="00CD2562">
        <w:rPr>
          <w:i/>
          <w:lang w:val="fr-FR"/>
        </w:rPr>
        <w:t>il</w:t>
      </w:r>
      <w:proofErr w:type="gramEnd"/>
      <w:r w:rsidRPr="00CD2562">
        <w:rPr>
          <w:i/>
          <w:lang w:val="fr-FR"/>
        </w:rPr>
        <w:t xml:space="preserve"> est décidé de mettre fin aux rapports techniques annuels</w:t>
      </w:r>
      <w:r w:rsidR="008528AC" w:rsidRPr="00CD2562">
        <w:rPr>
          <w:i/>
          <w:lang w:val="fr-FR"/>
        </w:rPr>
        <w:t xml:space="preserve">, </w:t>
      </w:r>
      <w:r w:rsidRPr="00CD2562">
        <w:rPr>
          <w:i/>
          <w:lang w:val="fr-FR"/>
        </w:rPr>
        <w:t>à indiquer s</w:t>
      </w:r>
      <w:r w:rsidR="00837637" w:rsidRPr="00CD2562">
        <w:rPr>
          <w:i/>
          <w:lang w:val="fr-FR"/>
        </w:rPr>
        <w:t>’</w:t>
      </w:r>
      <w:r w:rsidRPr="00CD2562">
        <w:rPr>
          <w:i/>
          <w:lang w:val="fr-FR"/>
        </w:rPr>
        <w:t>il convient de considérer la tâche n° 24 comme achevée et de la retirer du programme de travail</w:t>
      </w:r>
      <w:r w:rsidR="00837637" w:rsidRPr="00CD2562">
        <w:rPr>
          <w:i/>
          <w:lang w:val="fr-FR"/>
        </w:rPr>
        <w:t xml:space="preserve"> du CWS</w:t>
      </w:r>
      <w:r w:rsidR="00D80CC9" w:rsidRPr="00CD2562">
        <w:rPr>
          <w:i/>
          <w:lang w:val="fr-FR"/>
        </w:rPr>
        <w:t>.</w:t>
      </w:r>
    </w:p>
    <w:p w14:paraId="4CF28829" w14:textId="7316F459" w:rsidR="00D80CC9" w:rsidRPr="00CD2562" w:rsidRDefault="00D80CC9" w:rsidP="009B23C7">
      <w:pPr>
        <w:pStyle w:val="Endofdocument-Annex"/>
      </w:pPr>
      <w:r w:rsidRPr="00CD2562">
        <w:t>[</w:t>
      </w:r>
      <w:r w:rsidR="002413EB" w:rsidRPr="00CD2562">
        <w:t>Fin du d</w:t>
      </w:r>
      <w:r w:rsidR="00F0219F" w:rsidRPr="00CD2562">
        <w:t>ocument</w:t>
      </w:r>
      <w:r w:rsidRPr="00CD2562">
        <w:t>]</w:t>
      </w:r>
    </w:p>
    <w:sectPr w:rsidR="00D80CC9" w:rsidRPr="00CD2562" w:rsidSect="009B23C7">
      <w:headerReference w:type="defaul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8A8DD" w14:textId="77777777" w:rsidR="00797E19" w:rsidRDefault="00797E19">
      <w:r>
        <w:separator/>
      </w:r>
    </w:p>
  </w:endnote>
  <w:endnote w:type="continuationSeparator" w:id="0">
    <w:p w14:paraId="3493BD42" w14:textId="77777777" w:rsidR="00797E19" w:rsidRDefault="00797E19" w:rsidP="003B38C1">
      <w:r>
        <w:separator/>
      </w:r>
    </w:p>
    <w:p w14:paraId="22D05B21" w14:textId="77777777" w:rsidR="00797E19" w:rsidRPr="003B38C1" w:rsidRDefault="00797E19" w:rsidP="003B38C1">
      <w:pPr>
        <w:spacing w:after="60"/>
        <w:rPr>
          <w:sz w:val="17"/>
        </w:rPr>
      </w:pPr>
      <w:r>
        <w:rPr>
          <w:sz w:val="17"/>
        </w:rPr>
        <w:t>[Endnote continued from previous page]</w:t>
      </w:r>
    </w:p>
  </w:endnote>
  <w:endnote w:type="continuationNotice" w:id="1">
    <w:p w14:paraId="1F640D08" w14:textId="77777777" w:rsidR="00797E19" w:rsidRPr="003B38C1" w:rsidRDefault="00797E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111CE" w14:textId="7C94B968" w:rsidR="0098135E" w:rsidRDefault="0098135E" w:rsidP="0098135E">
    <w:pPr>
      <w:pStyle w:val="Footer"/>
      <w:tabs>
        <w:tab w:val="clear" w:pos="4320"/>
        <w:tab w:val="clear" w:pos="8640"/>
        <w:tab w:val="left" w:pos="519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D43D6" w14:textId="77777777" w:rsidR="00797E19" w:rsidRDefault="00797E19">
      <w:r>
        <w:separator/>
      </w:r>
    </w:p>
  </w:footnote>
  <w:footnote w:type="continuationSeparator" w:id="0">
    <w:p w14:paraId="65E7F773" w14:textId="77777777" w:rsidR="00797E19" w:rsidRDefault="00797E19" w:rsidP="008B60B2">
      <w:r>
        <w:separator/>
      </w:r>
    </w:p>
    <w:p w14:paraId="0F0CE2C1" w14:textId="77777777" w:rsidR="00797E19" w:rsidRPr="00ED77FB" w:rsidRDefault="00797E19" w:rsidP="008B60B2">
      <w:pPr>
        <w:spacing w:after="60"/>
        <w:rPr>
          <w:sz w:val="17"/>
          <w:szCs w:val="17"/>
        </w:rPr>
      </w:pPr>
      <w:r w:rsidRPr="00ED77FB">
        <w:rPr>
          <w:sz w:val="17"/>
          <w:szCs w:val="17"/>
        </w:rPr>
        <w:t>[Footnote continued from previous page]</w:t>
      </w:r>
    </w:p>
  </w:footnote>
  <w:footnote w:type="continuationNotice" w:id="1">
    <w:p w14:paraId="175B1879" w14:textId="77777777" w:rsidR="00797E19" w:rsidRPr="00ED77FB" w:rsidRDefault="00797E1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41650" w14:textId="77777777" w:rsidR="00D07C78" w:rsidRPr="002326AB" w:rsidRDefault="00D80CC9" w:rsidP="00477D6B">
    <w:pPr>
      <w:jc w:val="right"/>
      <w:rPr>
        <w:caps/>
      </w:rPr>
    </w:pPr>
    <w:bookmarkStart w:id="6" w:name="Code2"/>
    <w:bookmarkEnd w:id="6"/>
    <w:r>
      <w:rPr>
        <w:caps/>
      </w:rPr>
      <w:t>C</w:t>
    </w:r>
    <w:r w:rsidR="0098135E">
      <w:rPr>
        <w:caps/>
      </w:rPr>
      <w:t>WS/9/18</w:t>
    </w:r>
  </w:p>
  <w:p w14:paraId="36C8CE35" w14:textId="09E9101A" w:rsidR="00D07C78" w:rsidRDefault="009B23C7" w:rsidP="009B23C7">
    <w:pPr>
      <w:spacing w:after="480"/>
      <w:jc w:val="right"/>
    </w:pPr>
    <w:proofErr w:type="gramStart"/>
    <w:r>
      <w:t>p</w:t>
    </w:r>
    <w:r w:rsidR="00D07C78">
      <w:t>age</w:t>
    </w:r>
    <w:proofErr w:type="gramEnd"/>
    <w:r>
      <w:t> </w:t>
    </w:r>
    <w:r w:rsidR="00D07C78">
      <w:fldChar w:fldCharType="begin"/>
    </w:r>
    <w:r w:rsidR="00D07C78">
      <w:instrText xml:space="preserve"> PAGE  \* MERGEFORMAT </w:instrText>
    </w:r>
    <w:r w:rsidR="00D07C78">
      <w:fldChar w:fldCharType="separate"/>
    </w:r>
    <w:r w:rsidR="008469BF">
      <w:rPr>
        <w:noProof/>
      </w:rPr>
      <w:t>7</w:t>
    </w:r>
    <w:r w:rsidR="00D07C7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D868A7"/>
    <w:multiLevelType w:val="hybridMultilevel"/>
    <w:tmpl w:val="D0C6D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E45D5"/>
    <w:multiLevelType w:val="hybridMultilevel"/>
    <w:tmpl w:val="8ECE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num>
  <w:num w:numId="9">
    <w:abstractNumId w:val="3"/>
  </w:num>
  <w:num w:numId="10">
    <w:abstractNumId w:val="3"/>
  </w:num>
  <w:num w:numId="11">
    <w:abstractNumId w:val="7"/>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C9"/>
    <w:rsid w:val="00043CAA"/>
    <w:rsid w:val="00055DDC"/>
    <w:rsid w:val="00056816"/>
    <w:rsid w:val="00061A58"/>
    <w:rsid w:val="00070ED9"/>
    <w:rsid w:val="00072A69"/>
    <w:rsid w:val="000740C3"/>
    <w:rsid w:val="00075432"/>
    <w:rsid w:val="000968ED"/>
    <w:rsid w:val="000A2A50"/>
    <w:rsid w:val="000A3D97"/>
    <w:rsid w:val="000C0CB5"/>
    <w:rsid w:val="000D2575"/>
    <w:rsid w:val="000E4BA5"/>
    <w:rsid w:val="000F5E56"/>
    <w:rsid w:val="00100BA5"/>
    <w:rsid w:val="001362EE"/>
    <w:rsid w:val="00144580"/>
    <w:rsid w:val="00146234"/>
    <w:rsid w:val="00152C04"/>
    <w:rsid w:val="00160993"/>
    <w:rsid w:val="001647D5"/>
    <w:rsid w:val="001832A6"/>
    <w:rsid w:val="001905CF"/>
    <w:rsid w:val="001A21C1"/>
    <w:rsid w:val="001B258C"/>
    <w:rsid w:val="001D4107"/>
    <w:rsid w:val="001E0F72"/>
    <w:rsid w:val="00203D24"/>
    <w:rsid w:val="0021217E"/>
    <w:rsid w:val="00215941"/>
    <w:rsid w:val="002326AB"/>
    <w:rsid w:val="0024053F"/>
    <w:rsid w:val="002413EB"/>
    <w:rsid w:val="00243430"/>
    <w:rsid w:val="00252CC4"/>
    <w:rsid w:val="0025392F"/>
    <w:rsid w:val="002634C4"/>
    <w:rsid w:val="002928D3"/>
    <w:rsid w:val="0029516F"/>
    <w:rsid w:val="002D1F11"/>
    <w:rsid w:val="002D4D8C"/>
    <w:rsid w:val="002E160B"/>
    <w:rsid w:val="002E7586"/>
    <w:rsid w:val="002F1FE6"/>
    <w:rsid w:val="002F4E68"/>
    <w:rsid w:val="00312F7F"/>
    <w:rsid w:val="003558DD"/>
    <w:rsid w:val="00361450"/>
    <w:rsid w:val="00362A9B"/>
    <w:rsid w:val="00363262"/>
    <w:rsid w:val="003673CF"/>
    <w:rsid w:val="00367A26"/>
    <w:rsid w:val="003845C1"/>
    <w:rsid w:val="0038760F"/>
    <w:rsid w:val="003A6F89"/>
    <w:rsid w:val="003B38C1"/>
    <w:rsid w:val="003C04F9"/>
    <w:rsid w:val="003C34E9"/>
    <w:rsid w:val="003F6685"/>
    <w:rsid w:val="003F787D"/>
    <w:rsid w:val="00423E3E"/>
    <w:rsid w:val="00427AF4"/>
    <w:rsid w:val="00433C70"/>
    <w:rsid w:val="004647DA"/>
    <w:rsid w:val="00474062"/>
    <w:rsid w:val="00477D6B"/>
    <w:rsid w:val="00491FE1"/>
    <w:rsid w:val="00497479"/>
    <w:rsid w:val="004B7B84"/>
    <w:rsid w:val="004D4E9B"/>
    <w:rsid w:val="004E109D"/>
    <w:rsid w:val="004F3380"/>
    <w:rsid w:val="005019FF"/>
    <w:rsid w:val="00503C30"/>
    <w:rsid w:val="0051292C"/>
    <w:rsid w:val="00517E50"/>
    <w:rsid w:val="00524C6D"/>
    <w:rsid w:val="0053057A"/>
    <w:rsid w:val="00531486"/>
    <w:rsid w:val="00556076"/>
    <w:rsid w:val="00560A29"/>
    <w:rsid w:val="005763F3"/>
    <w:rsid w:val="005A1ABE"/>
    <w:rsid w:val="005C6649"/>
    <w:rsid w:val="005C7F35"/>
    <w:rsid w:val="005D2782"/>
    <w:rsid w:val="00605827"/>
    <w:rsid w:val="0064125D"/>
    <w:rsid w:val="00646050"/>
    <w:rsid w:val="006713CA"/>
    <w:rsid w:val="00674957"/>
    <w:rsid w:val="006766FA"/>
    <w:rsid w:val="00676C5C"/>
    <w:rsid w:val="006B3232"/>
    <w:rsid w:val="006C38E7"/>
    <w:rsid w:val="006D6678"/>
    <w:rsid w:val="00720EFD"/>
    <w:rsid w:val="00731DD4"/>
    <w:rsid w:val="007369AB"/>
    <w:rsid w:val="00743620"/>
    <w:rsid w:val="00747AE9"/>
    <w:rsid w:val="007751D8"/>
    <w:rsid w:val="007854AF"/>
    <w:rsid w:val="007876DA"/>
    <w:rsid w:val="00793A7C"/>
    <w:rsid w:val="00797E19"/>
    <w:rsid w:val="007A398A"/>
    <w:rsid w:val="007A5800"/>
    <w:rsid w:val="007A702A"/>
    <w:rsid w:val="007D15AB"/>
    <w:rsid w:val="007D1613"/>
    <w:rsid w:val="007D30DB"/>
    <w:rsid w:val="007E4C0E"/>
    <w:rsid w:val="007F2ED7"/>
    <w:rsid w:val="00811B81"/>
    <w:rsid w:val="008265C4"/>
    <w:rsid w:val="008319D4"/>
    <w:rsid w:val="00837637"/>
    <w:rsid w:val="00837675"/>
    <w:rsid w:val="008469BF"/>
    <w:rsid w:val="00846CF6"/>
    <w:rsid w:val="008528AC"/>
    <w:rsid w:val="0085337D"/>
    <w:rsid w:val="008645A6"/>
    <w:rsid w:val="0089286A"/>
    <w:rsid w:val="008A134B"/>
    <w:rsid w:val="008B2CC1"/>
    <w:rsid w:val="008B4438"/>
    <w:rsid w:val="008B60B2"/>
    <w:rsid w:val="008C4A83"/>
    <w:rsid w:val="008D2E97"/>
    <w:rsid w:val="008F2865"/>
    <w:rsid w:val="0090731E"/>
    <w:rsid w:val="00916EE2"/>
    <w:rsid w:val="00950B32"/>
    <w:rsid w:val="00961C82"/>
    <w:rsid w:val="00964E8D"/>
    <w:rsid w:val="00966A22"/>
    <w:rsid w:val="0096722F"/>
    <w:rsid w:val="00970DF7"/>
    <w:rsid w:val="00980843"/>
    <w:rsid w:val="0098135E"/>
    <w:rsid w:val="00991CAF"/>
    <w:rsid w:val="009A2410"/>
    <w:rsid w:val="009A630E"/>
    <w:rsid w:val="009B23C7"/>
    <w:rsid w:val="009E2791"/>
    <w:rsid w:val="009E3F6F"/>
    <w:rsid w:val="009F499F"/>
    <w:rsid w:val="00A06014"/>
    <w:rsid w:val="00A302E0"/>
    <w:rsid w:val="00A36324"/>
    <w:rsid w:val="00A37342"/>
    <w:rsid w:val="00A42DAF"/>
    <w:rsid w:val="00A45BD8"/>
    <w:rsid w:val="00A50682"/>
    <w:rsid w:val="00A624FE"/>
    <w:rsid w:val="00A70070"/>
    <w:rsid w:val="00A80953"/>
    <w:rsid w:val="00A869B7"/>
    <w:rsid w:val="00A90F0A"/>
    <w:rsid w:val="00A90F26"/>
    <w:rsid w:val="00AA0911"/>
    <w:rsid w:val="00AB31D7"/>
    <w:rsid w:val="00AC205C"/>
    <w:rsid w:val="00AC54AA"/>
    <w:rsid w:val="00AD2D64"/>
    <w:rsid w:val="00AF0A6B"/>
    <w:rsid w:val="00AF0B39"/>
    <w:rsid w:val="00AF53AF"/>
    <w:rsid w:val="00B05A69"/>
    <w:rsid w:val="00B335AE"/>
    <w:rsid w:val="00B355B6"/>
    <w:rsid w:val="00B46EFF"/>
    <w:rsid w:val="00B75281"/>
    <w:rsid w:val="00B92426"/>
    <w:rsid w:val="00B92F1F"/>
    <w:rsid w:val="00B9734B"/>
    <w:rsid w:val="00BA30E2"/>
    <w:rsid w:val="00BA3468"/>
    <w:rsid w:val="00BB1012"/>
    <w:rsid w:val="00BD044D"/>
    <w:rsid w:val="00BE14B4"/>
    <w:rsid w:val="00C11BFE"/>
    <w:rsid w:val="00C25E6F"/>
    <w:rsid w:val="00C5068F"/>
    <w:rsid w:val="00C51F91"/>
    <w:rsid w:val="00C74516"/>
    <w:rsid w:val="00C86D74"/>
    <w:rsid w:val="00CD04F1"/>
    <w:rsid w:val="00CD2562"/>
    <w:rsid w:val="00CE14E1"/>
    <w:rsid w:val="00CE3137"/>
    <w:rsid w:val="00CE65AB"/>
    <w:rsid w:val="00CF681A"/>
    <w:rsid w:val="00D07C78"/>
    <w:rsid w:val="00D355DF"/>
    <w:rsid w:val="00D45252"/>
    <w:rsid w:val="00D62FEF"/>
    <w:rsid w:val="00D656F2"/>
    <w:rsid w:val="00D71B4D"/>
    <w:rsid w:val="00D80CC9"/>
    <w:rsid w:val="00D93D55"/>
    <w:rsid w:val="00D94CF6"/>
    <w:rsid w:val="00DA31C6"/>
    <w:rsid w:val="00DB6482"/>
    <w:rsid w:val="00DC627A"/>
    <w:rsid w:val="00DD7B7F"/>
    <w:rsid w:val="00DE5590"/>
    <w:rsid w:val="00DF7991"/>
    <w:rsid w:val="00E03DB8"/>
    <w:rsid w:val="00E10933"/>
    <w:rsid w:val="00E14ACB"/>
    <w:rsid w:val="00E15015"/>
    <w:rsid w:val="00E23D6E"/>
    <w:rsid w:val="00E335FE"/>
    <w:rsid w:val="00E45755"/>
    <w:rsid w:val="00E55A68"/>
    <w:rsid w:val="00E65374"/>
    <w:rsid w:val="00E72584"/>
    <w:rsid w:val="00EA7CB5"/>
    <w:rsid w:val="00EA7D6E"/>
    <w:rsid w:val="00EB2F76"/>
    <w:rsid w:val="00EC221D"/>
    <w:rsid w:val="00EC4E49"/>
    <w:rsid w:val="00ED2774"/>
    <w:rsid w:val="00ED77FB"/>
    <w:rsid w:val="00ED7B8F"/>
    <w:rsid w:val="00EE45FA"/>
    <w:rsid w:val="00F00476"/>
    <w:rsid w:val="00F0219F"/>
    <w:rsid w:val="00F043DE"/>
    <w:rsid w:val="00F064E2"/>
    <w:rsid w:val="00F231AB"/>
    <w:rsid w:val="00F55361"/>
    <w:rsid w:val="00F578FA"/>
    <w:rsid w:val="00F66152"/>
    <w:rsid w:val="00F7070F"/>
    <w:rsid w:val="00F71337"/>
    <w:rsid w:val="00F75C28"/>
    <w:rsid w:val="00F8715A"/>
    <w:rsid w:val="00F9049A"/>
    <w:rsid w:val="00F9165B"/>
    <w:rsid w:val="00F93E92"/>
    <w:rsid w:val="00F97675"/>
    <w:rsid w:val="00FA0C4D"/>
    <w:rsid w:val="00FC482F"/>
    <w:rsid w:val="00FE0673"/>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E8D1A9B"/>
  <w15:docId w15:val="{0232E282-DD7E-48B6-A12B-E3FC6392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9B23C7"/>
    <w:pPr>
      <w:spacing w:before="720"/>
      <w:ind w:left="5534"/>
    </w:pPr>
    <w:rPr>
      <w:lang w:val="fr-FR"/>
    </w:r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D80CC9"/>
    <w:rPr>
      <w:rFonts w:ascii="Arial" w:eastAsia="SimSun" w:hAnsi="Arial" w:cs="Arial"/>
      <w:bCs/>
      <w:iCs/>
      <w:caps/>
      <w:sz w:val="22"/>
      <w:szCs w:val="28"/>
      <w:lang w:val="en-US" w:eastAsia="zh-CN"/>
    </w:rPr>
  </w:style>
  <w:style w:type="paragraph" w:customStyle="1" w:styleId="Endofdocument">
    <w:name w:val="End of document"/>
    <w:basedOn w:val="Normal"/>
    <w:rsid w:val="00D80CC9"/>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D80CC9"/>
    <w:rPr>
      <w:rFonts w:ascii="Arial" w:eastAsia="SimSun" w:hAnsi="Arial" w:cs="Arial"/>
      <w:sz w:val="22"/>
      <w:lang w:val="en-US" w:eastAsia="zh-CN"/>
    </w:rPr>
  </w:style>
  <w:style w:type="character" w:styleId="Hyperlink">
    <w:name w:val="Hyperlink"/>
    <w:basedOn w:val="DefaultParagraphFont"/>
    <w:unhideWhenUsed/>
    <w:rsid w:val="000740C3"/>
    <w:rPr>
      <w:color w:val="0000FF" w:themeColor="hyperlink"/>
      <w:u w:val="single"/>
    </w:rPr>
  </w:style>
  <w:style w:type="character" w:styleId="CommentReference">
    <w:name w:val="annotation reference"/>
    <w:basedOn w:val="DefaultParagraphFont"/>
    <w:semiHidden/>
    <w:unhideWhenUsed/>
    <w:rsid w:val="00B335AE"/>
    <w:rPr>
      <w:sz w:val="16"/>
      <w:szCs w:val="16"/>
    </w:rPr>
  </w:style>
  <w:style w:type="paragraph" w:styleId="CommentSubject">
    <w:name w:val="annotation subject"/>
    <w:basedOn w:val="CommentText"/>
    <w:next w:val="CommentText"/>
    <w:link w:val="CommentSubjectChar"/>
    <w:semiHidden/>
    <w:unhideWhenUsed/>
    <w:rsid w:val="00B335AE"/>
    <w:rPr>
      <w:b/>
      <w:bCs/>
      <w:sz w:val="20"/>
    </w:rPr>
  </w:style>
  <w:style w:type="character" w:customStyle="1" w:styleId="CommentTextChar">
    <w:name w:val="Comment Text Char"/>
    <w:basedOn w:val="DefaultParagraphFont"/>
    <w:link w:val="CommentText"/>
    <w:semiHidden/>
    <w:rsid w:val="00B335A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335AE"/>
    <w:rPr>
      <w:rFonts w:ascii="Arial" w:eastAsia="SimSun" w:hAnsi="Arial" w:cs="Arial"/>
      <w:b/>
      <w:bCs/>
      <w:sz w:val="18"/>
      <w:lang w:val="en-US" w:eastAsia="zh-CN"/>
    </w:rPr>
  </w:style>
  <w:style w:type="paragraph" w:styleId="BalloonText">
    <w:name w:val="Balloon Text"/>
    <w:basedOn w:val="Normal"/>
    <w:link w:val="BalloonTextChar"/>
    <w:semiHidden/>
    <w:unhideWhenUsed/>
    <w:rsid w:val="00B335AE"/>
    <w:rPr>
      <w:rFonts w:ascii="Segoe UI" w:hAnsi="Segoe UI" w:cs="Segoe UI"/>
      <w:sz w:val="18"/>
      <w:szCs w:val="18"/>
    </w:rPr>
  </w:style>
  <w:style w:type="character" w:customStyle="1" w:styleId="BalloonTextChar">
    <w:name w:val="Balloon Text Char"/>
    <w:basedOn w:val="DefaultParagraphFont"/>
    <w:link w:val="BalloonText"/>
    <w:semiHidden/>
    <w:rsid w:val="00B335AE"/>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2D4D8C"/>
    <w:rPr>
      <w:color w:val="800080" w:themeColor="followedHyperlink"/>
      <w:u w:val="single"/>
    </w:rPr>
  </w:style>
  <w:style w:type="paragraph" w:styleId="Title">
    <w:name w:val="Title"/>
    <w:basedOn w:val="Heading1"/>
    <w:next w:val="Normal"/>
    <w:link w:val="TitleChar"/>
    <w:qFormat/>
    <w:rsid w:val="007F2ED7"/>
    <w:pPr>
      <w:spacing w:before="0" w:after="480"/>
    </w:pPr>
    <w:rPr>
      <w:caps w:val="0"/>
      <w:sz w:val="28"/>
      <w:lang w:val="fr-FR"/>
    </w:rPr>
  </w:style>
  <w:style w:type="character" w:customStyle="1" w:styleId="TitleChar">
    <w:name w:val="Title Char"/>
    <w:basedOn w:val="DefaultParagraphFont"/>
    <w:link w:val="Title"/>
    <w:rsid w:val="007F2ED7"/>
    <w:rPr>
      <w:rFonts w:ascii="Arial" w:eastAsia="SimSun" w:hAnsi="Arial" w:cs="Arial"/>
      <w:b/>
      <w:bCs/>
      <w:kern w:val="32"/>
      <w:sz w:val="28"/>
      <w:szCs w:val="32"/>
      <w:lang w:val="fr-FR" w:eastAsia="zh-CN"/>
    </w:rPr>
  </w:style>
  <w:style w:type="paragraph" w:styleId="NormalWeb">
    <w:name w:val="Normal (Web)"/>
    <w:basedOn w:val="Normal"/>
    <w:uiPriority w:val="99"/>
    <w:semiHidden/>
    <w:unhideWhenUsed/>
    <w:rsid w:val="004F3380"/>
    <w:pPr>
      <w:spacing w:before="100" w:beforeAutospacing="1" w:after="100" w:afterAutospacing="1"/>
    </w:pPr>
    <w:rPr>
      <w:rFonts w:ascii="Times New Roman" w:eastAsiaTheme="minorEastAsia"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28757">
      <w:bodyDiv w:val="1"/>
      <w:marLeft w:val="0"/>
      <w:marRight w:val="0"/>
      <w:marTop w:val="0"/>
      <w:marBottom w:val="0"/>
      <w:divBdr>
        <w:top w:val="none" w:sz="0" w:space="0" w:color="auto"/>
        <w:left w:val="none" w:sz="0" w:space="0" w:color="auto"/>
        <w:bottom w:val="none" w:sz="0" w:space="0" w:color="auto"/>
        <w:right w:val="none" w:sz="0" w:space="0" w:color="auto"/>
      </w:divBdr>
    </w:div>
    <w:div w:id="1267539194">
      <w:bodyDiv w:val="1"/>
      <w:marLeft w:val="0"/>
      <w:marRight w:val="0"/>
      <w:marTop w:val="0"/>
      <w:marBottom w:val="0"/>
      <w:divBdr>
        <w:top w:val="none" w:sz="0" w:space="0" w:color="auto"/>
        <w:left w:val="none" w:sz="0" w:space="0" w:color="auto"/>
        <w:bottom w:val="none" w:sz="0" w:space="0" w:color="auto"/>
        <w:right w:val="none" w:sz="0" w:space="0" w:color="auto"/>
      </w:divBdr>
    </w:div>
    <w:div w:id="173607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standards/fr/pdf/archives/03-09-02arc200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wipo.int/export/sites/www/cws/es/background/circulars/circular/25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wipogvafs01\usr2\Home\Elliott\Web%20stats\STS%20web%20stats%20202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file:///\\wipogvafs01\usr2\Home\Elliott\Web%20stats\ATR%20web%20sta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baseline="0"/>
              <a:t>Nombre de rapports techniques annuels par an</a:t>
            </a:r>
            <a:endParaRPr lang="en-US" b="1"/>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'ATR counts'!$B$3</c:f>
              <c:strCache>
                <c:ptCount val="1"/>
                <c:pt idx="0">
                  <c:v>IPOs Responding</c:v>
                </c:pt>
              </c:strCache>
            </c:strRef>
          </c:tx>
          <c:spPr>
            <a:ln w="25400" cap="rnd">
              <a:solidFill>
                <a:schemeClr val="accent1"/>
              </a:solidFill>
              <a:prstDash val="sysDot"/>
              <a:round/>
            </a:ln>
            <a:effectLst/>
          </c:spPr>
          <c:marker>
            <c:symbol val="diamond"/>
            <c:size val="5"/>
            <c:spPr>
              <a:solidFill>
                <a:schemeClr val="accent1"/>
              </a:solidFill>
              <a:ln w="9525">
                <a:solidFill>
                  <a:schemeClr val="accent1"/>
                </a:solidFill>
              </a:ln>
              <a:effectLst/>
            </c:spPr>
          </c:marker>
          <c:xVal>
            <c:numRef>
              <c:f>'ATR counts'!$A$4:$A$26</c:f>
              <c:numCache>
                <c:formatCode>General</c:formatCode>
                <c:ptCount val="2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pt idx="21">
                  <c:v>2019</c:v>
                </c:pt>
                <c:pt idx="22">
                  <c:v>2020</c:v>
                </c:pt>
              </c:numCache>
            </c:numRef>
          </c:xVal>
          <c:yVal>
            <c:numRef>
              <c:f>'ATR counts'!$B$4:$B$26</c:f>
              <c:numCache>
                <c:formatCode>General</c:formatCode>
                <c:ptCount val="23"/>
                <c:pt idx="0">
                  <c:v>56</c:v>
                </c:pt>
                <c:pt idx="1">
                  <c:v>53</c:v>
                </c:pt>
                <c:pt idx="2">
                  <c:v>53</c:v>
                </c:pt>
                <c:pt idx="3">
                  <c:v>51</c:v>
                </c:pt>
                <c:pt idx="4">
                  <c:v>41</c:v>
                </c:pt>
                <c:pt idx="5">
                  <c:v>44</c:v>
                </c:pt>
                <c:pt idx="6">
                  <c:v>46</c:v>
                </c:pt>
                <c:pt idx="7">
                  <c:v>40</c:v>
                </c:pt>
                <c:pt idx="8">
                  <c:v>38</c:v>
                </c:pt>
                <c:pt idx="9">
                  <c:v>40</c:v>
                </c:pt>
                <c:pt idx="10">
                  <c:v>31</c:v>
                </c:pt>
                <c:pt idx="11">
                  <c:v>36</c:v>
                </c:pt>
                <c:pt idx="12">
                  <c:v>28</c:v>
                </c:pt>
                <c:pt idx="13">
                  <c:v>31</c:v>
                </c:pt>
                <c:pt idx="14">
                  <c:v>30</c:v>
                </c:pt>
                <c:pt idx="15">
                  <c:v>28</c:v>
                </c:pt>
                <c:pt idx="16">
                  <c:v>23</c:v>
                </c:pt>
                <c:pt idx="17">
                  <c:v>23</c:v>
                </c:pt>
                <c:pt idx="18">
                  <c:v>20</c:v>
                </c:pt>
                <c:pt idx="19">
                  <c:v>12</c:v>
                </c:pt>
                <c:pt idx="20">
                  <c:v>11</c:v>
                </c:pt>
                <c:pt idx="21">
                  <c:v>18</c:v>
                </c:pt>
                <c:pt idx="22">
                  <c:v>15</c:v>
                </c:pt>
              </c:numCache>
            </c:numRef>
          </c:yVal>
          <c:smooth val="0"/>
          <c:extLst>
            <c:ext xmlns:c16="http://schemas.microsoft.com/office/drawing/2014/chart" uri="{C3380CC4-5D6E-409C-BE32-E72D297353CC}">
              <c16:uniqueId val="{00000000-6F37-4B66-BFEA-1438B0CD2B32}"/>
            </c:ext>
          </c:extLst>
        </c:ser>
        <c:dLbls>
          <c:showLegendKey val="0"/>
          <c:showVal val="0"/>
          <c:showCatName val="0"/>
          <c:showSerName val="0"/>
          <c:showPercent val="0"/>
          <c:showBubbleSize val="0"/>
        </c:dLbls>
        <c:axId val="1202122767"/>
        <c:axId val="1202116943"/>
      </c:scatterChart>
      <c:valAx>
        <c:axId val="120212276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Année de communication du rapport technique annuel</a:t>
                </a:r>
              </a:p>
            </c:rich>
          </c:tx>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02116943"/>
        <c:crosses val="autoZero"/>
        <c:crossBetween val="midCat"/>
      </c:valAx>
      <c:valAx>
        <c:axId val="1202116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Nombre d’offices de propriété intellectuelle ayant répondu</a:t>
                </a:r>
              </a:p>
            </c:rich>
          </c:tx>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20212276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dash"/>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Statistiques Web 2019</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'2019'!$I$1:$M$1</c:f>
              <c:numCache>
                <c:formatCode>General</c:formatCode>
                <c:ptCount val="5"/>
                <c:pt idx="0">
                  <c:v>2018</c:v>
                </c:pt>
                <c:pt idx="1">
                  <c:v>2017</c:v>
                </c:pt>
                <c:pt idx="2">
                  <c:v>2016</c:v>
                </c:pt>
                <c:pt idx="3">
                  <c:v>2015</c:v>
                </c:pt>
                <c:pt idx="4">
                  <c:v>2014</c:v>
                </c:pt>
              </c:numCache>
            </c:numRef>
          </c:cat>
          <c:val>
            <c:numRef>
              <c:f>'2019'!$I$2:$M$2</c:f>
              <c:numCache>
                <c:formatCode>General</c:formatCode>
                <c:ptCount val="5"/>
                <c:pt idx="0">
                  <c:v>105</c:v>
                </c:pt>
                <c:pt idx="1">
                  <c:v>176</c:v>
                </c:pt>
                <c:pt idx="2">
                  <c:v>48</c:v>
                </c:pt>
                <c:pt idx="3">
                  <c:v>25</c:v>
                </c:pt>
                <c:pt idx="4">
                  <c:v>9</c:v>
                </c:pt>
              </c:numCache>
            </c:numRef>
          </c:val>
          <c:extLst>
            <c:ext xmlns:c16="http://schemas.microsoft.com/office/drawing/2014/chart" uri="{C3380CC4-5D6E-409C-BE32-E72D297353CC}">
              <c16:uniqueId val="{00000000-F2BA-482B-972E-159F2C25F927}"/>
            </c:ext>
          </c:extLst>
        </c:ser>
        <c:dLbls>
          <c:showLegendKey val="0"/>
          <c:showVal val="0"/>
          <c:showCatName val="0"/>
          <c:showSerName val="0"/>
          <c:showPercent val="0"/>
          <c:showBubbleSize val="0"/>
        </c:dLbls>
        <c:gapWidth val="219"/>
        <c:overlap val="-27"/>
        <c:axId val="1220441056"/>
        <c:axId val="1220445632"/>
      </c:barChart>
      <c:catAx>
        <c:axId val="1220441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Année de fourniture du rapport technique annuel</a:t>
                </a:r>
              </a:p>
            </c:rich>
          </c:tx>
          <c:layout>
            <c:manualLayout>
              <c:xMode val="edge"/>
              <c:yMode val="edge"/>
              <c:x val="0.19920936805976175"/>
              <c:y val="0.8662051282051281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220445632"/>
        <c:crosses val="autoZero"/>
        <c:auto val="1"/>
        <c:lblAlgn val="ctr"/>
        <c:lblOffset val="100"/>
        <c:noMultiLvlLbl val="0"/>
      </c:catAx>
      <c:valAx>
        <c:axId val="122044563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Nombre de pages consultées</a:t>
                </a:r>
              </a:p>
            </c:rich>
          </c:tx>
          <c:layout>
            <c:manualLayout>
              <c:xMode val="edge"/>
              <c:yMode val="edge"/>
              <c:x val="1.282051282051282E-2"/>
              <c:y val="0.2032562083585705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22044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Nombre de pages consultées au cours des deux premières années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'Top line'!$L$3</c:f>
              <c:strCache>
                <c:ptCount val="1"/>
                <c:pt idx="0">
                  <c:v>first year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'Top line'!$N$2:$P$2</c:f>
              <c:strCache>
                <c:ptCount val="3"/>
                <c:pt idx="0">
                  <c:v>2018 ATRs</c:v>
                </c:pt>
                <c:pt idx="1">
                  <c:v>2017 ATRs</c:v>
                </c:pt>
                <c:pt idx="2">
                  <c:v>2016 ATRs</c:v>
                </c:pt>
              </c:strCache>
            </c:strRef>
          </c:cat>
          <c:val>
            <c:numRef>
              <c:f>'Top line'!$N$3:$P$3</c:f>
              <c:numCache>
                <c:formatCode>General</c:formatCode>
                <c:ptCount val="3"/>
                <c:pt idx="0">
                  <c:v>105</c:v>
                </c:pt>
                <c:pt idx="1">
                  <c:v>185</c:v>
                </c:pt>
                <c:pt idx="2">
                  <c:v>249</c:v>
                </c:pt>
              </c:numCache>
            </c:numRef>
          </c:val>
          <c:extLst>
            <c:ext xmlns:c16="http://schemas.microsoft.com/office/drawing/2014/chart" uri="{C3380CC4-5D6E-409C-BE32-E72D297353CC}">
              <c16:uniqueId val="{00000000-4AD9-4A70-B846-FCB9F650705D}"/>
            </c:ext>
          </c:extLst>
        </c:ser>
        <c:ser>
          <c:idx val="1"/>
          <c:order val="1"/>
          <c:tx>
            <c:strRef>
              <c:f>'Top line'!$L$4</c:f>
              <c:strCache>
                <c:ptCount val="1"/>
                <c:pt idx="0">
                  <c:v>second year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'Top line'!$N$2:$P$2</c:f>
              <c:strCache>
                <c:ptCount val="3"/>
                <c:pt idx="0">
                  <c:v>2018 ATRs</c:v>
                </c:pt>
                <c:pt idx="1">
                  <c:v>2017 ATRs</c:v>
                </c:pt>
                <c:pt idx="2">
                  <c:v>2016 ATRs</c:v>
                </c:pt>
              </c:strCache>
            </c:strRef>
          </c:cat>
          <c:val>
            <c:numRef>
              <c:f>'Top line'!$N$4:$P$4</c:f>
              <c:numCache>
                <c:formatCode>General</c:formatCode>
                <c:ptCount val="3"/>
                <c:pt idx="0">
                  <c:v>265</c:v>
                </c:pt>
                <c:pt idx="1">
                  <c:v>176</c:v>
                </c:pt>
                <c:pt idx="2">
                  <c:v>195</c:v>
                </c:pt>
              </c:numCache>
            </c:numRef>
          </c:val>
          <c:extLst>
            <c:ext xmlns:c16="http://schemas.microsoft.com/office/drawing/2014/chart" uri="{C3380CC4-5D6E-409C-BE32-E72D297353CC}">
              <c16:uniqueId val="{00000001-4AD9-4A70-B846-FCB9F650705D}"/>
            </c:ext>
          </c:extLst>
        </c:ser>
        <c:dLbls>
          <c:showLegendKey val="0"/>
          <c:showVal val="0"/>
          <c:showCatName val="0"/>
          <c:showSerName val="0"/>
          <c:showPercent val="0"/>
          <c:showBubbleSize val="0"/>
        </c:dLbls>
        <c:gapWidth val="219"/>
        <c:overlap val="-27"/>
        <c:axId val="1839688975"/>
        <c:axId val="1839690223"/>
      </c:barChart>
      <c:catAx>
        <c:axId val="1839688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39690223"/>
        <c:crosses val="autoZero"/>
        <c:auto val="1"/>
        <c:lblAlgn val="ctr"/>
        <c:lblOffset val="100"/>
        <c:noMultiLvlLbl val="0"/>
      </c:catAx>
      <c:valAx>
        <c:axId val="1839690223"/>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3968897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Nombre total de pages consultées en 2020</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'Top line'!$G$3:$G$9</c:f>
              <c:strCache>
                <c:ptCount val="7"/>
                <c:pt idx="0">
                  <c:v>ST 3</c:v>
                </c:pt>
                <c:pt idx="1">
                  <c:v>Standards landing page</c:v>
                </c:pt>
                <c:pt idx="2">
                  <c:v>ST 96</c:v>
                </c:pt>
                <c:pt idx="3">
                  <c:v>ST 26</c:v>
                </c:pt>
                <c:pt idx="4">
                  <c:v>FR ST 9 app 3 archived 2008</c:v>
                </c:pt>
                <c:pt idx="5">
                  <c:v>ES circular 2001</c:v>
                </c:pt>
                <c:pt idx="6">
                  <c:v>All Yearly ATRs</c:v>
                </c:pt>
              </c:strCache>
            </c:strRef>
          </c:cat>
          <c:val>
            <c:numRef>
              <c:f>'Top line'!$I$3:$I$9</c:f>
              <c:numCache>
                <c:formatCode>#,##0</c:formatCode>
                <c:ptCount val="7"/>
                <c:pt idx="0">
                  <c:v>30899</c:v>
                </c:pt>
                <c:pt idx="1">
                  <c:v>10425</c:v>
                </c:pt>
                <c:pt idx="2">
                  <c:v>10806</c:v>
                </c:pt>
                <c:pt idx="3">
                  <c:v>5860</c:v>
                </c:pt>
                <c:pt idx="4">
                  <c:v>707</c:v>
                </c:pt>
                <c:pt idx="5" formatCode="General">
                  <c:v>837</c:v>
                </c:pt>
                <c:pt idx="6">
                  <c:v>180</c:v>
                </c:pt>
              </c:numCache>
            </c:numRef>
          </c:val>
          <c:extLst>
            <c:ext xmlns:c16="http://schemas.microsoft.com/office/drawing/2014/chart" uri="{C3380CC4-5D6E-409C-BE32-E72D297353CC}">
              <c16:uniqueId val="{00000000-FD5C-4B9D-BAAD-6F50FAD5B6AE}"/>
            </c:ext>
          </c:extLst>
        </c:ser>
        <c:dLbls>
          <c:showLegendKey val="0"/>
          <c:showVal val="0"/>
          <c:showCatName val="0"/>
          <c:showSerName val="0"/>
          <c:showPercent val="0"/>
          <c:showBubbleSize val="0"/>
        </c:dLbls>
        <c:gapWidth val="219"/>
        <c:overlap val="-27"/>
        <c:axId val="215570192"/>
        <c:axId val="215564784"/>
      </c:barChart>
      <c:catAx>
        <c:axId val="21557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564784"/>
        <c:crosses val="autoZero"/>
        <c:auto val="1"/>
        <c:lblAlgn val="ctr"/>
        <c:lblOffset val="100"/>
        <c:noMultiLvlLbl val="0"/>
      </c:catAx>
      <c:valAx>
        <c:axId val="215564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5570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t>Nombre</a:t>
            </a:r>
            <a:r>
              <a:rPr lang="en-US" sz="1400" baseline="0"/>
              <a:t> de consultations uniques de pages de rapports techniques annuels en </a:t>
            </a:r>
            <a:r>
              <a:rPr lang="en-US" sz="1400"/>
              <a:t>2020</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'2020'!$V$1</c:f>
              <c:strCache>
                <c:ptCount val="1"/>
                <c:pt idx="0">
                  <c:v>Unique</c:v>
                </c:pt>
              </c:strCache>
            </c:strRef>
          </c:tx>
          <c:spPr>
            <a:solidFill>
              <a:schemeClr val="accent1"/>
            </a:solidFill>
            <a:ln>
              <a:noFill/>
            </a:ln>
            <a:effectLst/>
          </c:spPr>
          <c:invertIfNegative val="0"/>
          <c:cat>
            <c:strRef>
              <c:f>'2020'!$U$2:$U$159</c:f>
              <c:strCache>
                <c:ptCount val="158"/>
                <c:pt idx="0">
                  <c:v>PI 2018 JP</c:v>
                </c:pt>
                <c:pt idx="1">
                  <c:v>PI 2016 ES</c:v>
                </c:pt>
                <c:pt idx="2">
                  <c:v>ID 2015 MX</c:v>
                </c:pt>
                <c:pt idx="3">
                  <c:v>TM 2016 ES</c:v>
                </c:pt>
                <c:pt idx="4">
                  <c:v>TM 2018 UA</c:v>
                </c:pt>
                <c:pt idx="5">
                  <c:v>PI 2018 RU</c:v>
                </c:pt>
                <c:pt idx="6">
                  <c:v>ID 2016 ES</c:v>
                </c:pt>
                <c:pt idx="7">
                  <c:v>PI 2018 GB</c:v>
                </c:pt>
                <c:pt idx="8">
                  <c:v>TM 2018 EC</c:v>
                </c:pt>
                <c:pt idx="9">
                  <c:v>PI 2019 EA</c:v>
                </c:pt>
                <c:pt idx="10">
                  <c:v>PI 2018 CZ</c:v>
                </c:pt>
                <c:pt idx="11">
                  <c:v>PI 2018 EC</c:v>
                </c:pt>
                <c:pt idx="12">
                  <c:v>PI 2015 MX</c:v>
                </c:pt>
                <c:pt idx="13">
                  <c:v>ID 2018 EC</c:v>
                </c:pt>
                <c:pt idx="14">
                  <c:v>ID 2015 MD</c:v>
                </c:pt>
                <c:pt idx="15">
                  <c:v>TM 2018 PL</c:v>
                </c:pt>
                <c:pt idx="16">
                  <c:v>TM 2016 BR</c:v>
                </c:pt>
                <c:pt idx="17">
                  <c:v>PI 2016 BR</c:v>
                </c:pt>
                <c:pt idx="18">
                  <c:v>ID 2018 GB</c:v>
                </c:pt>
                <c:pt idx="19">
                  <c:v>PI 2016 GB</c:v>
                </c:pt>
                <c:pt idx="20">
                  <c:v>TM 2018 RS</c:v>
                </c:pt>
                <c:pt idx="21">
                  <c:v>PI 2018 UA</c:v>
                </c:pt>
                <c:pt idx="22">
                  <c:v>PI 2014 UY</c:v>
                </c:pt>
                <c:pt idx="23">
                  <c:v>TM 2018 SK</c:v>
                </c:pt>
                <c:pt idx="24">
                  <c:v>TM 2018 JP</c:v>
                </c:pt>
                <c:pt idx="25">
                  <c:v>PI 2018 PL</c:v>
                </c:pt>
                <c:pt idx="26">
                  <c:v>ID 2018 UA</c:v>
                </c:pt>
                <c:pt idx="27">
                  <c:v>TM 2019 UY</c:v>
                </c:pt>
                <c:pt idx="28">
                  <c:v>TM 2015 MX</c:v>
                </c:pt>
                <c:pt idx="29">
                  <c:v>ID 2018 JP</c:v>
                </c:pt>
                <c:pt idx="30">
                  <c:v>TM 2018 GB</c:v>
                </c:pt>
                <c:pt idx="31">
                  <c:v>TM 2016 RS</c:v>
                </c:pt>
                <c:pt idx="32">
                  <c:v>TM 2018 RU</c:v>
                </c:pt>
                <c:pt idx="33">
                  <c:v>ID 2018 PL</c:v>
                </c:pt>
                <c:pt idx="34">
                  <c:v>TM 2014 UY</c:v>
                </c:pt>
                <c:pt idx="35">
                  <c:v>ID 2014 UY</c:v>
                </c:pt>
                <c:pt idx="36">
                  <c:v>ID 2019 HU</c:v>
                </c:pt>
                <c:pt idx="37">
                  <c:v>ID 2018 SK</c:v>
                </c:pt>
                <c:pt idx="38">
                  <c:v>PI 2019 HU</c:v>
                </c:pt>
                <c:pt idx="39">
                  <c:v>ID 2017 SK</c:v>
                </c:pt>
                <c:pt idx="40">
                  <c:v>TM 2018 BG</c:v>
                </c:pt>
                <c:pt idx="41">
                  <c:v>TM 2016 BG</c:v>
                </c:pt>
                <c:pt idx="42">
                  <c:v>PI 2017 JP</c:v>
                </c:pt>
                <c:pt idx="43">
                  <c:v>PI 2017 CA</c:v>
                </c:pt>
                <c:pt idx="44">
                  <c:v>ID 2018 CZ</c:v>
                </c:pt>
                <c:pt idx="45">
                  <c:v>PI 2019 PL</c:v>
                </c:pt>
                <c:pt idx="46">
                  <c:v>TM 2019 MX</c:v>
                </c:pt>
                <c:pt idx="47">
                  <c:v>PI 2016 EG</c:v>
                </c:pt>
                <c:pt idx="48">
                  <c:v>PI 2017 PL</c:v>
                </c:pt>
                <c:pt idx="49">
                  <c:v>TM 2017 CA</c:v>
                </c:pt>
                <c:pt idx="50">
                  <c:v>ID 2016 BR</c:v>
                </c:pt>
                <c:pt idx="51">
                  <c:v>PI 2018 HU</c:v>
                </c:pt>
                <c:pt idx="52">
                  <c:v>ID 2019 PY</c:v>
                </c:pt>
                <c:pt idx="53">
                  <c:v>PI 2016 PL</c:v>
                </c:pt>
                <c:pt idx="54">
                  <c:v>PI 2018 RS</c:v>
                </c:pt>
                <c:pt idx="55">
                  <c:v>PI 2019 UY</c:v>
                </c:pt>
                <c:pt idx="56">
                  <c:v>ID 2018 HU</c:v>
                </c:pt>
                <c:pt idx="57">
                  <c:v>ID 2016 MG</c:v>
                </c:pt>
                <c:pt idx="58">
                  <c:v>TM 2015 MD</c:v>
                </c:pt>
                <c:pt idx="59">
                  <c:v>ID 2019 PL</c:v>
                </c:pt>
                <c:pt idx="60">
                  <c:v>PI 2018 SK</c:v>
                </c:pt>
                <c:pt idx="61">
                  <c:v>TM 2019 PL</c:v>
                </c:pt>
                <c:pt idx="62">
                  <c:v>PI 2016 RU</c:v>
                </c:pt>
                <c:pt idx="63">
                  <c:v>PI 2019 JP</c:v>
                </c:pt>
                <c:pt idx="64">
                  <c:v>TM 2019 HU</c:v>
                </c:pt>
                <c:pt idx="65">
                  <c:v>ID 2017 EC</c:v>
                </c:pt>
                <c:pt idx="66">
                  <c:v>PI 2015 HR</c:v>
                </c:pt>
                <c:pt idx="67">
                  <c:v>TM 2019 AZ</c:v>
                </c:pt>
                <c:pt idx="68">
                  <c:v>PI 2019 MX</c:v>
                </c:pt>
                <c:pt idx="69">
                  <c:v>ID 2017 CA</c:v>
                </c:pt>
                <c:pt idx="70">
                  <c:v>ID 2014 BA</c:v>
                </c:pt>
                <c:pt idx="71">
                  <c:v>TM 2016 CZ</c:v>
                </c:pt>
                <c:pt idx="72">
                  <c:v>ID 2019 UY</c:v>
                </c:pt>
                <c:pt idx="73">
                  <c:v>ID 2019 RU</c:v>
                </c:pt>
                <c:pt idx="74">
                  <c:v>PI 2017 GB</c:v>
                </c:pt>
                <c:pt idx="75">
                  <c:v>PI 2019 CY</c:v>
                </c:pt>
                <c:pt idx="76">
                  <c:v>PI 2015 MD</c:v>
                </c:pt>
                <c:pt idx="77">
                  <c:v>TM 2019 JP</c:v>
                </c:pt>
                <c:pt idx="78">
                  <c:v>TM 2019 BA</c:v>
                </c:pt>
                <c:pt idx="79">
                  <c:v>TM 2019 PY</c:v>
                </c:pt>
                <c:pt idx="80">
                  <c:v>ID 2019 MX</c:v>
                </c:pt>
                <c:pt idx="81">
                  <c:v>ID 2016 LT</c:v>
                </c:pt>
                <c:pt idx="82">
                  <c:v>PI 2017 SK</c:v>
                </c:pt>
                <c:pt idx="83">
                  <c:v>ID 2016 SK</c:v>
                </c:pt>
                <c:pt idx="84">
                  <c:v>TM 2017 SK</c:v>
                </c:pt>
                <c:pt idx="85">
                  <c:v>PI 2014 JP</c:v>
                </c:pt>
                <c:pt idx="86">
                  <c:v>TM 2019 RU</c:v>
                </c:pt>
                <c:pt idx="87">
                  <c:v>TM 2017 JP</c:v>
                </c:pt>
                <c:pt idx="88">
                  <c:v>PI 2014 CL</c:v>
                </c:pt>
                <c:pt idx="89">
                  <c:v>TM 2019 CY</c:v>
                </c:pt>
                <c:pt idx="90">
                  <c:v>ID 2017 CZ</c:v>
                </c:pt>
                <c:pt idx="91">
                  <c:v>TM 2017 PL</c:v>
                </c:pt>
                <c:pt idx="92">
                  <c:v>TM 2019 BR</c:v>
                </c:pt>
                <c:pt idx="93">
                  <c:v>PI 2019 RU</c:v>
                </c:pt>
                <c:pt idx="94">
                  <c:v>ID 2018 RU</c:v>
                </c:pt>
                <c:pt idx="95">
                  <c:v>PI 2019 EC</c:v>
                </c:pt>
                <c:pt idx="96">
                  <c:v>TM 2017 EC</c:v>
                </c:pt>
                <c:pt idx="97">
                  <c:v>PI 2016 EE</c:v>
                </c:pt>
                <c:pt idx="98">
                  <c:v>PI 2017 EC</c:v>
                </c:pt>
                <c:pt idx="99">
                  <c:v>ID 2019 JP</c:v>
                </c:pt>
                <c:pt idx="100">
                  <c:v>TM 2017 HU</c:v>
                </c:pt>
                <c:pt idx="101">
                  <c:v>PI 2016 JP</c:v>
                </c:pt>
                <c:pt idx="102">
                  <c:v>ID 2019 UA</c:v>
                </c:pt>
                <c:pt idx="103">
                  <c:v>TM 2019 EC</c:v>
                </c:pt>
                <c:pt idx="104">
                  <c:v>PI 2019 PY</c:v>
                </c:pt>
                <c:pt idx="105">
                  <c:v>TM 2017 GB</c:v>
                </c:pt>
                <c:pt idx="106">
                  <c:v>PI 2016 SK</c:v>
                </c:pt>
                <c:pt idx="107">
                  <c:v>PI 2019 UA</c:v>
                </c:pt>
                <c:pt idx="108">
                  <c:v>TM 2017 RS</c:v>
                </c:pt>
                <c:pt idx="109">
                  <c:v>ID 2016 HU</c:v>
                </c:pt>
                <c:pt idx="110">
                  <c:v>PI 2019 CA</c:v>
                </c:pt>
                <c:pt idx="111">
                  <c:v>ID 2014 JP</c:v>
                </c:pt>
                <c:pt idx="112">
                  <c:v>TM 2019 MG</c:v>
                </c:pt>
                <c:pt idx="113">
                  <c:v>TM 2017 EE</c:v>
                </c:pt>
                <c:pt idx="114">
                  <c:v>ID 2017 PL</c:v>
                </c:pt>
                <c:pt idx="115">
                  <c:v>TM 2016 JP</c:v>
                </c:pt>
                <c:pt idx="116">
                  <c:v>TM 2018 HU</c:v>
                </c:pt>
                <c:pt idx="117">
                  <c:v>TM 2019 UA</c:v>
                </c:pt>
                <c:pt idx="118">
                  <c:v>ID 2016 RU</c:v>
                </c:pt>
                <c:pt idx="119">
                  <c:v>ID 2016 JP</c:v>
                </c:pt>
                <c:pt idx="120">
                  <c:v>ID 2017 EE</c:v>
                </c:pt>
                <c:pt idx="121">
                  <c:v>TM 2015 SK</c:v>
                </c:pt>
                <c:pt idx="122">
                  <c:v>PI 2019 AZ</c:v>
                </c:pt>
                <c:pt idx="123">
                  <c:v>PI 2015 JP</c:v>
                </c:pt>
                <c:pt idx="124">
                  <c:v>PI 2019 BA</c:v>
                </c:pt>
                <c:pt idx="125">
                  <c:v>ID 2017 HU</c:v>
                </c:pt>
                <c:pt idx="126">
                  <c:v>PI 2016 CZ</c:v>
                </c:pt>
                <c:pt idx="127">
                  <c:v>ID 2019 CY</c:v>
                </c:pt>
                <c:pt idx="128">
                  <c:v>PI 2017 RU</c:v>
                </c:pt>
                <c:pt idx="129">
                  <c:v>PI 2017 HU</c:v>
                </c:pt>
                <c:pt idx="130">
                  <c:v>ID 2014 NO</c:v>
                </c:pt>
                <c:pt idx="131">
                  <c:v>PI 2016 UA</c:v>
                </c:pt>
                <c:pt idx="132">
                  <c:v>PI 2017 AU</c:v>
                </c:pt>
                <c:pt idx="133">
                  <c:v>ID 2014 CL</c:v>
                </c:pt>
                <c:pt idx="134">
                  <c:v>ID 2014 HU</c:v>
                </c:pt>
                <c:pt idx="135">
                  <c:v>ID 2016 CZ</c:v>
                </c:pt>
                <c:pt idx="136">
                  <c:v>ID 2019 CA</c:v>
                </c:pt>
                <c:pt idx="137">
                  <c:v>PI 2015 KG</c:v>
                </c:pt>
                <c:pt idx="138">
                  <c:v>TM 2016 EE</c:v>
                </c:pt>
                <c:pt idx="139">
                  <c:v>PI 2016 HU</c:v>
                </c:pt>
                <c:pt idx="140">
                  <c:v>PI 2015 EG</c:v>
                </c:pt>
                <c:pt idx="141">
                  <c:v>TM 2015 KR</c:v>
                </c:pt>
                <c:pt idx="142">
                  <c:v>PI 2014 PL</c:v>
                </c:pt>
                <c:pt idx="143">
                  <c:v>ID 2019 EC</c:v>
                </c:pt>
                <c:pt idx="144">
                  <c:v>TM 2019 CA</c:v>
                </c:pt>
                <c:pt idx="145">
                  <c:v>PI 2014 ES</c:v>
                </c:pt>
                <c:pt idx="146">
                  <c:v>TM 2015 KG</c:v>
                </c:pt>
                <c:pt idx="147">
                  <c:v>PI 2014 HR</c:v>
                </c:pt>
                <c:pt idx="148">
                  <c:v>TM 2018 CZ</c:v>
                </c:pt>
                <c:pt idx="149">
                  <c:v>ID 2014 MD</c:v>
                </c:pt>
                <c:pt idx="150">
                  <c:v>TM 2015 HR</c:v>
                </c:pt>
                <c:pt idx="151">
                  <c:v>PI 2014 IE</c:v>
                </c:pt>
                <c:pt idx="152">
                  <c:v>ID 2019 MG</c:v>
                </c:pt>
                <c:pt idx="153">
                  <c:v>PI 2019 MG</c:v>
                </c:pt>
                <c:pt idx="154">
                  <c:v>PI 2015 KR</c:v>
                </c:pt>
                <c:pt idx="155">
                  <c:v>ID 2019 BR</c:v>
                </c:pt>
                <c:pt idx="156">
                  <c:v>ID 2015 KG</c:v>
                </c:pt>
                <c:pt idx="157">
                  <c:v>TM 2017 AU</c:v>
                </c:pt>
              </c:strCache>
            </c:strRef>
          </c:cat>
          <c:val>
            <c:numRef>
              <c:f>'2020'!$V$2:$V$159</c:f>
              <c:numCache>
                <c:formatCode>General</c:formatCode>
                <c:ptCount val="158"/>
                <c:pt idx="0">
                  <c:v>38</c:v>
                </c:pt>
                <c:pt idx="1">
                  <c:v>24</c:v>
                </c:pt>
                <c:pt idx="2">
                  <c:v>20</c:v>
                </c:pt>
                <c:pt idx="3">
                  <c:v>18</c:v>
                </c:pt>
                <c:pt idx="4">
                  <c:v>18</c:v>
                </c:pt>
                <c:pt idx="5">
                  <c:v>17</c:v>
                </c:pt>
                <c:pt idx="6">
                  <c:v>17</c:v>
                </c:pt>
                <c:pt idx="7">
                  <c:v>16</c:v>
                </c:pt>
                <c:pt idx="8">
                  <c:v>15</c:v>
                </c:pt>
                <c:pt idx="9">
                  <c:v>14</c:v>
                </c:pt>
                <c:pt idx="10">
                  <c:v>14</c:v>
                </c:pt>
                <c:pt idx="11">
                  <c:v>14</c:v>
                </c:pt>
                <c:pt idx="12">
                  <c:v>13</c:v>
                </c:pt>
                <c:pt idx="13">
                  <c:v>13</c:v>
                </c:pt>
                <c:pt idx="14">
                  <c:v>10</c:v>
                </c:pt>
                <c:pt idx="15">
                  <c:v>9</c:v>
                </c:pt>
                <c:pt idx="16">
                  <c:v>9</c:v>
                </c:pt>
                <c:pt idx="17">
                  <c:v>9</c:v>
                </c:pt>
                <c:pt idx="18">
                  <c:v>9</c:v>
                </c:pt>
                <c:pt idx="19">
                  <c:v>8</c:v>
                </c:pt>
                <c:pt idx="20">
                  <c:v>8</c:v>
                </c:pt>
                <c:pt idx="21">
                  <c:v>8</c:v>
                </c:pt>
                <c:pt idx="22">
                  <c:v>7</c:v>
                </c:pt>
                <c:pt idx="23">
                  <c:v>7</c:v>
                </c:pt>
                <c:pt idx="24">
                  <c:v>7</c:v>
                </c:pt>
                <c:pt idx="25">
                  <c:v>7</c:v>
                </c:pt>
                <c:pt idx="26">
                  <c:v>7</c:v>
                </c:pt>
                <c:pt idx="27">
                  <c:v>7</c:v>
                </c:pt>
                <c:pt idx="28">
                  <c:v>6</c:v>
                </c:pt>
                <c:pt idx="29">
                  <c:v>6</c:v>
                </c:pt>
                <c:pt idx="30">
                  <c:v>6</c:v>
                </c:pt>
                <c:pt idx="31">
                  <c:v>6</c:v>
                </c:pt>
                <c:pt idx="32">
                  <c:v>6</c:v>
                </c:pt>
                <c:pt idx="33">
                  <c:v>6</c:v>
                </c:pt>
                <c:pt idx="34">
                  <c:v>6</c:v>
                </c:pt>
                <c:pt idx="35">
                  <c:v>6</c:v>
                </c:pt>
                <c:pt idx="36">
                  <c:v>5</c:v>
                </c:pt>
                <c:pt idx="37">
                  <c:v>5</c:v>
                </c:pt>
                <c:pt idx="38">
                  <c:v>5</c:v>
                </c:pt>
                <c:pt idx="39">
                  <c:v>5</c:v>
                </c:pt>
                <c:pt idx="40">
                  <c:v>5</c:v>
                </c:pt>
                <c:pt idx="41">
                  <c:v>5</c:v>
                </c:pt>
                <c:pt idx="42">
                  <c:v>5</c:v>
                </c:pt>
                <c:pt idx="43">
                  <c:v>5</c:v>
                </c:pt>
                <c:pt idx="44">
                  <c:v>5</c:v>
                </c:pt>
                <c:pt idx="45">
                  <c:v>4</c:v>
                </c:pt>
                <c:pt idx="46">
                  <c:v>4</c:v>
                </c:pt>
                <c:pt idx="47">
                  <c:v>4</c:v>
                </c:pt>
                <c:pt idx="48">
                  <c:v>4</c:v>
                </c:pt>
                <c:pt idx="49">
                  <c:v>4</c:v>
                </c:pt>
                <c:pt idx="50">
                  <c:v>4</c:v>
                </c:pt>
                <c:pt idx="51">
                  <c:v>4</c:v>
                </c:pt>
                <c:pt idx="52">
                  <c:v>4</c:v>
                </c:pt>
                <c:pt idx="53">
                  <c:v>4</c:v>
                </c:pt>
                <c:pt idx="54">
                  <c:v>4</c:v>
                </c:pt>
                <c:pt idx="55">
                  <c:v>4</c:v>
                </c:pt>
                <c:pt idx="56">
                  <c:v>4</c:v>
                </c:pt>
                <c:pt idx="57">
                  <c:v>4</c:v>
                </c:pt>
                <c:pt idx="58">
                  <c:v>4</c:v>
                </c:pt>
                <c:pt idx="59">
                  <c:v>3</c:v>
                </c:pt>
                <c:pt idx="60">
                  <c:v>3</c:v>
                </c:pt>
                <c:pt idx="61">
                  <c:v>3</c:v>
                </c:pt>
                <c:pt idx="62">
                  <c:v>3</c:v>
                </c:pt>
                <c:pt idx="63">
                  <c:v>3</c:v>
                </c:pt>
                <c:pt idx="64">
                  <c:v>3</c:v>
                </c:pt>
                <c:pt idx="65">
                  <c:v>3</c:v>
                </c:pt>
                <c:pt idx="66">
                  <c:v>3</c:v>
                </c:pt>
                <c:pt idx="67">
                  <c:v>3</c:v>
                </c:pt>
                <c:pt idx="68">
                  <c:v>3</c:v>
                </c:pt>
                <c:pt idx="69">
                  <c:v>3</c:v>
                </c:pt>
                <c:pt idx="70">
                  <c:v>3</c:v>
                </c:pt>
                <c:pt idx="71">
                  <c:v>3</c:v>
                </c:pt>
                <c:pt idx="72">
                  <c:v>3</c:v>
                </c:pt>
                <c:pt idx="73">
                  <c:v>3</c:v>
                </c:pt>
                <c:pt idx="74">
                  <c:v>3</c:v>
                </c:pt>
                <c:pt idx="75">
                  <c:v>2</c:v>
                </c:pt>
                <c:pt idx="76">
                  <c:v>2</c:v>
                </c:pt>
                <c:pt idx="77">
                  <c:v>2</c:v>
                </c:pt>
                <c:pt idx="78">
                  <c:v>2</c:v>
                </c:pt>
                <c:pt idx="79">
                  <c:v>2</c:v>
                </c:pt>
                <c:pt idx="80">
                  <c:v>2</c:v>
                </c:pt>
                <c:pt idx="81">
                  <c:v>2</c:v>
                </c:pt>
                <c:pt idx="82">
                  <c:v>2</c:v>
                </c:pt>
                <c:pt idx="83">
                  <c:v>2</c:v>
                </c:pt>
                <c:pt idx="84">
                  <c:v>2</c:v>
                </c:pt>
                <c:pt idx="85">
                  <c:v>2</c:v>
                </c:pt>
                <c:pt idx="86">
                  <c:v>2</c:v>
                </c:pt>
                <c:pt idx="87">
                  <c:v>2</c:v>
                </c:pt>
                <c:pt idx="88">
                  <c:v>2</c:v>
                </c:pt>
                <c:pt idx="89">
                  <c:v>2</c:v>
                </c:pt>
                <c:pt idx="90">
                  <c:v>2</c:v>
                </c:pt>
                <c:pt idx="91">
                  <c:v>2</c:v>
                </c:pt>
                <c:pt idx="92">
                  <c:v>2</c:v>
                </c:pt>
                <c:pt idx="93">
                  <c:v>2</c:v>
                </c:pt>
                <c:pt idx="94">
                  <c:v>2</c:v>
                </c:pt>
                <c:pt idx="95">
                  <c:v>2</c:v>
                </c:pt>
                <c:pt idx="96">
                  <c:v>2</c:v>
                </c:pt>
                <c:pt idx="97">
                  <c:v>2</c:v>
                </c:pt>
                <c:pt idx="98">
                  <c:v>2</c:v>
                </c:pt>
                <c:pt idx="99">
                  <c:v>2</c:v>
                </c:pt>
                <c:pt idx="100">
                  <c:v>2</c:v>
                </c:pt>
                <c:pt idx="101">
                  <c:v>2</c:v>
                </c:pt>
                <c:pt idx="102">
                  <c:v>2</c:v>
                </c:pt>
                <c:pt idx="103">
                  <c:v>2</c:v>
                </c:pt>
                <c:pt idx="104">
                  <c:v>2</c:v>
                </c:pt>
                <c:pt idx="105">
                  <c:v>2</c:v>
                </c:pt>
                <c:pt idx="106">
                  <c:v>2</c:v>
                </c:pt>
                <c:pt idx="107">
                  <c:v>1</c:v>
                </c:pt>
                <c:pt idx="108">
                  <c:v>1</c:v>
                </c:pt>
                <c:pt idx="109">
                  <c:v>1</c:v>
                </c:pt>
                <c:pt idx="110">
                  <c:v>1</c:v>
                </c:pt>
                <c:pt idx="111">
                  <c:v>1</c:v>
                </c:pt>
                <c:pt idx="112">
                  <c:v>1</c:v>
                </c:pt>
                <c:pt idx="113">
                  <c:v>1</c:v>
                </c:pt>
                <c:pt idx="114">
                  <c:v>1</c:v>
                </c:pt>
                <c:pt idx="115">
                  <c:v>1</c:v>
                </c:pt>
                <c:pt idx="116">
                  <c:v>1</c:v>
                </c:pt>
                <c:pt idx="117">
                  <c:v>1</c:v>
                </c:pt>
                <c:pt idx="118">
                  <c:v>1</c:v>
                </c:pt>
                <c:pt idx="119">
                  <c:v>1</c:v>
                </c:pt>
                <c:pt idx="120">
                  <c:v>1</c:v>
                </c:pt>
                <c:pt idx="121">
                  <c:v>1</c:v>
                </c:pt>
                <c:pt idx="122">
                  <c:v>1</c:v>
                </c:pt>
                <c:pt idx="123">
                  <c:v>1</c:v>
                </c:pt>
                <c:pt idx="124">
                  <c:v>1</c:v>
                </c:pt>
                <c:pt idx="125">
                  <c:v>1</c:v>
                </c:pt>
                <c:pt idx="126">
                  <c:v>1</c:v>
                </c:pt>
                <c:pt idx="127">
                  <c:v>1</c:v>
                </c:pt>
                <c:pt idx="128">
                  <c:v>1</c:v>
                </c:pt>
                <c:pt idx="129">
                  <c:v>1</c:v>
                </c:pt>
                <c:pt idx="130">
                  <c:v>1</c:v>
                </c:pt>
                <c:pt idx="131">
                  <c:v>1</c:v>
                </c:pt>
                <c:pt idx="132">
                  <c:v>1</c:v>
                </c:pt>
                <c:pt idx="133">
                  <c:v>1</c:v>
                </c:pt>
                <c:pt idx="134">
                  <c:v>1</c:v>
                </c:pt>
                <c:pt idx="135">
                  <c:v>1</c:v>
                </c:pt>
                <c:pt idx="136">
                  <c:v>1</c:v>
                </c:pt>
                <c:pt idx="137">
                  <c:v>1</c:v>
                </c:pt>
                <c:pt idx="138">
                  <c:v>1</c:v>
                </c:pt>
                <c:pt idx="139">
                  <c:v>1</c:v>
                </c:pt>
                <c:pt idx="140">
                  <c:v>1</c:v>
                </c:pt>
                <c:pt idx="141">
                  <c:v>1</c:v>
                </c:pt>
                <c:pt idx="142">
                  <c:v>1</c:v>
                </c:pt>
                <c:pt idx="143">
                  <c:v>1</c:v>
                </c:pt>
                <c:pt idx="144">
                  <c:v>1</c:v>
                </c:pt>
                <c:pt idx="145">
                  <c:v>1</c:v>
                </c:pt>
                <c:pt idx="146">
                  <c:v>1</c:v>
                </c:pt>
                <c:pt idx="147">
                  <c:v>1</c:v>
                </c:pt>
                <c:pt idx="148">
                  <c:v>1</c:v>
                </c:pt>
                <c:pt idx="149">
                  <c:v>1</c:v>
                </c:pt>
                <c:pt idx="150">
                  <c:v>1</c:v>
                </c:pt>
                <c:pt idx="151">
                  <c:v>1</c:v>
                </c:pt>
                <c:pt idx="152">
                  <c:v>1</c:v>
                </c:pt>
                <c:pt idx="153">
                  <c:v>1</c:v>
                </c:pt>
                <c:pt idx="154">
                  <c:v>1</c:v>
                </c:pt>
                <c:pt idx="155">
                  <c:v>1</c:v>
                </c:pt>
                <c:pt idx="156">
                  <c:v>1</c:v>
                </c:pt>
                <c:pt idx="157">
                  <c:v>1</c:v>
                </c:pt>
              </c:numCache>
            </c:numRef>
          </c:val>
          <c:extLst>
            <c:ext xmlns:c16="http://schemas.microsoft.com/office/drawing/2014/chart" uri="{C3380CC4-5D6E-409C-BE32-E72D297353CC}">
              <c16:uniqueId val="{00000000-7C34-4849-B208-7C071D9111F6}"/>
            </c:ext>
          </c:extLst>
        </c:ser>
        <c:dLbls>
          <c:showLegendKey val="0"/>
          <c:showVal val="0"/>
          <c:showCatName val="0"/>
          <c:showSerName val="0"/>
          <c:showPercent val="0"/>
          <c:showBubbleSize val="0"/>
        </c:dLbls>
        <c:gapWidth val="125"/>
        <c:axId val="413159407"/>
        <c:axId val="413185615"/>
      </c:barChart>
      <c:catAx>
        <c:axId val="413159407"/>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t>Pages</a:t>
                </a:r>
                <a:r>
                  <a:rPr lang="en-US" sz="1000" baseline="0"/>
                  <a:t> de rapports techniques annuels</a:t>
                </a:r>
                <a:endParaRPr lang="en-US" sz="1400"/>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185615"/>
        <c:crosses val="autoZero"/>
        <c:auto val="1"/>
        <c:lblAlgn val="ctr"/>
        <c:lblOffset val="100"/>
        <c:noMultiLvlLbl val="1"/>
      </c:catAx>
      <c:valAx>
        <c:axId val="413185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t>Nombre de pages consultées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4131594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0.5207</cdr:x>
      <cdr:y>0.90313</cdr:y>
    </cdr:from>
    <cdr:to>
      <cdr:x>0.64278</cdr:x>
      <cdr:y>0.99677</cdr:y>
    </cdr:to>
    <cdr:sp macro="" textlink="">
      <cdr:nvSpPr>
        <cdr:cNvPr id="2" name="Text Box 2"/>
        <cdr:cNvSpPr txBox="1">
          <a:spLocks xmlns:a="http://schemas.openxmlformats.org/drawingml/2006/main" noChangeArrowheads="1"/>
        </cdr:cNvSpPr>
      </cdr:nvSpPr>
      <cdr:spPr bwMode="auto">
        <a:xfrm xmlns:a="http://schemas.openxmlformats.org/drawingml/2006/main">
          <a:off x="2438819" y="2415541"/>
          <a:ext cx="571800" cy="250453"/>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0" tIns="0" rIns="0" bIns="0" anchor="t" anchorCtr="0">
          <a:spAutoFit/>
        </a:bodyPr>
        <a:lstStyle xmlns:a="http://schemas.openxmlformats.org/drawingml/2006/main"/>
        <a:p xmlns:a="http://schemas.openxmlformats.org/drawingml/2006/main">
          <a:pPr>
            <a:spcAft>
              <a:spcPts val="0"/>
            </a:spcAft>
          </a:pPr>
          <a:r>
            <a:rPr lang="fr-FR" sz="800">
              <a:effectLst/>
              <a:latin typeface="Calibri" panose="020F0502020204030204" pitchFamily="34" charset="0"/>
              <a:ea typeface="SimSun" panose="02010600030101010101" pitchFamily="2" charset="-122"/>
            </a:rPr>
            <a:t>deuxième</a:t>
          </a:r>
          <a:br>
            <a:rPr lang="fr-FR" sz="800">
              <a:effectLst/>
              <a:latin typeface="Calibri" panose="020F0502020204030204" pitchFamily="34" charset="0"/>
              <a:ea typeface="SimSun" panose="02010600030101010101" pitchFamily="2" charset="-122"/>
            </a:rPr>
          </a:br>
          <a:r>
            <a:rPr lang="fr-FR" sz="800">
              <a:effectLst/>
              <a:latin typeface="Calibri" panose="020F0502020204030204" pitchFamily="34" charset="0"/>
              <a:ea typeface="SimSun" panose="02010600030101010101" pitchFamily="2" charset="-122"/>
            </a:rPr>
            <a:t>année</a:t>
          </a:r>
          <a:endParaRPr lang="en-US" sz="1200">
            <a:effectLst/>
            <a:latin typeface="Arial" panose="020B0604020202020204" pitchFamily="34" charset="0"/>
            <a:ea typeface="SimSun" panose="02010600030101010101" pitchFamily="2" charset="-122"/>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0.60021</cdr:x>
      <cdr:y>0.7783</cdr:y>
    </cdr:from>
    <cdr:to>
      <cdr:x>0.71758</cdr:x>
      <cdr:y>0.98664</cdr:y>
    </cdr:to>
    <cdr:sp macro="" textlink="">
      <cdr:nvSpPr>
        <cdr:cNvPr id="2" name="Text Box 2"/>
        <cdr:cNvSpPr txBox="1">
          <a:spLocks xmlns:a="http://schemas.openxmlformats.org/drawingml/2006/main" noChangeArrowheads="1"/>
        </cdr:cNvSpPr>
      </cdr:nvSpPr>
      <cdr:spPr bwMode="auto">
        <a:xfrm xmlns:a="http://schemas.openxmlformats.org/drawingml/2006/main">
          <a:off x="2922522" y="1708030"/>
          <a:ext cx="571500" cy="45720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0" tIns="0" rIns="0" bIns="0" anchor="t" anchorCtr="0">
          <a:noAutofit/>
        </a:bodyPr>
        <a:lstStyle xmlns:a="http://schemas.openxmlformats.org/drawingml/2006/main"/>
        <a:p xmlns:a="http://schemas.openxmlformats.org/drawingml/2006/main">
          <a:pPr algn="ctr">
            <a:spcAft>
              <a:spcPts val="0"/>
            </a:spcAft>
          </a:pPr>
          <a:r>
            <a:rPr lang="en-US" sz="800">
              <a:effectLst/>
              <a:latin typeface="+mn-lt"/>
              <a:ea typeface="+mn-ea"/>
              <a:cs typeface="+mn-cs"/>
            </a:rPr>
            <a:t>Appendice 3 ST.9 archivée 2008</a:t>
          </a:r>
          <a:endParaRPr lang="en-US" sz="800">
            <a:effectLst/>
            <a:latin typeface="Times New Roman" panose="02020603050405020304" pitchFamily="18" charset="0"/>
            <a:ea typeface="Malgun Gothic" panose="020B0503020000020004" pitchFamily="34" charset="-127"/>
          </a:endParaRPr>
        </a:p>
      </cdr:txBody>
    </cdr:sp>
  </cdr:relSizeAnchor>
  <cdr:relSizeAnchor xmlns:cdr="http://schemas.openxmlformats.org/drawingml/2006/chartDrawing">
    <cdr:from>
      <cdr:x>0.85783</cdr:x>
      <cdr:y>0.7783</cdr:y>
    </cdr:from>
    <cdr:to>
      <cdr:x>0.9752</cdr:x>
      <cdr:y>0.97877</cdr:y>
    </cdr:to>
    <cdr:sp macro="" textlink="">
      <cdr:nvSpPr>
        <cdr:cNvPr id="3" name="Text Box 12"/>
        <cdr:cNvSpPr txBox="1">
          <a:spLocks xmlns:a="http://schemas.openxmlformats.org/drawingml/2006/main" noChangeArrowheads="1"/>
        </cdr:cNvSpPr>
      </cdr:nvSpPr>
      <cdr:spPr bwMode="auto">
        <a:xfrm xmlns:a="http://schemas.openxmlformats.org/drawingml/2006/main">
          <a:off x="4176910" y="1708030"/>
          <a:ext cx="571500" cy="439947"/>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0" tIns="0" rIns="0" bIns="0" anchor="t" anchorCtr="0">
          <a:noAutofit/>
        </a:bodyPr>
        <a:lstStyle xmlns:a="http://schemas.openxmlformats.org/drawingml/2006/main"/>
        <a:p xmlns:a="http://schemas.openxmlformats.org/drawingml/2006/main">
          <a:pPr algn="ctr">
            <a:spcAft>
              <a:spcPts val="0"/>
            </a:spcAft>
          </a:pPr>
          <a:r>
            <a:rPr lang="fr-CH" sz="800">
              <a:effectLst/>
              <a:latin typeface="+mn-lt"/>
              <a:ea typeface="+mn-ea"/>
              <a:cs typeface="+mn-cs"/>
            </a:rPr>
            <a:t>Ensemble des rapports techniques annuels</a:t>
          </a:r>
          <a:endParaRPr lang="en-US" sz="800">
            <a:effectLst/>
            <a:latin typeface="Times New Roman" panose="02020603050405020304" pitchFamily="18" charset="0"/>
            <a:ea typeface="Malgun Gothic" panose="020B0503020000020004" pitchFamily="34" charset="-127"/>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DF8CB-410A-44B4-BC1E-C2D879F9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903</TotalTime>
  <Pages>7</Pages>
  <Words>2712</Words>
  <Characters>14747</Characters>
  <Application>Microsoft Office Word</Application>
  <DocSecurity>0</DocSecurity>
  <Lines>234</Lines>
  <Paragraphs>47</Paragraphs>
  <ScaleCrop>false</ScaleCrop>
  <HeadingPairs>
    <vt:vector size="2" baseType="variant">
      <vt:variant>
        <vt:lpstr>Title</vt:lpstr>
      </vt:variant>
      <vt:variant>
        <vt:i4>1</vt:i4>
      </vt:variant>
    </vt:vector>
  </HeadingPairs>
  <TitlesOfParts>
    <vt:vector size="1" baseType="lpstr">
      <vt:lpstr>CWS/9/18</vt:lpstr>
    </vt:vector>
  </TitlesOfParts>
  <Company>WIPO</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CWS/9/18</dc:title>
  <dc:subject>Proposal for improvement of ATRs</dc:subject>
  <dc:creator>WIPO</dc:creator>
  <cp:keywords>FOR OFFICIAL USE ONLY</cp:keywords>
  <cp:lastModifiedBy>OLIVIÉ Karen</cp:lastModifiedBy>
  <cp:revision>14</cp:revision>
  <cp:lastPrinted>2021-09-30T09:47:00Z</cp:lastPrinted>
  <dcterms:created xsi:type="dcterms:W3CDTF">2021-09-28T14:11:00Z</dcterms:created>
  <dcterms:modified xsi:type="dcterms:W3CDTF">2021-09-30T09:47:00Z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1674dfb2-69ed-432d-8898-9a31880b9c35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