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8C94D" w14:textId="77777777" w:rsidR="00246940" w:rsidRPr="0058048A" w:rsidRDefault="00246940" w:rsidP="00246940">
      <w:pPr>
        <w:spacing w:after="120"/>
        <w:jc w:val="right"/>
        <w:rPr>
          <w:lang w:val="fr-FR"/>
        </w:rPr>
      </w:pPr>
      <w:r w:rsidRPr="0058048A">
        <w:rPr>
          <w:lang w:val="fr-FR" w:eastAsia="en-US"/>
        </w:rPr>
        <w:drawing>
          <wp:inline distT="0" distB="0" distL="0" distR="0" wp14:anchorId="5006DA95" wp14:editId="31FC6896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5CD2" w14:textId="2DAD0588" w:rsidR="00246940" w:rsidRPr="0058048A" w:rsidRDefault="00246940" w:rsidP="00246940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58048A">
        <w:rPr>
          <w:rFonts w:ascii="Arial Black" w:hAnsi="Arial Black"/>
          <w:caps/>
          <w:sz w:val="15"/>
          <w:lang w:val="fr-FR"/>
        </w:rPr>
        <w:t>CWS/8/</w:t>
      </w:r>
      <w:r w:rsidRPr="0058048A">
        <w:rPr>
          <w:rFonts w:ascii="Arial Black" w:hAnsi="Arial Black"/>
          <w:caps/>
          <w:sz w:val="15"/>
          <w:lang w:val="fr-FR"/>
        </w:rPr>
        <w:t>7</w:t>
      </w:r>
    </w:p>
    <w:p w14:paraId="6058D9ED" w14:textId="77777777" w:rsidR="00246940" w:rsidRPr="0058048A" w:rsidRDefault="00246940" w:rsidP="00246940">
      <w:pPr>
        <w:jc w:val="right"/>
        <w:rPr>
          <w:lang w:val="fr-FR"/>
        </w:rPr>
      </w:pPr>
      <w:r w:rsidRPr="0058048A">
        <w:rPr>
          <w:rFonts w:ascii="Arial Black" w:hAnsi="Arial Black"/>
          <w:caps/>
          <w:sz w:val="15"/>
          <w:lang w:val="fr-FR"/>
        </w:rPr>
        <w:t>ORIGINAL : anglais</w:t>
      </w:r>
    </w:p>
    <w:p w14:paraId="4BAD39D4" w14:textId="77777777" w:rsidR="00246940" w:rsidRPr="0058048A" w:rsidRDefault="00246940" w:rsidP="00246940">
      <w:pPr>
        <w:spacing w:after="1200"/>
        <w:jc w:val="right"/>
        <w:rPr>
          <w:lang w:val="fr-FR"/>
        </w:rPr>
      </w:pPr>
      <w:r w:rsidRPr="0058048A">
        <w:rPr>
          <w:rFonts w:ascii="Arial Black" w:hAnsi="Arial Black"/>
          <w:caps/>
          <w:sz w:val="15"/>
          <w:lang w:val="fr-FR"/>
        </w:rPr>
        <w:t>DATE : 23 octobre 2020</w:t>
      </w:r>
    </w:p>
    <w:p w14:paraId="4F9066F6" w14:textId="77777777" w:rsidR="00246940" w:rsidRPr="0058048A" w:rsidRDefault="00246940" w:rsidP="00246940">
      <w:pPr>
        <w:pStyle w:val="Title"/>
      </w:pPr>
      <w:r w:rsidRPr="0058048A">
        <w:t>Comité des normes de l’OMPI (CWS)</w:t>
      </w:r>
    </w:p>
    <w:p w14:paraId="414F07E6" w14:textId="6481C14E" w:rsidR="00BE30AC" w:rsidRPr="0058048A" w:rsidRDefault="005F3FF4" w:rsidP="005F3FF4">
      <w:pPr>
        <w:outlineLvl w:val="1"/>
        <w:rPr>
          <w:b/>
          <w:sz w:val="24"/>
          <w:szCs w:val="24"/>
          <w:lang w:val="fr-FR"/>
        </w:rPr>
      </w:pPr>
      <w:r w:rsidRPr="0058048A">
        <w:rPr>
          <w:b/>
          <w:sz w:val="24"/>
          <w:szCs w:val="24"/>
          <w:lang w:val="fr-FR"/>
        </w:rPr>
        <w:t>Huit</w:t>
      </w:r>
      <w:r w:rsidR="00E67CAF" w:rsidRPr="0058048A">
        <w:rPr>
          <w:b/>
          <w:sz w:val="24"/>
          <w:szCs w:val="24"/>
          <w:lang w:val="fr-FR"/>
        </w:rPr>
        <w:t>ième session</w:t>
      </w:r>
    </w:p>
    <w:p w14:paraId="59B7DE4B" w14:textId="77777777" w:rsidR="00BE30AC" w:rsidRPr="0058048A" w:rsidRDefault="005F3FF4" w:rsidP="005F3FF4">
      <w:pPr>
        <w:spacing w:after="720"/>
        <w:outlineLvl w:val="1"/>
        <w:rPr>
          <w:b/>
          <w:sz w:val="24"/>
          <w:szCs w:val="24"/>
          <w:lang w:val="fr-FR"/>
        </w:rPr>
      </w:pPr>
      <w:r w:rsidRPr="0058048A">
        <w:rPr>
          <w:b/>
          <w:sz w:val="24"/>
          <w:szCs w:val="24"/>
          <w:lang w:val="fr-FR"/>
        </w:rPr>
        <w:t>Genève, 30 novembre – 4 décembre 2020</w:t>
      </w:r>
    </w:p>
    <w:p w14:paraId="5A0A74D1" w14:textId="25257896" w:rsidR="00BE30AC" w:rsidRPr="0058048A" w:rsidRDefault="00805BBD" w:rsidP="00246940">
      <w:pPr>
        <w:spacing w:after="360"/>
        <w:rPr>
          <w:caps/>
          <w:sz w:val="24"/>
          <w:lang w:val="fr-FR"/>
        </w:rPr>
      </w:pPr>
      <w:r w:rsidRPr="0058048A">
        <w:rPr>
          <w:caps/>
          <w:sz w:val="24"/>
          <w:lang w:val="fr-FR"/>
        </w:rPr>
        <w:t>Proposition relative à la révision de la norme</w:t>
      </w:r>
      <w:r w:rsidR="00F528C8" w:rsidRPr="0058048A">
        <w:rPr>
          <w:caps/>
          <w:sz w:val="24"/>
          <w:lang w:val="fr-FR"/>
        </w:rPr>
        <w:t> </w:t>
      </w:r>
      <w:r w:rsidRPr="0058048A">
        <w:rPr>
          <w:caps/>
          <w:sz w:val="24"/>
          <w:lang w:val="fr-FR"/>
        </w:rPr>
        <w:t>ST.27 de l</w:t>
      </w:r>
      <w:r w:rsidR="00E67CAF" w:rsidRPr="0058048A">
        <w:rPr>
          <w:caps/>
          <w:sz w:val="24"/>
          <w:lang w:val="fr-FR"/>
        </w:rPr>
        <w:t>’</w:t>
      </w:r>
      <w:r w:rsidRPr="0058048A">
        <w:rPr>
          <w:caps/>
          <w:sz w:val="24"/>
          <w:lang w:val="fr-FR"/>
        </w:rPr>
        <w:t>OMPI</w:t>
      </w:r>
    </w:p>
    <w:p w14:paraId="7F625902" w14:textId="70E59A30" w:rsidR="00BE30AC" w:rsidRPr="0058048A" w:rsidRDefault="00805BBD" w:rsidP="00246940">
      <w:pPr>
        <w:spacing w:after="1040"/>
        <w:rPr>
          <w:i/>
          <w:lang w:val="fr-FR"/>
        </w:rPr>
      </w:pPr>
      <w:bookmarkStart w:id="0" w:name="Prepared"/>
      <w:bookmarkEnd w:id="0"/>
      <w:r w:rsidRPr="0058048A">
        <w:rPr>
          <w:i/>
          <w:color w:val="000000"/>
          <w:lang w:val="fr-FR"/>
        </w:rPr>
        <w:t>Document établi par le responsable de l</w:t>
      </w:r>
      <w:r w:rsidR="00E67CAF" w:rsidRPr="0058048A">
        <w:rPr>
          <w:i/>
          <w:color w:val="000000"/>
          <w:lang w:val="fr-FR"/>
        </w:rPr>
        <w:t>’</w:t>
      </w:r>
      <w:r w:rsidRPr="0058048A">
        <w:rPr>
          <w:i/>
          <w:lang w:val="fr-FR"/>
        </w:rPr>
        <w:t>Équipe d</w:t>
      </w:r>
      <w:r w:rsidR="00E67CAF" w:rsidRPr="0058048A">
        <w:rPr>
          <w:i/>
          <w:lang w:val="fr-FR"/>
        </w:rPr>
        <w:t>’</w:t>
      </w:r>
      <w:r w:rsidRPr="0058048A">
        <w:rPr>
          <w:i/>
          <w:lang w:val="fr-FR"/>
        </w:rPr>
        <w:t>experts chargée de la situation juridique</w:t>
      </w:r>
    </w:p>
    <w:p w14:paraId="6F063B88" w14:textId="4CFAE114" w:rsidR="00BE30AC" w:rsidRPr="0058048A" w:rsidRDefault="00246940" w:rsidP="00246940">
      <w:pPr>
        <w:pStyle w:val="Heading2"/>
        <w:rPr>
          <w:lang w:val="fr-FR"/>
        </w:rPr>
      </w:pPr>
      <w:bookmarkStart w:id="1" w:name="_GoBack"/>
      <w:bookmarkEnd w:id="1"/>
      <w:r w:rsidRPr="0058048A">
        <w:rPr>
          <w:lang w:val="fr-FR"/>
        </w:rPr>
        <w:t>Rappel</w:t>
      </w:r>
    </w:p>
    <w:p w14:paraId="35B8FB70" w14:textId="3332C806" w:rsidR="00BE30AC" w:rsidRPr="0058048A" w:rsidRDefault="005F3FF4" w:rsidP="0058048A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À sa cinqu</w:t>
      </w:r>
      <w:r w:rsidR="00E67CAF" w:rsidRPr="0058048A">
        <w:rPr>
          <w:lang w:val="fr-FR"/>
        </w:rPr>
        <w:t>ième session</w:t>
      </w:r>
      <w:r w:rsidRPr="0058048A">
        <w:rPr>
          <w:lang w:val="fr-FR"/>
        </w:rPr>
        <w:t xml:space="preserve">, tenue </w:t>
      </w:r>
      <w:r w:rsidR="00E67CAF" w:rsidRPr="0058048A">
        <w:rPr>
          <w:lang w:val="fr-FR"/>
        </w:rPr>
        <w:t>en 2017</w:t>
      </w:r>
      <w:r w:rsidRPr="0058048A">
        <w:rPr>
          <w:lang w:val="fr-FR"/>
        </w:rPr>
        <w:t>, le Comité des normes de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OMPI (CWS) a demandé à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XML4IP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élaborer, conjointement avec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situation juridique, les composantes du schéma XML sur la base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de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OMPI afin de faciliter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échange de données sur la situation juridique des brevets.</w:t>
      </w:r>
      <w:r w:rsidR="005837A3" w:rsidRPr="0058048A">
        <w:rPr>
          <w:lang w:val="fr-FR"/>
        </w:rPr>
        <w:t xml:space="preserve">  </w:t>
      </w:r>
      <w:r w:rsidRPr="0058048A">
        <w:rPr>
          <w:lang w:val="fr-FR"/>
        </w:rPr>
        <w:t>Le Bureau international est le responsable de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experts.</w:t>
      </w:r>
      <w:r w:rsidR="000F7E0A" w:rsidRPr="0058048A">
        <w:rPr>
          <w:lang w:val="fr-FR"/>
        </w:rPr>
        <w:t xml:space="preserve">  </w:t>
      </w:r>
      <w:r w:rsidRPr="0058048A">
        <w:rPr>
          <w:lang w:val="fr-FR"/>
        </w:rPr>
        <w:t xml:space="preserve">(Voir les </w:t>
      </w:r>
      <w:r w:rsidR="00E67CAF" w:rsidRPr="0058048A">
        <w:rPr>
          <w:lang w:val="fr-FR"/>
        </w:rPr>
        <w:t>paragraphes 5</w:t>
      </w:r>
      <w:r w:rsidRPr="0058048A">
        <w:rPr>
          <w:lang w:val="fr-FR"/>
        </w:rPr>
        <w:t>0 et 53 du document</w:t>
      </w:r>
      <w:r w:rsidR="00D31D79" w:rsidRPr="0058048A">
        <w:rPr>
          <w:lang w:val="fr-FR"/>
        </w:rPr>
        <w:t> </w:t>
      </w:r>
      <w:r w:rsidRPr="0058048A">
        <w:rPr>
          <w:lang w:val="fr-FR"/>
        </w:rPr>
        <w:t>CWS/5/22.)</w:t>
      </w:r>
    </w:p>
    <w:p w14:paraId="5BDC837C" w14:textId="1EF1E6A7" w:rsidR="00BE30AC" w:rsidRPr="0058048A" w:rsidRDefault="005811D5" w:rsidP="0058048A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Ces travaux relèvent de la tâche n° 47, dont la description est la suivante</w:t>
      </w:r>
      <w:r w:rsidR="00E67CAF" w:rsidRPr="0058048A">
        <w:rPr>
          <w:lang w:val="fr-FR"/>
        </w:rPr>
        <w:t> :</w:t>
      </w:r>
      <w:r w:rsidRPr="0058048A">
        <w:rPr>
          <w:lang w:val="fr-FR"/>
        </w:rPr>
        <w:t xml:space="preserve"> “Élaborer des propositions concernant la révision des normes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et ST.87 de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OMPI, selon que de besoin;</w:t>
      </w:r>
      <w:r w:rsidR="00F528C8" w:rsidRPr="0058048A">
        <w:rPr>
          <w:lang w:val="fr-FR"/>
        </w:rPr>
        <w:t xml:space="preserve"> </w:t>
      </w:r>
      <w:r w:rsidRPr="0058048A">
        <w:rPr>
          <w:lang w:val="fr-FR"/>
        </w:rPr>
        <w:t xml:space="preserve"> élaborer une proposition de document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 xml:space="preserve">orientation pour les données sur la situation juridique des dessins et modèles industriels; </w:t>
      </w:r>
      <w:r w:rsidR="00F528C8" w:rsidRPr="0058048A">
        <w:rPr>
          <w:lang w:val="fr-FR"/>
        </w:rPr>
        <w:t xml:space="preserve"> </w:t>
      </w:r>
      <w:r w:rsidRPr="0058048A">
        <w:rPr>
          <w:lang w:val="fr-FR"/>
        </w:rPr>
        <w:t>élaborer une recommandation relative à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 xml:space="preserve">échange de données sur la situation juridique des marques par les offices de propriété industrielle; </w:t>
      </w:r>
      <w:r w:rsidR="00F528C8" w:rsidRPr="0058048A">
        <w:rPr>
          <w:lang w:val="fr-FR"/>
        </w:rPr>
        <w:t xml:space="preserve"> </w:t>
      </w:r>
      <w:r w:rsidRPr="0058048A">
        <w:rPr>
          <w:lang w:val="fr-FR"/>
        </w:rPr>
        <w:t>et soutenir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XML4IP dans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 xml:space="preserve">élaboration des composantes du schéma XML concernant les données relatives à la situation juridique” (voir le </w:t>
      </w:r>
      <w:r w:rsidR="00E67CAF" w:rsidRPr="0058048A">
        <w:rPr>
          <w:lang w:val="fr-FR"/>
        </w:rPr>
        <w:t>paragraphe 1</w:t>
      </w:r>
      <w:r w:rsidRPr="0058048A">
        <w:rPr>
          <w:lang w:val="fr-FR"/>
        </w:rPr>
        <w:t>14 du document</w:t>
      </w:r>
      <w:r w:rsidR="00D31D79" w:rsidRPr="0058048A">
        <w:rPr>
          <w:lang w:val="fr-FR"/>
        </w:rPr>
        <w:t> </w:t>
      </w:r>
      <w:r w:rsidRPr="0058048A">
        <w:rPr>
          <w:lang w:val="fr-FR"/>
        </w:rPr>
        <w:t>CWS/7/29).</w:t>
      </w:r>
    </w:p>
    <w:p w14:paraId="4DB899BE" w14:textId="59A54507" w:rsidR="00BE30AC" w:rsidRPr="0058048A" w:rsidRDefault="0058048A" w:rsidP="0058048A">
      <w:pPr>
        <w:pStyle w:val="Heading2"/>
        <w:keepLines/>
        <w:rPr>
          <w:lang w:val="fr-FR"/>
        </w:rPr>
      </w:pPr>
      <w:r>
        <w:rPr>
          <w:lang w:val="fr-FR"/>
        </w:rPr>
        <w:t>P</w:t>
      </w:r>
      <w:r w:rsidRPr="0058048A">
        <w:rPr>
          <w:lang w:val="fr-FR"/>
        </w:rPr>
        <w:t>roposition de révision de la norme </w:t>
      </w:r>
      <w:r>
        <w:rPr>
          <w:lang w:val="fr-FR"/>
        </w:rPr>
        <w:t>ST</w:t>
      </w:r>
      <w:r w:rsidRPr="0058048A">
        <w:rPr>
          <w:lang w:val="fr-FR"/>
        </w:rPr>
        <w:t>.27 de l’</w:t>
      </w:r>
      <w:r>
        <w:rPr>
          <w:lang w:val="fr-FR"/>
        </w:rPr>
        <w:t>OMPI</w:t>
      </w:r>
    </w:p>
    <w:p w14:paraId="12E2A835" w14:textId="65543C89" w:rsidR="00BE30AC" w:rsidRPr="0058048A" w:rsidRDefault="005A35DF" w:rsidP="0058048A">
      <w:pPr>
        <w:pStyle w:val="ONUMFS"/>
        <w:keepLines w:val="0"/>
        <w:rPr>
          <w:lang w:val="fr-FR"/>
        </w:rPr>
      </w:pPr>
      <w:r w:rsidRPr="0058048A">
        <w:rPr>
          <w:lang w:val="fr-FR"/>
        </w:rPr>
        <w:t xml:space="preserve">Durant les travaux sur les </w:t>
      </w:r>
      <w:r w:rsidR="00282E68" w:rsidRPr="0058048A">
        <w:rPr>
          <w:lang w:val="fr-FR"/>
        </w:rPr>
        <w:t>composantes</w:t>
      </w:r>
      <w:r w:rsidRPr="0058048A">
        <w:rPr>
          <w:lang w:val="fr-FR"/>
        </w:rPr>
        <w:t xml:space="preserve"> du schéma XML </w:t>
      </w:r>
      <w:r w:rsidR="00227E61" w:rsidRPr="0058048A">
        <w:rPr>
          <w:lang w:val="fr-FR"/>
        </w:rPr>
        <w:t>concernant les</w:t>
      </w:r>
      <w:r w:rsidRPr="0058048A">
        <w:rPr>
          <w:lang w:val="fr-FR"/>
        </w:rPr>
        <w:t xml:space="preserve"> données </w:t>
      </w:r>
      <w:proofErr w:type="gramStart"/>
      <w:r w:rsidR="00227E61" w:rsidRPr="0058048A">
        <w:rPr>
          <w:lang w:val="fr-FR"/>
        </w:rPr>
        <w:t>relatives</w:t>
      </w:r>
      <w:proofErr w:type="gramEnd"/>
      <w:r w:rsidR="00227E61" w:rsidRPr="0058048A">
        <w:rPr>
          <w:lang w:val="fr-FR"/>
        </w:rPr>
        <w:t xml:space="preserve"> à</w:t>
      </w:r>
      <w:r w:rsidRPr="0058048A">
        <w:rPr>
          <w:lang w:val="fr-FR"/>
        </w:rPr>
        <w:t xml:space="preserve"> la situation juridique des brevets,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XML4IP a constaté que des informations additionnelles devaient être stockées dans les champs de données supplémentaires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ST.27.</w:t>
      </w:r>
      <w:r w:rsidR="005837A3" w:rsidRPr="0058048A">
        <w:rPr>
          <w:lang w:val="fr-FR"/>
        </w:rPr>
        <w:t xml:space="preserve">  </w:t>
      </w:r>
      <w:r w:rsidRPr="0058048A">
        <w:rPr>
          <w:lang w:val="fr-FR"/>
        </w:rPr>
        <w:t>Après délibérations,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situation juridique recommande de réviser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 xml:space="preserve">ST.27 afin de mieux </w:t>
      </w:r>
      <w:r w:rsidRPr="0058048A">
        <w:rPr>
          <w:lang w:val="fr-FR"/>
        </w:rPr>
        <w:lastRenderedPageBreak/>
        <w:t>tenir compte de ces nouvelles informations et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assurer la conformité avec les composantes XML correspondantes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ST.96, intégrées dans la nouvelle version</w:t>
      </w:r>
      <w:r w:rsidR="00D31D79" w:rsidRPr="0058048A">
        <w:rPr>
          <w:lang w:val="fr-FR"/>
        </w:rPr>
        <w:t> </w:t>
      </w:r>
      <w:r w:rsidRPr="0058048A">
        <w:rPr>
          <w:lang w:val="fr-FR"/>
        </w:rPr>
        <w:t xml:space="preserve">4.0.  Les </w:t>
      </w:r>
      <w:r w:rsidR="00227E61" w:rsidRPr="0058048A">
        <w:rPr>
          <w:lang w:val="fr-FR"/>
        </w:rPr>
        <w:t>propositions de modification de</w:t>
      </w:r>
      <w:r w:rsidRPr="0058048A">
        <w:rPr>
          <w:lang w:val="fr-FR"/>
        </w:rPr>
        <w:t xml:space="preserve">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sont décrites dans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annexe du présent document.</w:t>
      </w:r>
    </w:p>
    <w:p w14:paraId="065CD852" w14:textId="70BCEF7D" w:rsidR="00BE30AC" w:rsidRPr="0058048A" w:rsidRDefault="00342A49" w:rsidP="00F04EE3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Les types de données supplémentaires additionnelles indiqués ci</w:t>
      </w:r>
      <w:r w:rsidR="006259D5">
        <w:rPr>
          <w:lang w:val="fr-FR"/>
        </w:rPr>
        <w:noBreakHyphen/>
      </w:r>
      <w:r w:rsidRPr="0058048A">
        <w:rPr>
          <w:lang w:val="fr-FR"/>
        </w:rPr>
        <w:t>après sont proposés pour la révision de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ST.27.</w:t>
      </w:r>
      <w:r w:rsidR="00F528C8" w:rsidRPr="0058048A">
        <w:rPr>
          <w:lang w:val="fr-FR"/>
        </w:rPr>
        <w:t xml:space="preserve"> </w:t>
      </w:r>
      <w:r w:rsidRPr="0058048A">
        <w:rPr>
          <w:lang w:val="fr-FR"/>
        </w:rPr>
        <w:t xml:space="preserve"> En ce qui concerne les champs de données supplémentaires existants, toutes les données supplémentaires sont facultatives.</w:t>
      </w:r>
      <w:r w:rsidR="0094414A" w:rsidRPr="0058048A">
        <w:rPr>
          <w:lang w:val="fr-FR"/>
        </w:rPr>
        <w:t xml:space="preserve">  </w:t>
      </w:r>
      <w:r w:rsidRPr="0058048A">
        <w:rPr>
          <w:lang w:val="fr-FR"/>
        </w:rPr>
        <w:t>Chaque office de propriété intellectuelle peut choisir les données supplémentaires, le cas échéant, qu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il fournit.</w:t>
      </w:r>
      <w:r w:rsidR="00BA2534" w:rsidRPr="0058048A">
        <w:rPr>
          <w:lang w:val="fr-FR"/>
        </w:rPr>
        <w:t xml:space="preserve">  </w:t>
      </w:r>
      <w:r w:rsidRPr="0058048A">
        <w:rPr>
          <w:lang w:val="fr-FR"/>
        </w:rPr>
        <w:t xml:space="preserve">Les </w:t>
      </w:r>
      <w:r w:rsidR="00227E61" w:rsidRPr="0058048A">
        <w:rPr>
          <w:lang w:val="fr-FR"/>
        </w:rPr>
        <w:t>nouveaux éléments</w:t>
      </w:r>
      <w:r w:rsidRPr="0058048A">
        <w:rPr>
          <w:lang w:val="fr-FR"/>
        </w:rPr>
        <w:t xml:space="preserve"> de données sont les suivants</w:t>
      </w:r>
      <w:r w:rsidR="00E67CAF" w:rsidRPr="0058048A">
        <w:rPr>
          <w:lang w:val="fr-FR"/>
        </w:rPr>
        <w:t> :</w:t>
      </w:r>
    </w:p>
    <w:p w14:paraId="5CF0CE09" w14:textId="241F17F4" w:rsidR="00BE30AC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u</w:t>
      </w:r>
      <w:r w:rsidR="00342A49" w:rsidRPr="0058048A">
        <w:rPr>
          <w:lang w:val="fr-FR"/>
        </w:rPr>
        <w:t>ne</w:t>
      </w:r>
      <w:proofErr w:type="gramEnd"/>
      <w:r w:rsidR="00342A49" w:rsidRPr="0058048A">
        <w:rPr>
          <w:lang w:val="fr-FR"/>
        </w:rPr>
        <w:t xml:space="preserve"> date pour un événement antérieur qui est lié à l</w:t>
      </w:r>
      <w:r w:rsidR="00E67CAF" w:rsidRPr="0058048A">
        <w:rPr>
          <w:lang w:val="fr-FR"/>
        </w:rPr>
        <w:t>’</w:t>
      </w:r>
      <w:r w:rsidR="00342A49" w:rsidRPr="0058048A">
        <w:rPr>
          <w:lang w:val="fr-FR"/>
        </w:rPr>
        <w:t>événement enregistré</w:t>
      </w:r>
      <w:r w:rsidR="00E66B05" w:rsidRPr="0058048A">
        <w:rPr>
          <w:lang w:val="fr-FR"/>
        </w:rPr>
        <w:t>;</w:t>
      </w:r>
    </w:p>
    <w:p w14:paraId="58CA1AC9" w14:textId="42920AA0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u</w:t>
      </w:r>
      <w:r w:rsidR="00342A49" w:rsidRPr="0058048A">
        <w:rPr>
          <w:lang w:val="fr-FR"/>
        </w:rPr>
        <w:t>ne</w:t>
      </w:r>
      <w:proofErr w:type="gramEnd"/>
      <w:r w:rsidR="00342A49" w:rsidRPr="0058048A">
        <w:rPr>
          <w:lang w:val="fr-FR"/>
        </w:rPr>
        <w:t xml:space="preserve"> citation relative à une règle, un règlement, un statut, une disposition légale ou tout autre fondement d</w:t>
      </w:r>
      <w:r w:rsidR="00E67CAF" w:rsidRPr="0058048A">
        <w:rPr>
          <w:lang w:val="fr-FR"/>
        </w:rPr>
        <w:t>’</w:t>
      </w:r>
      <w:r w:rsidR="00342A49" w:rsidRPr="0058048A">
        <w:rPr>
          <w:lang w:val="fr-FR"/>
        </w:rPr>
        <w:t>une décision;</w:t>
      </w:r>
    </w:p>
    <w:p w14:paraId="2BAE34C7" w14:textId="7E8A4916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u</w:t>
      </w:r>
      <w:r w:rsidR="00342A49" w:rsidRPr="0058048A">
        <w:rPr>
          <w:lang w:val="fr-FR"/>
        </w:rPr>
        <w:t>ne</w:t>
      </w:r>
      <w:proofErr w:type="gramEnd"/>
      <w:r w:rsidR="00342A49" w:rsidRPr="0058048A">
        <w:rPr>
          <w:lang w:val="fr-FR"/>
        </w:rPr>
        <w:t xml:space="preserve"> raison pour laquelle la demande ou le droit de propriété intellectuelle n</w:t>
      </w:r>
      <w:r w:rsidR="00E67CAF" w:rsidRPr="0058048A">
        <w:rPr>
          <w:lang w:val="fr-FR"/>
        </w:rPr>
        <w:t>’</w:t>
      </w:r>
      <w:r w:rsidR="00342A49" w:rsidRPr="0058048A">
        <w:rPr>
          <w:lang w:val="fr-FR"/>
        </w:rPr>
        <w:t>est pas en vigueur (par exemple, retrait, abandon, extinction);</w:t>
      </w:r>
    </w:p>
    <w:p w14:paraId="010EF381" w14:textId="05868FDA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u</w:t>
      </w:r>
      <w:r w:rsidR="00042A4E" w:rsidRPr="0058048A">
        <w:rPr>
          <w:lang w:val="fr-FR"/>
        </w:rPr>
        <w:t>n</w:t>
      </w:r>
      <w:proofErr w:type="gramEnd"/>
      <w:r w:rsidR="00042A4E" w:rsidRPr="0058048A">
        <w:rPr>
          <w:lang w:val="fr-FR"/>
        </w:rPr>
        <w:t xml:space="preserve"> indicateur </w:t>
      </w:r>
      <w:r w:rsidR="00227E61" w:rsidRPr="0058048A">
        <w:rPr>
          <w:lang w:val="fr-FR"/>
        </w:rPr>
        <w:t xml:space="preserve">de </w:t>
      </w:r>
      <w:r w:rsidR="00042A4E" w:rsidRPr="0058048A">
        <w:rPr>
          <w:lang w:val="fr-FR"/>
        </w:rPr>
        <w:t>droits d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 xml:space="preserve">usage antérieur </w:t>
      </w:r>
      <w:r w:rsidR="00227E61" w:rsidRPr="0058048A">
        <w:rPr>
          <w:lang w:val="fr-FR"/>
        </w:rPr>
        <w:t>qui sont ou peuvent être attachés à la</w:t>
      </w:r>
      <w:r w:rsidR="00042A4E" w:rsidRPr="0058048A">
        <w:rPr>
          <w:lang w:val="fr-FR"/>
        </w:rPr>
        <w:t xml:space="preserve"> demande ou </w:t>
      </w:r>
      <w:r w:rsidR="00227E61" w:rsidRPr="0058048A">
        <w:rPr>
          <w:lang w:val="fr-FR"/>
        </w:rPr>
        <w:t>au</w:t>
      </w:r>
      <w:r w:rsidR="00042A4E" w:rsidRPr="0058048A">
        <w:rPr>
          <w:lang w:val="fr-FR"/>
        </w:rPr>
        <w:t xml:space="preserve"> droit de propriété intellectuelle, si l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>office de propriété intellectuelle a accès à ces données;</w:t>
      </w:r>
    </w:p>
    <w:p w14:paraId="62EDE452" w14:textId="05B9DC04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042A4E" w:rsidRPr="0058048A">
        <w:rPr>
          <w:lang w:val="fr-FR"/>
        </w:rPr>
        <w:t>es</w:t>
      </w:r>
      <w:proofErr w:type="gramEnd"/>
      <w:r w:rsidR="00042A4E" w:rsidRPr="0058048A">
        <w:rPr>
          <w:lang w:val="fr-FR"/>
        </w:rPr>
        <w:t xml:space="preserve"> données sur la publication, les documents de priorité ou d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>autres documents connexes;</w:t>
      </w:r>
    </w:p>
    <w:p w14:paraId="18ABAC21" w14:textId="54B62FF0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042A4E" w:rsidRPr="0058048A">
        <w:rPr>
          <w:lang w:val="fr-FR"/>
        </w:rPr>
        <w:t>es</w:t>
      </w:r>
      <w:proofErr w:type="gramEnd"/>
      <w:r w:rsidR="00042A4E" w:rsidRPr="0058048A">
        <w:rPr>
          <w:lang w:val="fr-FR"/>
        </w:rPr>
        <w:t xml:space="preserve"> données sur une procédure d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>examen qui a été menée (par exemple, la date d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>opposition, la langue, le numéro de référence);</w:t>
      </w:r>
    </w:p>
    <w:p w14:paraId="00895B5F" w14:textId="25FB390E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227E61" w:rsidRPr="0058048A">
        <w:rPr>
          <w:lang w:val="fr-FR"/>
        </w:rPr>
        <w:t>es</w:t>
      </w:r>
      <w:proofErr w:type="gramEnd"/>
      <w:r w:rsidR="00227E61" w:rsidRPr="0058048A">
        <w:rPr>
          <w:lang w:val="fr-FR"/>
        </w:rPr>
        <w:t xml:space="preserve"> d</w:t>
      </w:r>
      <w:r w:rsidR="00042A4E" w:rsidRPr="0058048A">
        <w:rPr>
          <w:lang w:val="fr-FR"/>
        </w:rPr>
        <w:t>onnées associées à la demande</w:t>
      </w:r>
      <w:r w:rsidR="00E67CAF" w:rsidRPr="0058048A">
        <w:rPr>
          <w:lang w:val="fr-FR"/>
        </w:rPr>
        <w:t> :</w:t>
      </w:r>
      <w:r w:rsidR="00042A4E" w:rsidRPr="0058048A">
        <w:rPr>
          <w:lang w:val="fr-FR"/>
        </w:rPr>
        <w:t xml:space="preserve"> titre de l</w:t>
      </w:r>
      <w:r w:rsidR="00E67CAF" w:rsidRPr="0058048A">
        <w:rPr>
          <w:lang w:val="fr-FR"/>
        </w:rPr>
        <w:t>’</w:t>
      </w:r>
      <w:r w:rsidR="00042A4E" w:rsidRPr="0058048A">
        <w:rPr>
          <w:lang w:val="fr-FR"/>
        </w:rPr>
        <w:t>invention, données relatives à la priorité, données de classement;</w:t>
      </w:r>
    </w:p>
    <w:p w14:paraId="2BE7884F" w14:textId="61909A86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227E61" w:rsidRPr="0058048A">
        <w:rPr>
          <w:lang w:val="fr-FR"/>
        </w:rPr>
        <w:t>es</w:t>
      </w:r>
      <w:proofErr w:type="gramEnd"/>
      <w:r w:rsidR="00227E61" w:rsidRPr="0058048A">
        <w:rPr>
          <w:lang w:val="fr-FR"/>
        </w:rPr>
        <w:t xml:space="preserve"> d</w:t>
      </w:r>
      <w:r w:rsidR="00633DBB" w:rsidRPr="0058048A">
        <w:rPr>
          <w:lang w:val="fr-FR"/>
        </w:rPr>
        <w:t>onnées relatives à l</w:t>
      </w:r>
      <w:r w:rsidR="00E67CAF" w:rsidRPr="0058048A">
        <w:rPr>
          <w:lang w:val="fr-FR"/>
        </w:rPr>
        <w:t>’</w:t>
      </w:r>
      <w:r w:rsidR="00633DBB" w:rsidRPr="0058048A">
        <w:rPr>
          <w:lang w:val="fr-FR"/>
        </w:rPr>
        <w:t>inventeur (par exemple, nom, lieu, employeur);</w:t>
      </w:r>
    </w:p>
    <w:p w14:paraId="7CB1D025" w14:textId="7A68D407" w:rsidR="00E67CAF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227E61" w:rsidRPr="0058048A">
        <w:rPr>
          <w:lang w:val="fr-FR"/>
        </w:rPr>
        <w:t>es</w:t>
      </w:r>
      <w:proofErr w:type="gramEnd"/>
      <w:r w:rsidR="00227E61" w:rsidRPr="0058048A">
        <w:rPr>
          <w:lang w:val="fr-FR"/>
        </w:rPr>
        <w:t xml:space="preserve"> d</w:t>
      </w:r>
      <w:r w:rsidR="00633DBB" w:rsidRPr="0058048A">
        <w:rPr>
          <w:lang w:val="fr-FR"/>
        </w:rPr>
        <w:t>onnées sur les transferts de propriété, telles que le numéro d</w:t>
      </w:r>
      <w:r w:rsidR="00E67CAF" w:rsidRPr="0058048A">
        <w:rPr>
          <w:lang w:val="fr-FR"/>
        </w:rPr>
        <w:t>’</w:t>
      </w:r>
      <w:r w:rsidR="00633DBB" w:rsidRPr="0058048A">
        <w:rPr>
          <w:lang w:val="fr-FR"/>
        </w:rPr>
        <w:t>enregistrement de la cession;</w:t>
      </w:r>
    </w:p>
    <w:p w14:paraId="2968AD54" w14:textId="22CC99FB" w:rsidR="00BE30AC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6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227E61" w:rsidRPr="0058048A">
        <w:rPr>
          <w:lang w:val="fr-FR"/>
        </w:rPr>
        <w:t>es</w:t>
      </w:r>
      <w:proofErr w:type="gramEnd"/>
      <w:r w:rsidR="00227E61" w:rsidRPr="0058048A">
        <w:rPr>
          <w:lang w:val="fr-FR"/>
        </w:rPr>
        <w:t xml:space="preserve"> d</w:t>
      </w:r>
      <w:r w:rsidR="00633DBB" w:rsidRPr="0058048A">
        <w:rPr>
          <w:lang w:val="fr-FR"/>
        </w:rPr>
        <w:t xml:space="preserve">onnées relatives aux licences étendues, </w:t>
      </w:r>
      <w:r w:rsidR="00E67CAF" w:rsidRPr="0058048A">
        <w:rPr>
          <w:lang w:val="fr-FR"/>
        </w:rPr>
        <w:t>y compris</w:t>
      </w:r>
      <w:r w:rsidR="00633DBB" w:rsidRPr="0058048A">
        <w:rPr>
          <w:lang w:val="fr-FR"/>
        </w:rPr>
        <w:t xml:space="preserve"> les dates de début et de fin; </w:t>
      </w:r>
      <w:r w:rsidR="00F528C8" w:rsidRPr="0058048A">
        <w:rPr>
          <w:lang w:val="fr-FR"/>
        </w:rPr>
        <w:t xml:space="preserve"> </w:t>
      </w:r>
      <w:r w:rsidR="00633DBB" w:rsidRPr="0058048A">
        <w:rPr>
          <w:lang w:val="fr-FR"/>
        </w:rPr>
        <w:t>et</w:t>
      </w:r>
    </w:p>
    <w:p w14:paraId="16236DC7" w14:textId="5E436DB5" w:rsidR="00BE30AC" w:rsidRPr="0058048A" w:rsidRDefault="00F04EE3" w:rsidP="00F04EE3">
      <w:pPr>
        <w:pStyle w:val="Bulletedlistlevel2"/>
        <w:tabs>
          <w:tab w:val="clear" w:pos="567"/>
          <w:tab w:val="num" w:pos="1134"/>
        </w:tabs>
        <w:spacing w:after="220"/>
        <w:ind w:left="1134" w:hanging="567"/>
        <w:rPr>
          <w:lang w:val="fr-FR"/>
        </w:rPr>
      </w:pPr>
      <w:proofErr w:type="gramStart"/>
      <w:r>
        <w:rPr>
          <w:lang w:val="fr-FR"/>
        </w:rPr>
        <w:t>d</w:t>
      </w:r>
      <w:r w:rsidR="00227E61" w:rsidRPr="0058048A">
        <w:rPr>
          <w:lang w:val="fr-FR"/>
        </w:rPr>
        <w:t>es</w:t>
      </w:r>
      <w:proofErr w:type="gramEnd"/>
      <w:r w:rsidR="00227E61" w:rsidRPr="0058048A">
        <w:rPr>
          <w:lang w:val="fr-FR"/>
        </w:rPr>
        <w:t xml:space="preserve"> précisions sur le</w:t>
      </w:r>
      <w:r w:rsidR="00633DBB" w:rsidRPr="0058048A">
        <w:rPr>
          <w:lang w:val="fr-FR"/>
        </w:rPr>
        <w:t xml:space="preserve"> paiements des taxes, tels que l</w:t>
      </w:r>
      <w:r w:rsidR="00E67CAF" w:rsidRPr="0058048A">
        <w:rPr>
          <w:lang w:val="fr-FR"/>
        </w:rPr>
        <w:t>’</w:t>
      </w:r>
      <w:r w:rsidR="00633DBB" w:rsidRPr="0058048A">
        <w:rPr>
          <w:lang w:val="fr-FR"/>
        </w:rPr>
        <w:t>année du paiement et le statut du paiement (par exemple terminé, en cours de traitement, non commencé).</w:t>
      </w:r>
    </w:p>
    <w:p w14:paraId="0C57C13B" w14:textId="2B7E4F9B" w:rsidR="00E67CAF" w:rsidRPr="0058048A" w:rsidRDefault="00633DBB" w:rsidP="00F04EE3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fournit uniquement une indication générale des types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informations stockées en tant que données supplémentaires.</w:t>
      </w:r>
      <w:r w:rsidR="00FC659E" w:rsidRPr="0058048A">
        <w:rPr>
          <w:lang w:val="fr-FR"/>
        </w:rPr>
        <w:t xml:space="preserve">  </w:t>
      </w:r>
      <w:r w:rsidR="00BE30AC" w:rsidRPr="0058048A">
        <w:rPr>
          <w:lang w:val="fr-FR"/>
        </w:rPr>
        <w:t>Des données complètes sur les informations pouvant être stockées figurent dans les composantes du schéma XML de la norme</w:t>
      </w:r>
      <w:r w:rsidR="00F528C8" w:rsidRPr="0058048A">
        <w:rPr>
          <w:lang w:val="fr-FR"/>
        </w:rPr>
        <w:t> </w:t>
      </w:r>
      <w:r w:rsidR="00BE30AC" w:rsidRPr="0058048A">
        <w:rPr>
          <w:lang w:val="fr-FR"/>
        </w:rPr>
        <w:t>ST.96, version</w:t>
      </w:r>
      <w:r w:rsidR="00D31D79" w:rsidRPr="0058048A">
        <w:rPr>
          <w:lang w:val="fr-FR"/>
        </w:rPr>
        <w:t> </w:t>
      </w:r>
      <w:r w:rsidR="00BE30AC" w:rsidRPr="0058048A">
        <w:rPr>
          <w:lang w:val="fr-FR"/>
        </w:rPr>
        <w:t>4.0, publiée sur le site</w:t>
      </w:r>
      <w:r w:rsidR="00F528C8" w:rsidRPr="0058048A">
        <w:rPr>
          <w:lang w:val="fr-FR"/>
        </w:rPr>
        <w:t> </w:t>
      </w:r>
      <w:r w:rsidR="00BE30AC" w:rsidRPr="0058048A">
        <w:rPr>
          <w:lang w:val="fr-FR"/>
        </w:rPr>
        <w:t>Web de l</w:t>
      </w:r>
      <w:r w:rsidR="00E67CAF" w:rsidRPr="0058048A">
        <w:rPr>
          <w:lang w:val="fr-FR"/>
        </w:rPr>
        <w:t>’</w:t>
      </w:r>
      <w:r w:rsidR="00BE30AC" w:rsidRPr="0058048A">
        <w:rPr>
          <w:lang w:val="fr-FR"/>
        </w:rPr>
        <w:t>OMPI.</w:t>
      </w:r>
    </w:p>
    <w:p w14:paraId="3E242FC1" w14:textId="1E8E5DEC" w:rsidR="00BE30AC" w:rsidRPr="0058048A" w:rsidRDefault="00BE30AC" w:rsidP="00F04EE3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En outre, plusieurs améliorations ont été apportées aux éléments de données supplémentaires existants</w:t>
      </w:r>
      <w:r w:rsidR="00E67CAF" w:rsidRPr="0058048A">
        <w:rPr>
          <w:lang w:val="fr-FR"/>
        </w:rPr>
        <w:t> :</w:t>
      </w:r>
    </w:p>
    <w:p w14:paraId="65B17DF8" w14:textId="427126E2" w:rsidR="00BE30AC" w:rsidRPr="0058048A" w:rsidRDefault="006259D5" w:rsidP="00F04EE3">
      <w:pPr>
        <w:pStyle w:val="ONUMFS"/>
        <w:keepLines w:val="0"/>
        <w:numPr>
          <w:ilvl w:val="0"/>
          <w:numId w:val="21"/>
        </w:numPr>
        <w:tabs>
          <w:tab w:val="clear" w:pos="567"/>
          <w:tab w:val="num" w:pos="1134"/>
        </w:tabs>
        <w:spacing w:after="60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</w:t>
      </w:r>
      <w:r w:rsidR="00BE30AC" w:rsidRPr="0058048A">
        <w:rPr>
          <w:szCs w:val="22"/>
          <w:lang w:val="fr-FR"/>
        </w:rPr>
        <w:t>es</w:t>
      </w:r>
      <w:proofErr w:type="gramEnd"/>
      <w:r w:rsidR="00BE30AC" w:rsidRPr="0058048A">
        <w:rPr>
          <w:szCs w:val="22"/>
          <w:lang w:val="fr-FR"/>
        </w:rPr>
        <w:t xml:space="preserve"> éléments de données communs à toutes les catégories sont énumérés dans une cellule séparée au début du tableau, plutôt que d</w:t>
      </w:r>
      <w:r w:rsidR="00E67CAF" w:rsidRPr="0058048A">
        <w:rPr>
          <w:szCs w:val="22"/>
          <w:lang w:val="fr-FR"/>
        </w:rPr>
        <w:t>’</w:t>
      </w:r>
      <w:r w:rsidR="00BE30AC" w:rsidRPr="0058048A">
        <w:rPr>
          <w:szCs w:val="22"/>
          <w:lang w:val="fr-FR"/>
        </w:rPr>
        <w:t>être répétés pour chaque catégorie;</w:t>
      </w:r>
    </w:p>
    <w:p w14:paraId="12A7A27E" w14:textId="7722D63A" w:rsidR="00BE30AC" w:rsidRPr="0058048A" w:rsidRDefault="006259D5" w:rsidP="00F04EE3">
      <w:pPr>
        <w:pStyle w:val="ONUMFS"/>
        <w:keepLines w:val="0"/>
        <w:numPr>
          <w:ilvl w:val="0"/>
          <w:numId w:val="21"/>
        </w:numPr>
        <w:tabs>
          <w:tab w:val="clear" w:pos="567"/>
          <w:tab w:val="num" w:pos="1134"/>
        </w:tabs>
        <w:spacing w:after="60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</w:t>
      </w:r>
      <w:r w:rsidR="00A53977" w:rsidRPr="0058048A">
        <w:rPr>
          <w:szCs w:val="22"/>
          <w:lang w:val="fr-FR"/>
        </w:rPr>
        <w:t>es</w:t>
      </w:r>
      <w:proofErr w:type="gramEnd"/>
      <w:r w:rsidR="00A53977" w:rsidRPr="0058048A">
        <w:rPr>
          <w:szCs w:val="22"/>
          <w:lang w:val="fr-FR"/>
        </w:rPr>
        <w:t xml:space="preserve"> informations sur les noms </w:t>
      </w:r>
      <w:r w:rsidR="00BE30AC" w:rsidRPr="0058048A">
        <w:rPr>
          <w:szCs w:val="22"/>
          <w:lang w:val="fr-FR"/>
        </w:rPr>
        <w:t>ou les coordonnées ont été généralisées et combinées.</w:t>
      </w:r>
      <w:r w:rsidR="00CC0BB7" w:rsidRPr="0058048A">
        <w:rPr>
          <w:lang w:val="fr-FR"/>
        </w:rPr>
        <w:t xml:space="preserve">  </w:t>
      </w:r>
      <w:r w:rsidR="00BE30AC" w:rsidRPr="0058048A">
        <w:rPr>
          <w:szCs w:val="22"/>
          <w:lang w:val="fr-FR"/>
        </w:rPr>
        <w:t xml:space="preserve">Par exemple, Nom des déposants est devenu Données </w:t>
      </w:r>
      <w:r w:rsidR="00A53977" w:rsidRPr="0058048A">
        <w:rPr>
          <w:szCs w:val="22"/>
          <w:lang w:val="fr-FR"/>
        </w:rPr>
        <w:t>relatives aux</w:t>
      </w:r>
      <w:r w:rsidR="00BE30AC" w:rsidRPr="0058048A">
        <w:rPr>
          <w:szCs w:val="22"/>
          <w:lang w:val="fr-FR"/>
        </w:rPr>
        <w:t xml:space="preserve"> déposants, Nom du preneur de licence et Code de pays du preneur de licence est devenu Données </w:t>
      </w:r>
      <w:r w:rsidR="00A53977" w:rsidRPr="0058048A">
        <w:rPr>
          <w:szCs w:val="22"/>
          <w:lang w:val="fr-FR"/>
        </w:rPr>
        <w:t>relatives aux</w:t>
      </w:r>
      <w:r w:rsidR="00BE30AC" w:rsidRPr="0058048A">
        <w:rPr>
          <w:szCs w:val="22"/>
          <w:lang w:val="fr-FR"/>
        </w:rPr>
        <w:t xml:space="preserve"> preneur</w:t>
      </w:r>
      <w:r w:rsidR="00A53977" w:rsidRPr="0058048A">
        <w:rPr>
          <w:szCs w:val="22"/>
          <w:lang w:val="fr-FR"/>
        </w:rPr>
        <w:t>s</w:t>
      </w:r>
      <w:r w:rsidR="00BE30AC" w:rsidRPr="0058048A">
        <w:rPr>
          <w:szCs w:val="22"/>
          <w:lang w:val="fr-FR"/>
        </w:rPr>
        <w:t xml:space="preserve"> de licence, etc.;</w:t>
      </w:r>
    </w:p>
    <w:p w14:paraId="6CBA7259" w14:textId="0E441494" w:rsidR="00BE30AC" w:rsidRPr="0058048A" w:rsidRDefault="006259D5" w:rsidP="00F04EE3">
      <w:pPr>
        <w:pStyle w:val="ONUMFS"/>
        <w:keepLines w:val="0"/>
        <w:numPr>
          <w:ilvl w:val="0"/>
          <w:numId w:val="21"/>
        </w:numPr>
        <w:tabs>
          <w:tab w:val="clear" w:pos="567"/>
          <w:tab w:val="num" w:pos="1134"/>
        </w:tabs>
        <w:spacing w:after="60"/>
        <w:ind w:left="1134" w:hanging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</w:t>
      </w:r>
      <w:r w:rsidR="00E67CAF" w:rsidRPr="0058048A">
        <w:rPr>
          <w:szCs w:val="22"/>
          <w:lang w:val="fr-FR"/>
        </w:rPr>
        <w:t>’</w:t>
      </w:r>
      <w:r w:rsidR="00BE30AC" w:rsidRPr="0058048A">
        <w:rPr>
          <w:szCs w:val="22"/>
          <w:lang w:val="fr-FR"/>
        </w:rPr>
        <w:t>indicateur</w:t>
      </w:r>
      <w:proofErr w:type="gramEnd"/>
      <w:r w:rsidR="00BE30AC" w:rsidRPr="0058048A">
        <w:rPr>
          <w:szCs w:val="22"/>
          <w:lang w:val="fr-FR"/>
        </w:rPr>
        <w:t xml:space="preserve"> d</w:t>
      </w:r>
      <w:r w:rsidR="00E67CAF" w:rsidRPr="0058048A">
        <w:rPr>
          <w:szCs w:val="22"/>
          <w:lang w:val="fr-FR"/>
        </w:rPr>
        <w:t>’</w:t>
      </w:r>
      <w:r w:rsidR="00BE30AC" w:rsidRPr="0058048A">
        <w:rPr>
          <w:szCs w:val="22"/>
          <w:lang w:val="fr-FR"/>
        </w:rPr>
        <w:t>annulation ou de révocation a été renommé Date de début de l</w:t>
      </w:r>
      <w:r w:rsidR="00E67CAF" w:rsidRPr="0058048A">
        <w:rPr>
          <w:szCs w:val="22"/>
          <w:lang w:val="fr-FR"/>
        </w:rPr>
        <w:t>’</w:t>
      </w:r>
      <w:r w:rsidR="00BE30AC" w:rsidRPr="0058048A">
        <w:rPr>
          <w:szCs w:val="22"/>
          <w:lang w:val="fr-FR"/>
        </w:rPr>
        <w:t>effet juridique;  et</w:t>
      </w:r>
    </w:p>
    <w:p w14:paraId="6F3D96ED" w14:textId="66C05232" w:rsidR="00BE30AC" w:rsidRPr="0058048A" w:rsidRDefault="00BE30AC" w:rsidP="00F04EE3">
      <w:pPr>
        <w:pStyle w:val="ONUMFS"/>
        <w:keepLines w:val="0"/>
        <w:numPr>
          <w:ilvl w:val="0"/>
          <w:numId w:val="21"/>
        </w:numPr>
        <w:tabs>
          <w:tab w:val="clear" w:pos="567"/>
          <w:tab w:val="num" w:pos="1134"/>
        </w:tabs>
        <w:ind w:left="1134" w:hanging="567"/>
        <w:rPr>
          <w:lang w:val="fr-FR"/>
        </w:rPr>
      </w:pPr>
      <w:r w:rsidRPr="0058048A">
        <w:rPr>
          <w:lang w:val="fr-FR"/>
        </w:rPr>
        <w:t xml:space="preserve">Les colonnes </w:t>
      </w:r>
      <w:r w:rsidR="003515F6" w:rsidRPr="0058048A">
        <w:rPr>
          <w:lang w:val="fr-FR"/>
        </w:rPr>
        <w:t>T</w:t>
      </w:r>
      <w:r w:rsidR="00F528C8" w:rsidRPr="0058048A">
        <w:rPr>
          <w:lang w:val="fr-FR"/>
        </w:rPr>
        <w:t>itre</w:t>
      </w:r>
      <w:r w:rsidRPr="0058048A">
        <w:rPr>
          <w:lang w:val="fr-FR"/>
        </w:rPr>
        <w:t xml:space="preserve"> et Description ont été fusionnées, le tableau résultant étant plus facile à lire et occupant 33% de pages en moins qu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auparavant.</w:t>
      </w:r>
    </w:p>
    <w:p w14:paraId="6888B45F" w14:textId="3290027B" w:rsidR="00BE30AC" w:rsidRPr="0058048A" w:rsidRDefault="00BE30AC" w:rsidP="00F04EE3">
      <w:pPr>
        <w:pStyle w:val="ONUMFS"/>
        <w:keepLines w:val="0"/>
        <w:rPr>
          <w:lang w:val="fr-FR"/>
        </w:rPr>
      </w:pPr>
      <w:r w:rsidRPr="0058048A">
        <w:rPr>
          <w:lang w:val="fr-FR"/>
        </w:rPr>
        <w:lastRenderedPageBreak/>
        <w:t>Le corps du texte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sera modifié comme suit pour refléter ces changements</w:t>
      </w:r>
      <w:r w:rsidR="00E67CAF" w:rsidRPr="0058048A">
        <w:rPr>
          <w:lang w:val="fr-FR"/>
        </w:rPr>
        <w:t> :</w:t>
      </w:r>
    </w:p>
    <w:p w14:paraId="4668B51E" w14:textId="2CE2148A" w:rsidR="00BE30AC" w:rsidRPr="0058048A" w:rsidRDefault="006E082B" w:rsidP="006259D5">
      <w:pPr>
        <w:pStyle w:val="ONUMFS"/>
        <w:keepLines w:val="0"/>
        <w:numPr>
          <w:ilvl w:val="0"/>
          <w:numId w:val="0"/>
        </w:numPr>
        <w:tabs>
          <w:tab w:val="left" w:pos="1134"/>
        </w:tabs>
        <w:ind w:left="567"/>
        <w:rPr>
          <w:szCs w:val="22"/>
          <w:lang w:val="fr-FR"/>
        </w:rPr>
      </w:pPr>
      <w:r w:rsidRPr="0058048A">
        <w:rPr>
          <w:szCs w:val="22"/>
          <w:lang w:val="fr-FR"/>
        </w:rPr>
        <w:t>“49.</w:t>
      </w:r>
      <w:r w:rsidR="006259D5">
        <w:rPr>
          <w:szCs w:val="22"/>
          <w:lang w:val="fr-FR"/>
        </w:rPr>
        <w:tab/>
      </w:r>
      <w:r w:rsidRPr="0058048A">
        <w:rPr>
          <w:szCs w:val="22"/>
          <w:lang w:val="fr-FR"/>
        </w:rPr>
        <w:t>Les données supplémentaires minimales relatives aux événements par catégorie sont indiquées à l</w:t>
      </w:r>
      <w:r w:rsidR="00E67CAF" w:rsidRPr="0058048A">
        <w:rPr>
          <w:szCs w:val="22"/>
          <w:lang w:val="fr-FR"/>
        </w:rPr>
        <w:t>’annexe I</w:t>
      </w:r>
      <w:r w:rsidRPr="0058048A">
        <w:rPr>
          <w:szCs w:val="22"/>
          <w:lang w:val="fr-FR"/>
        </w:rPr>
        <w:t xml:space="preserve">I. </w:t>
      </w:r>
      <w:r w:rsidR="00F528C8" w:rsidRPr="0058048A">
        <w:rPr>
          <w:szCs w:val="22"/>
          <w:lang w:val="fr-FR"/>
        </w:rPr>
        <w:t xml:space="preserve"> </w:t>
      </w:r>
      <w:r w:rsidRPr="0058048A">
        <w:rPr>
          <w:szCs w:val="22"/>
          <w:lang w:val="fr-FR"/>
        </w:rPr>
        <w:t>Il existe deux</w:t>
      </w:r>
      <w:r w:rsidR="00F528C8" w:rsidRPr="0058048A">
        <w:rPr>
          <w:szCs w:val="22"/>
          <w:lang w:val="fr-FR"/>
        </w:rPr>
        <w:t> </w:t>
      </w:r>
      <w:r w:rsidRPr="0058048A">
        <w:rPr>
          <w:szCs w:val="22"/>
          <w:lang w:val="fr-FR"/>
        </w:rPr>
        <w:t>groupes de données</w:t>
      </w:r>
      <w:r w:rsidR="00E67CAF" w:rsidRPr="0058048A">
        <w:rPr>
          <w:szCs w:val="22"/>
          <w:lang w:val="fr-FR"/>
        </w:rPr>
        <w:t> :</w:t>
      </w:r>
      <w:r w:rsidRPr="0058048A">
        <w:rPr>
          <w:szCs w:val="22"/>
          <w:lang w:val="fr-FR"/>
        </w:rPr>
        <w:t xml:space="preserve"> les données de la première ligne du tableau sont des données supplémentaires communes qu</w:t>
      </w:r>
      <w:r w:rsidR="00E67CAF" w:rsidRPr="0058048A">
        <w:rPr>
          <w:szCs w:val="22"/>
          <w:lang w:val="fr-FR"/>
        </w:rPr>
        <w:t>’</w:t>
      </w:r>
      <w:r w:rsidRPr="0058048A">
        <w:rPr>
          <w:szCs w:val="22"/>
          <w:lang w:val="fr-FR"/>
        </w:rPr>
        <w:t xml:space="preserve">un office peut communiquer pour tout événement national, régional ou international indépendamment de la catégorie dont il </w:t>
      </w:r>
      <w:proofErr w:type="gramStart"/>
      <w:r w:rsidRPr="0058048A">
        <w:rPr>
          <w:szCs w:val="22"/>
          <w:lang w:val="fr-FR"/>
        </w:rPr>
        <w:t xml:space="preserve">relève; </w:t>
      </w:r>
      <w:r w:rsidR="00F528C8" w:rsidRPr="0058048A">
        <w:rPr>
          <w:szCs w:val="22"/>
          <w:lang w:val="fr-FR"/>
        </w:rPr>
        <w:t xml:space="preserve"> </w:t>
      </w:r>
      <w:r w:rsidRPr="0058048A">
        <w:rPr>
          <w:szCs w:val="22"/>
          <w:lang w:val="fr-FR"/>
        </w:rPr>
        <w:t>les</w:t>
      </w:r>
      <w:proofErr w:type="gramEnd"/>
      <w:r w:rsidRPr="0058048A">
        <w:rPr>
          <w:szCs w:val="22"/>
          <w:lang w:val="fr-FR"/>
        </w:rPr>
        <w:t xml:space="preserve"> données figurant sur la ligne d</w:t>
      </w:r>
      <w:r w:rsidR="00E67CAF" w:rsidRPr="0058048A">
        <w:rPr>
          <w:szCs w:val="22"/>
          <w:lang w:val="fr-FR"/>
        </w:rPr>
        <w:t>’</w:t>
      </w:r>
      <w:r w:rsidRPr="0058048A">
        <w:rPr>
          <w:szCs w:val="22"/>
          <w:lang w:val="fr-FR"/>
        </w:rPr>
        <w:t>une catégorie sont propres à cette catégorie.”</w:t>
      </w:r>
    </w:p>
    <w:p w14:paraId="224F3100" w14:textId="34D246CF" w:rsidR="00BE30AC" w:rsidRPr="0058048A" w:rsidRDefault="006E082B" w:rsidP="00F04EE3">
      <w:pPr>
        <w:pStyle w:val="Heading2"/>
        <w:rPr>
          <w:lang w:val="fr-FR"/>
        </w:rPr>
      </w:pPr>
      <w:r w:rsidRPr="0058048A">
        <w:rPr>
          <w:lang w:val="fr-FR"/>
        </w:rPr>
        <w:t>Programme de travail</w:t>
      </w:r>
    </w:p>
    <w:p w14:paraId="4B600F2F" w14:textId="127619FA" w:rsidR="00BE30AC" w:rsidRPr="0058048A" w:rsidRDefault="006E082B" w:rsidP="00F04EE3">
      <w:pPr>
        <w:pStyle w:val="ONUMFS"/>
        <w:keepLines w:val="0"/>
        <w:rPr>
          <w:lang w:val="fr-FR"/>
        </w:rPr>
      </w:pPr>
      <w:r w:rsidRPr="0058048A">
        <w:rPr>
          <w:lang w:val="fr-FR"/>
        </w:rPr>
        <w:t>Si</w:t>
      </w:r>
      <w:r w:rsidR="00E67CAF" w:rsidRPr="0058048A">
        <w:rPr>
          <w:lang w:val="fr-FR"/>
        </w:rPr>
        <w:t xml:space="preserve"> le CWS</w:t>
      </w:r>
      <w:r w:rsidRPr="0058048A">
        <w:rPr>
          <w:lang w:val="fr-FR"/>
        </w:rPr>
        <w:t xml:space="preserve"> approuve les propositions de modification de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ST.27 de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OMPI,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suggère de réviser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ST.87 et l</w:t>
      </w:r>
      <w:r w:rsidR="00E67CAF" w:rsidRPr="0058048A">
        <w:rPr>
          <w:lang w:val="fr-FR"/>
        </w:rPr>
        <w:t>’annexe I</w:t>
      </w:r>
      <w:r w:rsidRPr="0058048A">
        <w:rPr>
          <w:lang w:val="fr-FR"/>
        </w:rPr>
        <w:t>I de la nouvelle norme sur la situation juridique des marques (voir le document</w:t>
      </w:r>
      <w:r w:rsidR="00D31D79" w:rsidRPr="0058048A">
        <w:rPr>
          <w:lang w:val="fr-FR"/>
        </w:rPr>
        <w:t> </w:t>
      </w:r>
      <w:r w:rsidRPr="0058048A">
        <w:rPr>
          <w:lang w:val="fr-FR"/>
        </w:rPr>
        <w:t>CWS/8/8) en collaboration avec l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Équipe d</w:t>
      </w:r>
      <w:r w:rsidR="00E67CAF" w:rsidRPr="0058048A">
        <w:rPr>
          <w:lang w:val="fr-FR"/>
        </w:rPr>
        <w:t>’</w:t>
      </w:r>
      <w:r w:rsidRPr="0058048A">
        <w:rPr>
          <w:lang w:val="fr-FR"/>
        </w:rPr>
        <w:t>experts chargée de la norme</w:t>
      </w:r>
      <w:r w:rsidR="00F528C8" w:rsidRPr="0058048A">
        <w:rPr>
          <w:lang w:val="fr-FR"/>
        </w:rPr>
        <w:t> </w:t>
      </w:r>
      <w:r w:rsidRPr="0058048A">
        <w:rPr>
          <w:lang w:val="fr-FR"/>
        </w:rPr>
        <w:t>XML4IP à des fins de cohérence.</w:t>
      </w:r>
    </w:p>
    <w:p w14:paraId="1EEDBB4B" w14:textId="41D02CE9" w:rsidR="00E67CAF" w:rsidRPr="00F04EE3" w:rsidRDefault="006E082B" w:rsidP="00F04EE3">
      <w:pPr>
        <w:pStyle w:val="ONUMFS"/>
        <w:keepLines w:val="0"/>
        <w:tabs>
          <w:tab w:val="left" w:pos="6096"/>
        </w:tabs>
        <w:ind w:left="5533"/>
        <w:rPr>
          <w:i/>
          <w:lang w:val="fr-FR"/>
        </w:rPr>
      </w:pPr>
      <w:r w:rsidRPr="00F04EE3">
        <w:rPr>
          <w:i/>
          <w:lang w:val="fr-FR"/>
        </w:rPr>
        <w:t>Le CWS est invité</w:t>
      </w:r>
    </w:p>
    <w:p w14:paraId="512EAE02" w14:textId="4AB99023" w:rsidR="00E67CAF" w:rsidRPr="00F04EE3" w:rsidRDefault="006E082B" w:rsidP="00F04EE3">
      <w:pPr>
        <w:pStyle w:val="ONUMFS"/>
        <w:keepLines w:val="0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F04EE3">
        <w:rPr>
          <w:i/>
          <w:lang w:val="fr-FR"/>
        </w:rPr>
        <w:t>à</w:t>
      </w:r>
      <w:proofErr w:type="gramEnd"/>
      <w:r w:rsidRPr="00F04EE3">
        <w:rPr>
          <w:i/>
          <w:lang w:val="fr-FR"/>
        </w:rPr>
        <w:t xml:space="preserve"> prendre note du contenu du présent document,</w:t>
      </w:r>
    </w:p>
    <w:p w14:paraId="3FC7F2F6" w14:textId="37B4F927" w:rsidR="00BE30AC" w:rsidRPr="00F04EE3" w:rsidRDefault="006E082B" w:rsidP="00F04EE3">
      <w:pPr>
        <w:pStyle w:val="ONUMFS"/>
        <w:keepLines w:val="0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F04EE3">
        <w:rPr>
          <w:i/>
          <w:lang w:val="fr-FR"/>
        </w:rPr>
        <w:t>à</w:t>
      </w:r>
      <w:proofErr w:type="gramEnd"/>
      <w:r w:rsidRPr="00F04EE3">
        <w:rPr>
          <w:i/>
          <w:lang w:val="fr-FR"/>
        </w:rPr>
        <w:t xml:space="preserve"> examiner et à approuver la proposition de révision de la </w:t>
      </w:r>
      <w:r w:rsidR="00E67CAF" w:rsidRPr="00F04EE3">
        <w:rPr>
          <w:i/>
          <w:lang w:val="fr-FR"/>
        </w:rPr>
        <w:t>“N</w:t>
      </w:r>
      <w:r w:rsidRPr="00F04EE3">
        <w:rPr>
          <w:i/>
          <w:lang w:val="fr-FR"/>
        </w:rPr>
        <w:t>orme</w:t>
      </w:r>
      <w:r w:rsidR="00D31D79" w:rsidRPr="00F04EE3">
        <w:rPr>
          <w:i/>
          <w:lang w:val="fr-FR"/>
        </w:rPr>
        <w:t> </w:t>
      </w:r>
      <w:r w:rsidRPr="00F04EE3">
        <w:rPr>
          <w:i/>
          <w:lang w:val="fr-FR"/>
        </w:rPr>
        <w:t>ST.27 de l</w:t>
      </w:r>
      <w:r w:rsidR="00E67CAF" w:rsidRPr="00F04EE3">
        <w:rPr>
          <w:i/>
          <w:lang w:val="fr-FR"/>
        </w:rPr>
        <w:t>’</w:t>
      </w:r>
      <w:r w:rsidRPr="00F04EE3">
        <w:rPr>
          <w:i/>
          <w:lang w:val="fr-FR"/>
        </w:rPr>
        <w:t>OMPI</w:t>
      </w:r>
      <w:r w:rsidR="00E67CAF" w:rsidRPr="00F04EE3">
        <w:rPr>
          <w:i/>
          <w:lang w:val="fr-FR"/>
        </w:rPr>
        <w:t> :</w:t>
      </w:r>
      <w:r w:rsidRPr="00F04EE3">
        <w:rPr>
          <w:i/>
          <w:lang w:val="fr-FR"/>
        </w:rPr>
        <w:t xml:space="preserve"> Échange de données sur la situation juridique des brevet</w:t>
      </w:r>
      <w:r w:rsidR="00E67CAF" w:rsidRPr="00F04EE3">
        <w:rPr>
          <w:i/>
          <w:lang w:val="fr-FR"/>
        </w:rPr>
        <w:t>s”</w:t>
      </w:r>
      <w:r w:rsidRPr="00F04EE3">
        <w:rPr>
          <w:i/>
          <w:lang w:val="fr-FR"/>
        </w:rPr>
        <w:t xml:space="preserve">, expliquée aux </w:t>
      </w:r>
      <w:r w:rsidR="00E67CAF" w:rsidRPr="00F04EE3">
        <w:rPr>
          <w:i/>
          <w:lang w:val="fr-FR"/>
        </w:rPr>
        <w:t>paragraphes 3</w:t>
      </w:r>
      <w:r w:rsidRPr="00F04EE3">
        <w:rPr>
          <w:i/>
          <w:lang w:val="fr-FR"/>
        </w:rPr>
        <w:t xml:space="preserve"> à 7 et reproduite dans l</w:t>
      </w:r>
      <w:r w:rsidR="00E67CAF" w:rsidRPr="00F04EE3">
        <w:rPr>
          <w:i/>
          <w:lang w:val="fr-FR"/>
        </w:rPr>
        <w:t>’</w:t>
      </w:r>
      <w:r w:rsidRPr="00F04EE3">
        <w:rPr>
          <w:i/>
          <w:lang w:val="fr-FR"/>
        </w:rPr>
        <w:t>annexe du présent document</w:t>
      </w:r>
      <w:r w:rsidR="00F04EE3">
        <w:rPr>
          <w:i/>
          <w:lang w:val="fr-FR"/>
        </w:rPr>
        <w:t>,</w:t>
      </w:r>
      <w:r w:rsidRPr="00F04EE3">
        <w:rPr>
          <w:i/>
          <w:lang w:val="fr-FR"/>
        </w:rPr>
        <w:t xml:space="preserve"> et</w:t>
      </w:r>
    </w:p>
    <w:p w14:paraId="1CD2C17B" w14:textId="7949DC0B" w:rsidR="00BE30AC" w:rsidRPr="00F04EE3" w:rsidRDefault="006E082B" w:rsidP="00F04EE3">
      <w:pPr>
        <w:pStyle w:val="ONUMFS"/>
        <w:keepLines w:val="0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proofErr w:type="gramStart"/>
      <w:r w:rsidRPr="00F04EE3">
        <w:rPr>
          <w:i/>
          <w:lang w:val="fr-FR"/>
        </w:rPr>
        <w:t>à</w:t>
      </w:r>
      <w:proofErr w:type="gramEnd"/>
      <w:r w:rsidRPr="00F04EE3">
        <w:rPr>
          <w:i/>
          <w:lang w:val="fr-FR"/>
        </w:rPr>
        <w:t xml:space="preserve"> examiner et à approuver la suggestion formulée par l</w:t>
      </w:r>
      <w:r w:rsidR="00E67CAF" w:rsidRPr="00F04EE3">
        <w:rPr>
          <w:i/>
          <w:lang w:val="fr-FR"/>
        </w:rPr>
        <w:t>’</w:t>
      </w:r>
      <w:r w:rsidRPr="00F04EE3">
        <w:rPr>
          <w:i/>
          <w:lang w:val="fr-FR"/>
        </w:rPr>
        <w:t>Équipe d</w:t>
      </w:r>
      <w:r w:rsidR="00E67CAF" w:rsidRPr="00F04EE3">
        <w:rPr>
          <w:i/>
          <w:lang w:val="fr-FR"/>
        </w:rPr>
        <w:t>’</w:t>
      </w:r>
      <w:r w:rsidRPr="00F04EE3">
        <w:rPr>
          <w:i/>
          <w:lang w:val="fr-FR"/>
        </w:rPr>
        <w:t xml:space="preserve">experts chargée de la situation juridique, présentée au </w:t>
      </w:r>
      <w:r w:rsidR="00E67CAF" w:rsidRPr="00F04EE3">
        <w:rPr>
          <w:i/>
          <w:lang w:val="fr-FR"/>
        </w:rPr>
        <w:t>paragraphe 8</w:t>
      </w:r>
      <w:r w:rsidRPr="00F04EE3">
        <w:rPr>
          <w:i/>
          <w:lang w:val="fr-FR"/>
        </w:rPr>
        <w:t xml:space="preserve"> ci</w:t>
      </w:r>
      <w:r w:rsidR="006259D5">
        <w:rPr>
          <w:i/>
          <w:lang w:val="fr-FR"/>
        </w:rPr>
        <w:noBreakHyphen/>
      </w:r>
      <w:r w:rsidRPr="00F04EE3">
        <w:rPr>
          <w:i/>
          <w:lang w:val="fr-FR"/>
        </w:rPr>
        <w:t>dessus.</w:t>
      </w:r>
    </w:p>
    <w:p w14:paraId="67A502C0" w14:textId="3BE7E175" w:rsidR="002928D3" w:rsidRPr="0058048A" w:rsidRDefault="00892317" w:rsidP="0058048A">
      <w:pPr>
        <w:pStyle w:val="Endofdocument-Annex"/>
        <w:spacing w:before="660"/>
        <w:rPr>
          <w:lang w:val="fr-FR"/>
        </w:rPr>
      </w:pPr>
      <w:r w:rsidRPr="0058048A">
        <w:rPr>
          <w:lang w:val="fr-FR"/>
        </w:rPr>
        <w:t>[</w:t>
      </w:r>
      <w:r w:rsidR="006E082B" w:rsidRPr="0058048A">
        <w:rPr>
          <w:lang w:val="fr-FR"/>
        </w:rPr>
        <w:t>L</w:t>
      </w:r>
      <w:r w:rsidR="00E67CAF" w:rsidRPr="0058048A">
        <w:rPr>
          <w:lang w:val="fr-FR"/>
        </w:rPr>
        <w:t>’</w:t>
      </w:r>
      <w:r w:rsidR="006E082B" w:rsidRPr="0058048A">
        <w:rPr>
          <w:lang w:val="fr-FR"/>
        </w:rPr>
        <w:t>annexe suit</w:t>
      </w:r>
      <w:r w:rsidRPr="0058048A">
        <w:rPr>
          <w:lang w:val="fr-FR"/>
        </w:rPr>
        <w:t>]</w:t>
      </w:r>
    </w:p>
    <w:sectPr w:rsidR="002928D3" w:rsidRPr="0058048A" w:rsidSect="00BE01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561D1" w14:textId="77777777" w:rsidR="007D5FAC" w:rsidRDefault="007D5FAC">
      <w:r>
        <w:separator/>
      </w:r>
    </w:p>
  </w:endnote>
  <w:endnote w:type="continuationSeparator" w:id="0">
    <w:p w14:paraId="18F9BA93" w14:textId="77777777" w:rsidR="007D5FAC" w:rsidRDefault="007D5FAC" w:rsidP="003B38C1">
      <w:r>
        <w:separator/>
      </w:r>
    </w:p>
    <w:p w14:paraId="3F77624F" w14:textId="77777777" w:rsidR="007D5FAC" w:rsidRPr="003B38C1" w:rsidRDefault="007D5F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1CB5344" w14:textId="77777777" w:rsidR="007D5FAC" w:rsidRPr="003B38C1" w:rsidRDefault="007D5F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8F43" w14:textId="77777777" w:rsidR="00D31D79" w:rsidRDefault="00D31D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B6689" w14:textId="77777777" w:rsidR="00D31D79" w:rsidRDefault="00D31D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5BD4" w14:textId="77777777" w:rsidR="00D31D79" w:rsidRDefault="00D31D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3E3F5" w14:textId="77777777" w:rsidR="007D5FAC" w:rsidRDefault="007D5FAC">
      <w:r>
        <w:separator/>
      </w:r>
    </w:p>
  </w:footnote>
  <w:footnote w:type="continuationSeparator" w:id="0">
    <w:p w14:paraId="0EF66403" w14:textId="77777777" w:rsidR="007D5FAC" w:rsidRDefault="007D5FAC" w:rsidP="008B60B2">
      <w:r>
        <w:separator/>
      </w:r>
    </w:p>
    <w:p w14:paraId="1D678F06" w14:textId="77777777" w:rsidR="007D5FAC" w:rsidRPr="00ED77FB" w:rsidRDefault="007D5F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1D6C1E0" w14:textId="77777777" w:rsidR="007D5FAC" w:rsidRPr="00ED77FB" w:rsidRDefault="007D5F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1B179" w14:textId="77777777" w:rsidR="00AB1326" w:rsidRDefault="00AB1326" w:rsidP="003F0D86">
    <w:pPr>
      <w:jc w:val="right"/>
    </w:pPr>
    <w:r>
      <w:t>CWS/8/</w:t>
    </w:r>
    <w:r w:rsidR="005F626D">
      <w:t>7</w:t>
    </w:r>
  </w:p>
  <w:p w14:paraId="50827B5F" w14:textId="4E30D0A9" w:rsidR="00AB1326" w:rsidRDefault="00AB1326" w:rsidP="00AB132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259D5">
      <w:rPr>
        <w:noProof/>
      </w:rPr>
      <w:t>2</w:t>
    </w:r>
    <w:r>
      <w:fldChar w:fldCharType="end"/>
    </w:r>
  </w:p>
  <w:p w14:paraId="38C3D4A3" w14:textId="77777777" w:rsidR="00AB1326" w:rsidRDefault="00AB1326" w:rsidP="00AB1326">
    <w:pPr>
      <w:jc w:val="right"/>
    </w:pPr>
  </w:p>
  <w:p w14:paraId="4BC144FC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C4FB8" w14:textId="1F7C1A40" w:rsidR="007D1090" w:rsidRDefault="007D1090" w:rsidP="00BF0CA1">
    <w:pPr>
      <w:jc w:val="right"/>
    </w:pPr>
    <w:r>
      <w:t>CWS/</w:t>
    </w:r>
    <w:r w:rsidR="00AB1326">
      <w:t>8</w:t>
    </w:r>
    <w:r>
      <w:t>/</w:t>
    </w:r>
    <w:r w:rsidR="00BF0CA1">
      <w:t>7</w:t>
    </w:r>
  </w:p>
  <w:p w14:paraId="4CFB4273" w14:textId="032B3172" w:rsidR="007D1090" w:rsidRDefault="007D1090" w:rsidP="00477D6B">
    <w:pPr>
      <w:jc w:val="right"/>
    </w:pPr>
    <w:proofErr w:type="gramStart"/>
    <w:r>
      <w:t>page</w:t>
    </w:r>
    <w:proofErr w:type="gramEnd"/>
    <w:r w:rsidR="00D31D79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259D5">
      <w:rPr>
        <w:noProof/>
      </w:rPr>
      <w:t>3</w:t>
    </w:r>
    <w:r>
      <w:fldChar w:fldCharType="end"/>
    </w:r>
  </w:p>
  <w:p w14:paraId="5E31123D" w14:textId="77777777" w:rsidR="007D1090" w:rsidRDefault="007D1090" w:rsidP="00477D6B">
    <w:pPr>
      <w:jc w:val="right"/>
    </w:pPr>
  </w:p>
  <w:p w14:paraId="1B958D8C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9C51" w14:textId="77777777" w:rsidR="00D31D79" w:rsidRDefault="00D31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351FC6"/>
    <w:multiLevelType w:val="hybridMultilevel"/>
    <w:tmpl w:val="369ED084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3FD7CD1"/>
    <w:multiLevelType w:val="hybridMultilevel"/>
    <w:tmpl w:val="5BA8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A67607A"/>
    <w:multiLevelType w:val="multilevel"/>
    <w:tmpl w:val="F2E60B40"/>
    <w:lvl w:ilvl="0">
      <w:numFmt w:val="bullet"/>
      <w:pStyle w:val="Bulletedlistlevel2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B19EE"/>
    <w:multiLevelType w:val="hybridMultilevel"/>
    <w:tmpl w:val="E8F48602"/>
    <w:lvl w:ilvl="0" w:tplc="731C6EC2">
      <w:start w:val="1"/>
      <w:numFmt w:val="decimal"/>
      <w:lvlText w:val="%1."/>
      <w:lvlJc w:val="left"/>
      <w:pPr>
        <w:ind w:left="100" w:hanging="489"/>
        <w:jc w:val="right"/>
      </w:pPr>
      <w:rPr>
        <w:rFonts w:hint="default"/>
        <w:spacing w:val="-6"/>
        <w:w w:val="10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  <w:rPr>
        <w:rFonts w:hint="default"/>
      </w:rPr>
    </w:lvl>
    <w:lvl w:ilvl="3" w:tplc="1680827E">
      <w:numFmt w:val="bullet"/>
      <w:lvlText w:val="•"/>
      <w:lvlJc w:val="left"/>
      <w:pPr>
        <w:ind w:left="6516" w:hanging="575"/>
      </w:pPr>
      <w:rPr>
        <w:rFonts w:hint="default"/>
      </w:rPr>
    </w:lvl>
    <w:lvl w:ilvl="4" w:tplc="B002BE30">
      <w:numFmt w:val="bullet"/>
      <w:lvlText w:val="•"/>
      <w:lvlJc w:val="left"/>
      <w:pPr>
        <w:ind w:left="6955" w:hanging="575"/>
      </w:pPr>
      <w:rPr>
        <w:rFonts w:hint="default"/>
      </w:rPr>
    </w:lvl>
    <w:lvl w:ilvl="5" w:tplc="BC2A4B6C">
      <w:numFmt w:val="bullet"/>
      <w:lvlText w:val="•"/>
      <w:lvlJc w:val="left"/>
      <w:pPr>
        <w:ind w:left="7393" w:hanging="575"/>
      </w:pPr>
      <w:rPr>
        <w:rFonts w:hint="default"/>
      </w:rPr>
    </w:lvl>
    <w:lvl w:ilvl="6" w:tplc="DCBA5C7E">
      <w:numFmt w:val="bullet"/>
      <w:lvlText w:val="•"/>
      <w:lvlJc w:val="left"/>
      <w:pPr>
        <w:ind w:left="7832" w:hanging="575"/>
      </w:pPr>
      <w:rPr>
        <w:rFonts w:hint="default"/>
      </w:rPr>
    </w:lvl>
    <w:lvl w:ilvl="7" w:tplc="A734154E">
      <w:numFmt w:val="bullet"/>
      <w:lvlText w:val="•"/>
      <w:lvlJc w:val="left"/>
      <w:pPr>
        <w:ind w:left="8270" w:hanging="575"/>
      </w:pPr>
      <w:rPr>
        <w:rFonts w:hint="default"/>
      </w:rPr>
    </w:lvl>
    <w:lvl w:ilvl="8" w:tplc="D770A1AC">
      <w:numFmt w:val="bullet"/>
      <w:lvlText w:val="•"/>
      <w:lvlJc w:val="left"/>
      <w:pPr>
        <w:ind w:left="8708" w:hanging="575"/>
      </w:pPr>
      <w:rPr>
        <w:rFonts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5899393B"/>
    <w:multiLevelType w:val="hybridMultilevel"/>
    <w:tmpl w:val="B2BEA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01B0BAE"/>
    <w:multiLevelType w:val="hybridMultilevel"/>
    <w:tmpl w:val="63E00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314740"/>
    <w:multiLevelType w:val="multilevel"/>
    <w:tmpl w:val="25CC5B24"/>
    <w:lvl w:ilvl="0">
      <w:numFmt w:val="bullet"/>
      <w:lvlText w:val="–"/>
      <w:lvlJc w:val="left"/>
      <w:pPr>
        <w:tabs>
          <w:tab w:val="num" w:pos="567"/>
        </w:tabs>
        <w:ind w:left="0" w:firstLine="0"/>
      </w:pPr>
      <w:rPr>
        <w:rFonts w:ascii="Arial" w:eastAsia="Arial" w:hAnsi="Arial" w:hint="default"/>
        <w:color w:val="2D4C61"/>
        <w:w w:val="83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1"/>
  </w:num>
  <w:num w:numId="5">
    <w:abstractNumId w:val="13"/>
  </w:num>
  <w:num w:numId="6">
    <w:abstractNumId w:val="3"/>
  </w:num>
  <w:num w:numId="7">
    <w:abstractNumId w:val="14"/>
  </w:num>
  <w:num w:numId="8">
    <w:abstractNumId w:val="17"/>
  </w:num>
  <w:num w:numId="9">
    <w:abstractNumId w:val="8"/>
  </w:num>
  <w:num w:numId="10">
    <w:abstractNumId w:val="7"/>
  </w:num>
  <w:num w:numId="11">
    <w:abstractNumId w:val="2"/>
  </w:num>
  <w:num w:numId="12">
    <w:abstractNumId w:val="0"/>
  </w:num>
  <w:num w:numId="13">
    <w:abstractNumId w:val="0"/>
  </w:num>
  <w:num w:numId="14">
    <w:abstractNumId w:val="9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5"/>
  </w:num>
  <w:num w:numId="18">
    <w:abstractNumId w:val="12"/>
  </w:num>
  <w:num w:numId="19">
    <w:abstractNumId w:val="1"/>
  </w:num>
  <w:num w:numId="20">
    <w:abstractNumId w:val="6"/>
  </w:num>
  <w:num w:numId="2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|xUPOV 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650F84"/>
    <w:rsid w:val="00000A6B"/>
    <w:rsid w:val="000017B3"/>
    <w:rsid w:val="00001CAC"/>
    <w:rsid w:val="00004B9D"/>
    <w:rsid w:val="0001393C"/>
    <w:rsid w:val="000143CE"/>
    <w:rsid w:val="00014EFF"/>
    <w:rsid w:val="00023321"/>
    <w:rsid w:val="00026093"/>
    <w:rsid w:val="000305FB"/>
    <w:rsid w:val="000320E5"/>
    <w:rsid w:val="00032CDF"/>
    <w:rsid w:val="00042A4E"/>
    <w:rsid w:val="00043CAA"/>
    <w:rsid w:val="000441D6"/>
    <w:rsid w:val="00044AA4"/>
    <w:rsid w:val="00047327"/>
    <w:rsid w:val="00055334"/>
    <w:rsid w:val="00055F73"/>
    <w:rsid w:val="00057658"/>
    <w:rsid w:val="00067295"/>
    <w:rsid w:val="00067AE0"/>
    <w:rsid w:val="00067E1A"/>
    <w:rsid w:val="00070AA4"/>
    <w:rsid w:val="00072E5E"/>
    <w:rsid w:val="00075432"/>
    <w:rsid w:val="0007684D"/>
    <w:rsid w:val="0008324B"/>
    <w:rsid w:val="00084955"/>
    <w:rsid w:val="00085237"/>
    <w:rsid w:val="000853F2"/>
    <w:rsid w:val="00093755"/>
    <w:rsid w:val="000968ED"/>
    <w:rsid w:val="000B0F76"/>
    <w:rsid w:val="000B2D2B"/>
    <w:rsid w:val="000B41A0"/>
    <w:rsid w:val="000B7247"/>
    <w:rsid w:val="000C1021"/>
    <w:rsid w:val="000C22DB"/>
    <w:rsid w:val="000C5666"/>
    <w:rsid w:val="000C5B9D"/>
    <w:rsid w:val="000D6257"/>
    <w:rsid w:val="000E11B0"/>
    <w:rsid w:val="000E4467"/>
    <w:rsid w:val="000E5F65"/>
    <w:rsid w:val="000F154E"/>
    <w:rsid w:val="000F46D6"/>
    <w:rsid w:val="000F5116"/>
    <w:rsid w:val="000F5E56"/>
    <w:rsid w:val="000F669C"/>
    <w:rsid w:val="000F7E0A"/>
    <w:rsid w:val="001139F0"/>
    <w:rsid w:val="001146BB"/>
    <w:rsid w:val="00115693"/>
    <w:rsid w:val="00124B1A"/>
    <w:rsid w:val="001251D1"/>
    <w:rsid w:val="001261E1"/>
    <w:rsid w:val="00126B6F"/>
    <w:rsid w:val="00134368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72B9"/>
    <w:rsid w:val="00157B2F"/>
    <w:rsid w:val="00160EE6"/>
    <w:rsid w:val="00161D77"/>
    <w:rsid w:val="00166549"/>
    <w:rsid w:val="00173685"/>
    <w:rsid w:val="00175241"/>
    <w:rsid w:val="00180499"/>
    <w:rsid w:val="001813D0"/>
    <w:rsid w:val="00181E31"/>
    <w:rsid w:val="001832A6"/>
    <w:rsid w:val="001863B7"/>
    <w:rsid w:val="00186892"/>
    <w:rsid w:val="00192805"/>
    <w:rsid w:val="0019321F"/>
    <w:rsid w:val="001A0B8F"/>
    <w:rsid w:val="001A1983"/>
    <w:rsid w:val="001A5F0B"/>
    <w:rsid w:val="001A6426"/>
    <w:rsid w:val="001A71D7"/>
    <w:rsid w:val="001A77E4"/>
    <w:rsid w:val="001B5BC5"/>
    <w:rsid w:val="001B6A44"/>
    <w:rsid w:val="001B76C5"/>
    <w:rsid w:val="001B7F01"/>
    <w:rsid w:val="001C0FA4"/>
    <w:rsid w:val="001F3BEE"/>
    <w:rsid w:val="001F47F0"/>
    <w:rsid w:val="0020019D"/>
    <w:rsid w:val="00202124"/>
    <w:rsid w:val="002102F7"/>
    <w:rsid w:val="002104BB"/>
    <w:rsid w:val="0021359A"/>
    <w:rsid w:val="00214B90"/>
    <w:rsid w:val="00216DC2"/>
    <w:rsid w:val="00223203"/>
    <w:rsid w:val="002267DA"/>
    <w:rsid w:val="00226E3E"/>
    <w:rsid w:val="00227E61"/>
    <w:rsid w:val="002330CA"/>
    <w:rsid w:val="0023687E"/>
    <w:rsid w:val="00237A52"/>
    <w:rsid w:val="00240DD0"/>
    <w:rsid w:val="00241965"/>
    <w:rsid w:val="00243510"/>
    <w:rsid w:val="00243F68"/>
    <w:rsid w:val="00246940"/>
    <w:rsid w:val="00247487"/>
    <w:rsid w:val="00254A4E"/>
    <w:rsid w:val="002618E7"/>
    <w:rsid w:val="002634C4"/>
    <w:rsid w:val="00271EC1"/>
    <w:rsid w:val="00272975"/>
    <w:rsid w:val="00275BE0"/>
    <w:rsid w:val="0028252D"/>
    <w:rsid w:val="00282E68"/>
    <w:rsid w:val="0028507D"/>
    <w:rsid w:val="00287817"/>
    <w:rsid w:val="002912F3"/>
    <w:rsid w:val="002928D3"/>
    <w:rsid w:val="002936BB"/>
    <w:rsid w:val="0029686D"/>
    <w:rsid w:val="002A0167"/>
    <w:rsid w:val="002A1D3F"/>
    <w:rsid w:val="002A234C"/>
    <w:rsid w:val="002A2B78"/>
    <w:rsid w:val="002A40F1"/>
    <w:rsid w:val="002A64AF"/>
    <w:rsid w:val="002B20A3"/>
    <w:rsid w:val="002B4031"/>
    <w:rsid w:val="002B6114"/>
    <w:rsid w:val="002D5829"/>
    <w:rsid w:val="002E14FC"/>
    <w:rsid w:val="002E3212"/>
    <w:rsid w:val="002F1FE6"/>
    <w:rsid w:val="002F4E68"/>
    <w:rsid w:val="003032C9"/>
    <w:rsid w:val="003068C1"/>
    <w:rsid w:val="00306A1F"/>
    <w:rsid w:val="00306EEA"/>
    <w:rsid w:val="00312F7F"/>
    <w:rsid w:val="00325724"/>
    <w:rsid w:val="0033325E"/>
    <w:rsid w:val="0033734A"/>
    <w:rsid w:val="003379DE"/>
    <w:rsid w:val="00342A49"/>
    <w:rsid w:val="0034360D"/>
    <w:rsid w:val="00345D82"/>
    <w:rsid w:val="0035110E"/>
    <w:rsid w:val="003515F6"/>
    <w:rsid w:val="00357B3A"/>
    <w:rsid w:val="00361450"/>
    <w:rsid w:val="00365545"/>
    <w:rsid w:val="00367122"/>
    <w:rsid w:val="0036715F"/>
    <w:rsid w:val="003673CF"/>
    <w:rsid w:val="0036754F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1B1E"/>
    <w:rsid w:val="003B38C1"/>
    <w:rsid w:val="003B3ADA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E08B0"/>
    <w:rsid w:val="003E3D76"/>
    <w:rsid w:val="003E4213"/>
    <w:rsid w:val="003E43ED"/>
    <w:rsid w:val="003E572E"/>
    <w:rsid w:val="003E6BD5"/>
    <w:rsid w:val="003F08A2"/>
    <w:rsid w:val="003F0D86"/>
    <w:rsid w:val="003F49F3"/>
    <w:rsid w:val="00401C1B"/>
    <w:rsid w:val="004021C4"/>
    <w:rsid w:val="004031A3"/>
    <w:rsid w:val="00404914"/>
    <w:rsid w:val="00406039"/>
    <w:rsid w:val="00406409"/>
    <w:rsid w:val="00411E27"/>
    <w:rsid w:val="00414C69"/>
    <w:rsid w:val="0041784C"/>
    <w:rsid w:val="004219DD"/>
    <w:rsid w:val="004238C9"/>
    <w:rsid w:val="00423E3E"/>
    <w:rsid w:val="00427AF4"/>
    <w:rsid w:val="0043292D"/>
    <w:rsid w:val="00433695"/>
    <w:rsid w:val="00442220"/>
    <w:rsid w:val="00451845"/>
    <w:rsid w:val="004566D9"/>
    <w:rsid w:val="00457762"/>
    <w:rsid w:val="0046036C"/>
    <w:rsid w:val="004615D2"/>
    <w:rsid w:val="004647DA"/>
    <w:rsid w:val="004654AD"/>
    <w:rsid w:val="00470688"/>
    <w:rsid w:val="00472582"/>
    <w:rsid w:val="00472EBA"/>
    <w:rsid w:val="00473A12"/>
    <w:rsid w:val="00474062"/>
    <w:rsid w:val="00477D6B"/>
    <w:rsid w:val="00480A23"/>
    <w:rsid w:val="00481EEA"/>
    <w:rsid w:val="004853A0"/>
    <w:rsid w:val="00485A19"/>
    <w:rsid w:val="00491D68"/>
    <w:rsid w:val="00496A17"/>
    <w:rsid w:val="004A5372"/>
    <w:rsid w:val="004A54AA"/>
    <w:rsid w:val="004B26E7"/>
    <w:rsid w:val="004B415E"/>
    <w:rsid w:val="004B5909"/>
    <w:rsid w:val="004B6161"/>
    <w:rsid w:val="004C4ACD"/>
    <w:rsid w:val="004C6B77"/>
    <w:rsid w:val="004D4921"/>
    <w:rsid w:val="004E2D88"/>
    <w:rsid w:val="004E548A"/>
    <w:rsid w:val="004E5AC7"/>
    <w:rsid w:val="004F02A2"/>
    <w:rsid w:val="004F1E2C"/>
    <w:rsid w:val="004F23E3"/>
    <w:rsid w:val="005016D6"/>
    <w:rsid w:val="005019FF"/>
    <w:rsid w:val="0050566F"/>
    <w:rsid w:val="005103A1"/>
    <w:rsid w:val="0053057A"/>
    <w:rsid w:val="005319CB"/>
    <w:rsid w:val="00531BAF"/>
    <w:rsid w:val="0053466E"/>
    <w:rsid w:val="00535188"/>
    <w:rsid w:val="00537369"/>
    <w:rsid w:val="00540D28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6183"/>
    <w:rsid w:val="0058048A"/>
    <w:rsid w:val="005811D5"/>
    <w:rsid w:val="0058120E"/>
    <w:rsid w:val="005837A3"/>
    <w:rsid w:val="00586520"/>
    <w:rsid w:val="005905B7"/>
    <w:rsid w:val="00592067"/>
    <w:rsid w:val="00594180"/>
    <w:rsid w:val="005A1CFA"/>
    <w:rsid w:val="005A233F"/>
    <w:rsid w:val="005A245A"/>
    <w:rsid w:val="005A35DF"/>
    <w:rsid w:val="005B1A5E"/>
    <w:rsid w:val="005B4C24"/>
    <w:rsid w:val="005C09C6"/>
    <w:rsid w:val="005C22C3"/>
    <w:rsid w:val="005C43A6"/>
    <w:rsid w:val="005C6649"/>
    <w:rsid w:val="005C71DD"/>
    <w:rsid w:val="005D532D"/>
    <w:rsid w:val="005D5536"/>
    <w:rsid w:val="005E1D7F"/>
    <w:rsid w:val="005E69B9"/>
    <w:rsid w:val="005F0588"/>
    <w:rsid w:val="005F3FF4"/>
    <w:rsid w:val="005F4F93"/>
    <w:rsid w:val="005F6088"/>
    <w:rsid w:val="005F626D"/>
    <w:rsid w:val="005F733A"/>
    <w:rsid w:val="0060088A"/>
    <w:rsid w:val="00603523"/>
    <w:rsid w:val="00605827"/>
    <w:rsid w:val="006129DC"/>
    <w:rsid w:val="006149AA"/>
    <w:rsid w:val="00614F82"/>
    <w:rsid w:val="0061586B"/>
    <w:rsid w:val="00615D9A"/>
    <w:rsid w:val="006166AC"/>
    <w:rsid w:val="006166BB"/>
    <w:rsid w:val="0062573E"/>
    <w:rsid w:val="006259D5"/>
    <w:rsid w:val="00631EA5"/>
    <w:rsid w:val="00633DBB"/>
    <w:rsid w:val="00634C20"/>
    <w:rsid w:val="0063544A"/>
    <w:rsid w:val="00637EE8"/>
    <w:rsid w:val="00646050"/>
    <w:rsid w:val="00646C37"/>
    <w:rsid w:val="00650F84"/>
    <w:rsid w:val="00652999"/>
    <w:rsid w:val="00653E35"/>
    <w:rsid w:val="00660664"/>
    <w:rsid w:val="006615F4"/>
    <w:rsid w:val="00661F18"/>
    <w:rsid w:val="00665171"/>
    <w:rsid w:val="00666635"/>
    <w:rsid w:val="00667545"/>
    <w:rsid w:val="006713CA"/>
    <w:rsid w:val="00671BD2"/>
    <w:rsid w:val="006722F7"/>
    <w:rsid w:val="00676C5C"/>
    <w:rsid w:val="006851D6"/>
    <w:rsid w:val="00691777"/>
    <w:rsid w:val="00697CDB"/>
    <w:rsid w:val="006A075B"/>
    <w:rsid w:val="006A3905"/>
    <w:rsid w:val="006A5902"/>
    <w:rsid w:val="006B25B5"/>
    <w:rsid w:val="006B2A44"/>
    <w:rsid w:val="006B4B90"/>
    <w:rsid w:val="006B5BF0"/>
    <w:rsid w:val="006B73BC"/>
    <w:rsid w:val="006C1677"/>
    <w:rsid w:val="006D1DA3"/>
    <w:rsid w:val="006D3AEE"/>
    <w:rsid w:val="006E082B"/>
    <w:rsid w:val="006E1DB2"/>
    <w:rsid w:val="006E6087"/>
    <w:rsid w:val="006F32F9"/>
    <w:rsid w:val="007015C4"/>
    <w:rsid w:val="0070778D"/>
    <w:rsid w:val="007210F3"/>
    <w:rsid w:val="00724DAD"/>
    <w:rsid w:val="00726912"/>
    <w:rsid w:val="0073440C"/>
    <w:rsid w:val="00734652"/>
    <w:rsid w:val="00734EA7"/>
    <w:rsid w:val="007356F1"/>
    <w:rsid w:val="00736038"/>
    <w:rsid w:val="00737298"/>
    <w:rsid w:val="00746814"/>
    <w:rsid w:val="007502FD"/>
    <w:rsid w:val="00752BE2"/>
    <w:rsid w:val="00754723"/>
    <w:rsid w:val="00762A2F"/>
    <w:rsid w:val="00765F15"/>
    <w:rsid w:val="00767C3F"/>
    <w:rsid w:val="00767C49"/>
    <w:rsid w:val="0077010F"/>
    <w:rsid w:val="007734D2"/>
    <w:rsid w:val="00773B7B"/>
    <w:rsid w:val="00774501"/>
    <w:rsid w:val="00774EB5"/>
    <w:rsid w:val="00777E4D"/>
    <w:rsid w:val="007829B8"/>
    <w:rsid w:val="007911BB"/>
    <w:rsid w:val="007929D9"/>
    <w:rsid w:val="00793377"/>
    <w:rsid w:val="007935F7"/>
    <w:rsid w:val="00793BFC"/>
    <w:rsid w:val="007A0CBE"/>
    <w:rsid w:val="007B1727"/>
    <w:rsid w:val="007B6851"/>
    <w:rsid w:val="007B6E36"/>
    <w:rsid w:val="007B7397"/>
    <w:rsid w:val="007C16B7"/>
    <w:rsid w:val="007C1774"/>
    <w:rsid w:val="007C1C86"/>
    <w:rsid w:val="007C275D"/>
    <w:rsid w:val="007D0DBE"/>
    <w:rsid w:val="007D1090"/>
    <w:rsid w:val="007D1613"/>
    <w:rsid w:val="007D2459"/>
    <w:rsid w:val="007D4713"/>
    <w:rsid w:val="007D5FAC"/>
    <w:rsid w:val="007D632E"/>
    <w:rsid w:val="007E3178"/>
    <w:rsid w:val="007F1226"/>
    <w:rsid w:val="007F1DDE"/>
    <w:rsid w:val="007F43BE"/>
    <w:rsid w:val="007F444D"/>
    <w:rsid w:val="007F548C"/>
    <w:rsid w:val="007F6442"/>
    <w:rsid w:val="007F6AFB"/>
    <w:rsid w:val="008021B9"/>
    <w:rsid w:val="00805BBD"/>
    <w:rsid w:val="008146C1"/>
    <w:rsid w:val="00821F66"/>
    <w:rsid w:val="008240CE"/>
    <w:rsid w:val="00830298"/>
    <w:rsid w:val="00837E2A"/>
    <w:rsid w:val="00841831"/>
    <w:rsid w:val="008451F7"/>
    <w:rsid w:val="00854B4A"/>
    <w:rsid w:val="00866208"/>
    <w:rsid w:val="00870480"/>
    <w:rsid w:val="00872524"/>
    <w:rsid w:val="00872F93"/>
    <w:rsid w:val="0088189E"/>
    <w:rsid w:val="00892317"/>
    <w:rsid w:val="008A274F"/>
    <w:rsid w:val="008A3F0A"/>
    <w:rsid w:val="008B2CC1"/>
    <w:rsid w:val="008B60B2"/>
    <w:rsid w:val="008B7353"/>
    <w:rsid w:val="008C0CB2"/>
    <w:rsid w:val="008D0F3C"/>
    <w:rsid w:val="008D176C"/>
    <w:rsid w:val="008D3780"/>
    <w:rsid w:val="008D50DC"/>
    <w:rsid w:val="008D610D"/>
    <w:rsid w:val="008E642B"/>
    <w:rsid w:val="008E7183"/>
    <w:rsid w:val="008F4CD8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0D38"/>
    <w:rsid w:val="009312A8"/>
    <w:rsid w:val="00931CEC"/>
    <w:rsid w:val="00933B31"/>
    <w:rsid w:val="0093421F"/>
    <w:rsid w:val="009350C5"/>
    <w:rsid w:val="00936764"/>
    <w:rsid w:val="00940899"/>
    <w:rsid w:val="0094414A"/>
    <w:rsid w:val="0094732B"/>
    <w:rsid w:val="00953654"/>
    <w:rsid w:val="00956504"/>
    <w:rsid w:val="0096310C"/>
    <w:rsid w:val="00966A22"/>
    <w:rsid w:val="0096722F"/>
    <w:rsid w:val="009724D3"/>
    <w:rsid w:val="00973F6F"/>
    <w:rsid w:val="00976FCA"/>
    <w:rsid w:val="00980843"/>
    <w:rsid w:val="00980EF3"/>
    <w:rsid w:val="00984B0B"/>
    <w:rsid w:val="00984B67"/>
    <w:rsid w:val="00985C53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0F35"/>
    <w:rsid w:val="009D4EEC"/>
    <w:rsid w:val="009E2791"/>
    <w:rsid w:val="009E3F6F"/>
    <w:rsid w:val="009E3F73"/>
    <w:rsid w:val="009E4113"/>
    <w:rsid w:val="009F35F0"/>
    <w:rsid w:val="009F3B5D"/>
    <w:rsid w:val="009F499F"/>
    <w:rsid w:val="009F6C8E"/>
    <w:rsid w:val="009F7984"/>
    <w:rsid w:val="00A02179"/>
    <w:rsid w:val="00A04908"/>
    <w:rsid w:val="00A04949"/>
    <w:rsid w:val="00A071F3"/>
    <w:rsid w:val="00A109AF"/>
    <w:rsid w:val="00A1206D"/>
    <w:rsid w:val="00A157CB"/>
    <w:rsid w:val="00A236A8"/>
    <w:rsid w:val="00A274DF"/>
    <w:rsid w:val="00A34447"/>
    <w:rsid w:val="00A3799D"/>
    <w:rsid w:val="00A42DAF"/>
    <w:rsid w:val="00A45BD8"/>
    <w:rsid w:val="00A47185"/>
    <w:rsid w:val="00A51B12"/>
    <w:rsid w:val="00A53977"/>
    <w:rsid w:val="00A562AD"/>
    <w:rsid w:val="00A703E0"/>
    <w:rsid w:val="00A72886"/>
    <w:rsid w:val="00A81719"/>
    <w:rsid w:val="00A83521"/>
    <w:rsid w:val="00A869B7"/>
    <w:rsid w:val="00A87B6E"/>
    <w:rsid w:val="00AA0246"/>
    <w:rsid w:val="00AB0732"/>
    <w:rsid w:val="00AB10FB"/>
    <w:rsid w:val="00AB1326"/>
    <w:rsid w:val="00AB4066"/>
    <w:rsid w:val="00AC0D01"/>
    <w:rsid w:val="00AC205C"/>
    <w:rsid w:val="00AC3ABE"/>
    <w:rsid w:val="00AC5DF8"/>
    <w:rsid w:val="00AC63E9"/>
    <w:rsid w:val="00AC7014"/>
    <w:rsid w:val="00AD1C5D"/>
    <w:rsid w:val="00AD22A3"/>
    <w:rsid w:val="00AD2FA3"/>
    <w:rsid w:val="00AD5513"/>
    <w:rsid w:val="00AF0A6B"/>
    <w:rsid w:val="00AF7AD8"/>
    <w:rsid w:val="00B047C7"/>
    <w:rsid w:val="00B05A69"/>
    <w:rsid w:val="00B06D65"/>
    <w:rsid w:val="00B135B8"/>
    <w:rsid w:val="00B14F8F"/>
    <w:rsid w:val="00B1533D"/>
    <w:rsid w:val="00B2167E"/>
    <w:rsid w:val="00B24BD6"/>
    <w:rsid w:val="00B32DA5"/>
    <w:rsid w:val="00B33A30"/>
    <w:rsid w:val="00B377B9"/>
    <w:rsid w:val="00B502E0"/>
    <w:rsid w:val="00B50A92"/>
    <w:rsid w:val="00B5116B"/>
    <w:rsid w:val="00B51212"/>
    <w:rsid w:val="00B71202"/>
    <w:rsid w:val="00B718B9"/>
    <w:rsid w:val="00B73704"/>
    <w:rsid w:val="00B752E9"/>
    <w:rsid w:val="00B9734B"/>
    <w:rsid w:val="00BA2534"/>
    <w:rsid w:val="00BA5EA3"/>
    <w:rsid w:val="00BA7E36"/>
    <w:rsid w:val="00BB7DD1"/>
    <w:rsid w:val="00BD0A46"/>
    <w:rsid w:val="00BD1276"/>
    <w:rsid w:val="00BD1CDF"/>
    <w:rsid w:val="00BD3100"/>
    <w:rsid w:val="00BD3C1B"/>
    <w:rsid w:val="00BD5E62"/>
    <w:rsid w:val="00BD63CA"/>
    <w:rsid w:val="00BE01B0"/>
    <w:rsid w:val="00BE1131"/>
    <w:rsid w:val="00BE25D1"/>
    <w:rsid w:val="00BE30AC"/>
    <w:rsid w:val="00BE74C3"/>
    <w:rsid w:val="00BE7B62"/>
    <w:rsid w:val="00BF0CA1"/>
    <w:rsid w:val="00BF15BD"/>
    <w:rsid w:val="00BF333B"/>
    <w:rsid w:val="00BF4197"/>
    <w:rsid w:val="00C065DD"/>
    <w:rsid w:val="00C11BFE"/>
    <w:rsid w:val="00C16961"/>
    <w:rsid w:val="00C17BE5"/>
    <w:rsid w:val="00C21A24"/>
    <w:rsid w:val="00C223B2"/>
    <w:rsid w:val="00C24CEF"/>
    <w:rsid w:val="00C2601F"/>
    <w:rsid w:val="00C2780C"/>
    <w:rsid w:val="00C30DBA"/>
    <w:rsid w:val="00C313B5"/>
    <w:rsid w:val="00C32541"/>
    <w:rsid w:val="00C32A5C"/>
    <w:rsid w:val="00C34D7E"/>
    <w:rsid w:val="00C47D93"/>
    <w:rsid w:val="00C51D11"/>
    <w:rsid w:val="00C56531"/>
    <w:rsid w:val="00C57076"/>
    <w:rsid w:val="00C61FB6"/>
    <w:rsid w:val="00C66BF1"/>
    <w:rsid w:val="00C70155"/>
    <w:rsid w:val="00C77583"/>
    <w:rsid w:val="00C82D55"/>
    <w:rsid w:val="00C83860"/>
    <w:rsid w:val="00C83BFD"/>
    <w:rsid w:val="00C85C98"/>
    <w:rsid w:val="00C9060F"/>
    <w:rsid w:val="00C9183F"/>
    <w:rsid w:val="00C93C3C"/>
    <w:rsid w:val="00C9667A"/>
    <w:rsid w:val="00CA0830"/>
    <w:rsid w:val="00CA350A"/>
    <w:rsid w:val="00CA4D92"/>
    <w:rsid w:val="00CA617B"/>
    <w:rsid w:val="00CA6924"/>
    <w:rsid w:val="00CB5890"/>
    <w:rsid w:val="00CC0BB7"/>
    <w:rsid w:val="00CE0AF9"/>
    <w:rsid w:val="00CE1D93"/>
    <w:rsid w:val="00CF2FCC"/>
    <w:rsid w:val="00CF62B8"/>
    <w:rsid w:val="00D0066F"/>
    <w:rsid w:val="00D0106C"/>
    <w:rsid w:val="00D0286B"/>
    <w:rsid w:val="00D0661E"/>
    <w:rsid w:val="00D07667"/>
    <w:rsid w:val="00D07E61"/>
    <w:rsid w:val="00D21FED"/>
    <w:rsid w:val="00D2354D"/>
    <w:rsid w:val="00D25F2A"/>
    <w:rsid w:val="00D27695"/>
    <w:rsid w:val="00D313AB"/>
    <w:rsid w:val="00D31D79"/>
    <w:rsid w:val="00D3387F"/>
    <w:rsid w:val="00D45252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8078E"/>
    <w:rsid w:val="00D918CC"/>
    <w:rsid w:val="00D93D55"/>
    <w:rsid w:val="00DA2347"/>
    <w:rsid w:val="00DA4318"/>
    <w:rsid w:val="00DA52AE"/>
    <w:rsid w:val="00DA680B"/>
    <w:rsid w:val="00DB1E46"/>
    <w:rsid w:val="00DB2B79"/>
    <w:rsid w:val="00DB4FBC"/>
    <w:rsid w:val="00DB5866"/>
    <w:rsid w:val="00DB7940"/>
    <w:rsid w:val="00DB7B61"/>
    <w:rsid w:val="00DC7493"/>
    <w:rsid w:val="00DE1B1E"/>
    <w:rsid w:val="00DF207B"/>
    <w:rsid w:val="00E00D5C"/>
    <w:rsid w:val="00E02A47"/>
    <w:rsid w:val="00E056DD"/>
    <w:rsid w:val="00E060B9"/>
    <w:rsid w:val="00E067E4"/>
    <w:rsid w:val="00E06CC2"/>
    <w:rsid w:val="00E070E7"/>
    <w:rsid w:val="00E16A07"/>
    <w:rsid w:val="00E17B5D"/>
    <w:rsid w:val="00E22110"/>
    <w:rsid w:val="00E24CB1"/>
    <w:rsid w:val="00E279F0"/>
    <w:rsid w:val="00E31545"/>
    <w:rsid w:val="00E32157"/>
    <w:rsid w:val="00E335FE"/>
    <w:rsid w:val="00E33EDD"/>
    <w:rsid w:val="00E54E03"/>
    <w:rsid w:val="00E66B05"/>
    <w:rsid w:val="00E67CAF"/>
    <w:rsid w:val="00E71BF7"/>
    <w:rsid w:val="00E74412"/>
    <w:rsid w:val="00E82611"/>
    <w:rsid w:val="00E83AB6"/>
    <w:rsid w:val="00E83F24"/>
    <w:rsid w:val="00E844C4"/>
    <w:rsid w:val="00E84730"/>
    <w:rsid w:val="00E8660F"/>
    <w:rsid w:val="00E95901"/>
    <w:rsid w:val="00EA76DB"/>
    <w:rsid w:val="00EB04A9"/>
    <w:rsid w:val="00EB1AA2"/>
    <w:rsid w:val="00EB35CC"/>
    <w:rsid w:val="00EB3FCD"/>
    <w:rsid w:val="00EC4E49"/>
    <w:rsid w:val="00EC7895"/>
    <w:rsid w:val="00ED4471"/>
    <w:rsid w:val="00ED6BEE"/>
    <w:rsid w:val="00ED77FB"/>
    <w:rsid w:val="00EE0676"/>
    <w:rsid w:val="00EE3155"/>
    <w:rsid w:val="00EE45FA"/>
    <w:rsid w:val="00EE6AEE"/>
    <w:rsid w:val="00EF0F5B"/>
    <w:rsid w:val="00EF46F5"/>
    <w:rsid w:val="00F03DFA"/>
    <w:rsid w:val="00F04EE3"/>
    <w:rsid w:val="00F121C8"/>
    <w:rsid w:val="00F20A79"/>
    <w:rsid w:val="00F2202A"/>
    <w:rsid w:val="00F249A5"/>
    <w:rsid w:val="00F324CE"/>
    <w:rsid w:val="00F34FB9"/>
    <w:rsid w:val="00F41330"/>
    <w:rsid w:val="00F46CF9"/>
    <w:rsid w:val="00F528C8"/>
    <w:rsid w:val="00F52E6C"/>
    <w:rsid w:val="00F55529"/>
    <w:rsid w:val="00F5734D"/>
    <w:rsid w:val="00F57CEB"/>
    <w:rsid w:val="00F61DF9"/>
    <w:rsid w:val="00F66152"/>
    <w:rsid w:val="00F72DBE"/>
    <w:rsid w:val="00F756FC"/>
    <w:rsid w:val="00F77809"/>
    <w:rsid w:val="00F871FD"/>
    <w:rsid w:val="00F92AEE"/>
    <w:rsid w:val="00F9637C"/>
    <w:rsid w:val="00F9747D"/>
    <w:rsid w:val="00FA030E"/>
    <w:rsid w:val="00FA2F1F"/>
    <w:rsid w:val="00FA7941"/>
    <w:rsid w:val="00FB164B"/>
    <w:rsid w:val="00FB2556"/>
    <w:rsid w:val="00FB2D06"/>
    <w:rsid w:val="00FB3A2B"/>
    <w:rsid w:val="00FB4A6B"/>
    <w:rsid w:val="00FB4E0D"/>
    <w:rsid w:val="00FB7114"/>
    <w:rsid w:val="00FC1C92"/>
    <w:rsid w:val="00FC2B87"/>
    <w:rsid w:val="00FC659E"/>
    <w:rsid w:val="00FC692B"/>
    <w:rsid w:val="00FD2F8B"/>
    <w:rsid w:val="00FE1139"/>
    <w:rsid w:val="00FE2A83"/>
    <w:rsid w:val="00FF370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301E6B9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0286B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7C16B7"/>
    <w:pPr>
      <w:keepLines/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0286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Decisionpara">
    <w:name w:val="Decision para"/>
    <w:basedOn w:val="ONUME"/>
    <w:qFormat/>
    <w:rsid w:val="00D0106C"/>
    <w:pPr>
      <w:numPr>
        <w:numId w:val="0"/>
      </w:numPr>
      <w:tabs>
        <w:tab w:val="left" w:pos="576"/>
        <w:tab w:val="left" w:pos="1296"/>
      </w:tabs>
      <w:ind w:left="720"/>
    </w:pPr>
  </w:style>
  <w:style w:type="paragraph" w:customStyle="1" w:styleId="ChairSummarytext">
    <w:name w:val="Chair Summary text"/>
    <w:basedOn w:val="ONUME"/>
    <w:rsid w:val="00D0106C"/>
    <w:pPr>
      <w:numPr>
        <w:numId w:val="0"/>
      </w:numPr>
      <w:tabs>
        <w:tab w:val="left" w:pos="576"/>
      </w:tabs>
    </w:pPr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rsid w:val="005F3FF4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246940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246940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paragraph" w:customStyle="1" w:styleId="Bulletedlistlevel2">
    <w:name w:val="Bulleted list level 2"/>
    <w:basedOn w:val="Normal"/>
    <w:rsid w:val="00F04EE3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1E6AD-9F28-490C-980C-CA77E950B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1010</Words>
  <Characters>5463</Characters>
  <Application>Microsoft Office Word</Application>
  <DocSecurity>0</DocSecurity>
  <Lines>106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CWS/8/7 (in English)</vt:lpstr>
      <vt:lpstr>CWS/8/7 (in English)</vt:lpstr>
    </vt:vector>
  </TitlesOfParts>
  <Company>WIPO</Company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CWS/8/7</dc:title>
  <dc:creator>WIPO</dc:creator>
  <cp:keywords>FOR OFFICIAL USE ONLY</cp:keywords>
  <dc:description/>
  <cp:lastModifiedBy>OLIVIÉ Karen</cp:lastModifiedBy>
  <cp:revision>11</cp:revision>
  <cp:lastPrinted>2020-10-23T16:08:00Z</cp:lastPrinted>
  <dcterms:created xsi:type="dcterms:W3CDTF">2020-10-30T08:07:00Z</dcterms:created>
  <dcterms:modified xsi:type="dcterms:W3CDTF">2020-11-02T16:45:00Z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43e8ea9a-9262-4bf6-b5c2-cd92b4e59263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