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A539" w14:textId="77777777" w:rsidR="00AE1F40" w:rsidRPr="008C2DDC" w:rsidRDefault="00AE1F40" w:rsidP="00AE1F40">
      <w:pPr>
        <w:spacing w:after="120"/>
        <w:jc w:val="right"/>
        <w:rPr>
          <w:lang w:val="fr-FR"/>
        </w:rPr>
      </w:pPr>
      <w:r w:rsidRPr="008C2DDC">
        <w:rPr>
          <w:noProof/>
          <w:lang w:eastAsia="en-US"/>
        </w:rPr>
        <w:drawing>
          <wp:inline distT="0" distB="0" distL="0" distR="0" wp14:anchorId="49E1E52A" wp14:editId="7A21609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01F32DB" w14:textId="4D368843" w:rsidR="00AE1F40" w:rsidRPr="008C2DDC" w:rsidRDefault="00AE1F40" w:rsidP="00AE1F40">
      <w:pPr>
        <w:pBdr>
          <w:top w:val="single" w:sz="4" w:space="7" w:color="auto"/>
        </w:pBdr>
        <w:jc w:val="right"/>
        <w:rPr>
          <w:rFonts w:ascii="Arial Black" w:hAnsi="Arial Black"/>
          <w:caps/>
          <w:sz w:val="15"/>
          <w:lang w:val="fr-FR"/>
        </w:rPr>
      </w:pPr>
      <w:r w:rsidRPr="008C2DDC">
        <w:rPr>
          <w:rFonts w:ascii="Arial Black" w:hAnsi="Arial Black"/>
          <w:caps/>
          <w:sz w:val="15"/>
          <w:lang w:val="fr-FR"/>
        </w:rPr>
        <w:t>CWS/8/1</w:t>
      </w:r>
      <w:r w:rsidR="00515825">
        <w:rPr>
          <w:rFonts w:ascii="Arial Black" w:hAnsi="Arial Black"/>
          <w:caps/>
          <w:sz w:val="15"/>
          <w:lang w:val="fr-FR"/>
        </w:rPr>
        <w:t>0</w:t>
      </w:r>
    </w:p>
    <w:p w14:paraId="57EEC968" w14:textId="06A28FF4" w:rsidR="00AE1F40" w:rsidRPr="008C2DDC" w:rsidRDefault="00AE1F40" w:rsidP="00AE1F40">
      <w:pPr>
        <w:jc w:val="right"/>
        <w:rPr>
          <w:lang w:val="fr-FR"/>
        </w:rPr>
      </w:pPr>
      <w:r w:rsidRPr="008C2DDC">
        <w:rPr>
          <w:rFonts w:ascii="Arial Black" w:hAnsi="Arial Black"/>
          <w:caps/>
          <w:sz w:val="15"/>
          <w:lang w:val="fr-FR"/>
        </w:rPr>
        <w:t>ORIGINAL</w:t>
      </w:r>
      <w:r w:rsidR="00810263" w:rsidRPr="008C2DDC">
        <w:rPr>
          <w:rFonts w:ascii="Arial Black" w:hAnsi="Arial Black"/>
          <w:caps/>
          <w:sz w:val="15"/>
          <w:lang w:val="fr-FR"/>
        </w:rPr>
        <w:t> :</w:t>
      </w:r>
      <w:r w:rsidRPr="008C2DDC">
        <w:rPr>
          <w:rFonts w:ascii="Arial Black" w:hAnsi="Arial Black"/>
          <w:caps/>
          <w:sz w:val="15"/>
          <w:lang w:val="fr-FR"/>
        </w:rPr>
        <w:t xml:space="preserve"> anglais</w:t>
      </w:r>
    </w:p>
    <w:p w14:paraId="7EB1906A" w14:textId="769267B4" w:rsidR="00AE1F40" w:rsidRPr="008C2DDC" w:rsidRDefault="00AE1F40" w:rsidP="00AE1F40">
      <w:pPr>
        <w:spacing w:after="1200"/>
        <w:jc w:val="right"/>
        <w:rPr>
          <w:lang w:val="fr-FR"/>
        </w:rPr>
      </w:pPr>
      <w:r w:rsidRPr="008C2DDC">
        <w:rPr>
          <w:rFonts w:ascii="Arial Black" w:hAnsi="Arial Black"/>
          <w:caps/>
          <w:sz w:val="15"/>
          <w:lang w:val="fr-FR"/>
        </w:rPr>
        <w:t>DATE</w:t>
      </w:r>
      <w:r w:rsidR="00810263" w:rsidRPr="008C2DDC">
        <w:rPr>
          <w:rFonts w:ascii="Arial Black" w:hAnsi="Arial Black"/>
          <w:caps/>
          <w:sz w:val="15"/>
          <w:lang w:val="fr-FR"/>
        </w:rPr>
        <w:t> :</w:t>
      </w:r>
      <w:r w:rsidR="00515825">
        <w:rPr>
          <w:rFonts w:ascii="Arial Black" w:hAnsi="Arial Black"/>
          <w:caps/>
          <w:sz w:val="15"/>
          <w:lang w:val="fr-FR"/>
        </w:rPr>
        <w:t xml:space="preserve"> 30</w:t>
      </w:r>
      <w:r w:rsidRPr="008C2DDC">
        <w:rPr>
          <w:rFonts w:ascii="Arial Black" w:hAnsi="Arial Black"/>
          <w:caps/>
          <w:sz w:val="15"/>
          <w:lang w:val="fr-FR"/>
        </w:rPr>
        <w:t> octobre 2020</w:t>
      </w:r>
    </w:p>
    <w:p w14:paraId="7CFE3973" w14:textId="28ABEF36" w:rsidR="00AE1F40" w:rsidRPr="008C2DDC" w:rsidRDefault="00AE1F40" w:rsidP="00AE1F40">
      <w:pPr>
        <w:pStyle w:val="Title"/>
      </w:pPr>
      <w:r w:rsidRPr="008C2DDC">
        <w:t>Comité des normes de l</w:t>
      </w:r>
      <w:r w:rsidR="00810263" w:rsidRPr="008C2DDC">
        <w:t>’</w:t>
      </w:r>
      <w:r w:rsidRPr="008C2DDC">
        <w:t>OMPI (CWS)</w:t>
      </w:r>
    </w:p>
    <w:p w14:paraId="3FEEF63A" w14:textId="30CAB8B3" w:rsidR="00AE1F40" w:rsidRPr="008C2DDC" w:rsidRDefault="00AE1F40" w:rsidP="00AE1F40">
      <w:pPr>
        <w:outlineLvl w:val="1"/>
        <w:rPr>
          <w:b/>
          <w:sz w:val="24"/>
          <w:szCs w:val="24"/>
          <w:lang w:val="fr-FR"/>
        </w:rPr>
      </w:pPr>
      <w:r w:rsidRPr="008C2DDC">
        <w:rPr>
          <w:b/>
          <w:sz w:val="24"/>
          <w:szCs w:val="24"/>
          <w:lang w:val="fr-FR"/>
        </w:rPr>
        <w:t>Huit</w:t>
      </w:r>
      <w:r w:rsidR="00810263" w:rsidRPr="008C2DDC">
        <w:rPr>
          <w:b/>
          <w:sz w:val="24"/>
          <w:szCs w:val="24"/>
          <w:lang w:val="fr-FR"/>
        </w:rPr>
        <w:t>ième session</w:t>
      </w:r>
    </w:p>
    <w:p w14:paraId="4D68D5E1" w14:textId="77777777" w:rsidR="00AE1F40" w:rsidRPr="008C2DDC" w:rsidRDefault="00AE1F40" w:rsidP="001105B7">
      <w:pPr>
        <w:spacing w:after="720"/>
        <w:outlineLvl w:val="1"/>
        <w:rPr>
          <w:b/>
          <w:sz w:val="24"/>
          <w:szCs w:val="24"/>
          <w:lang w:val="fr-FR"/>
        </w:rPr>
      </w:pPr>
      <w:r w:rsidRPr="008C2DDC">
        <w:rPr>
          <w:b/>
          <w:sz w:val="24"/>
          <w:szCs w:val="24"/>
          <w:lang w:val="fr-FR"/>
        </w:rPr>
        <w:t>Genève, 30 novembre – 4 décembre 2020</w:t>
      </w:r>
    </w:p>
    <w:p w14:paraId="490CD529" w14:textId="77777777" w:rsidR="00515825" w:rsidRPr="00805E02" w:rsidRDefault="00515825" w:rsidP="00515825">
      <w:pPr>
        <w:spacing w:after="360"/>
        <w:rPr>
          <w:caps/>
          <w:sz w:val="24"/>
          <w:lang w:val="fr-FR"/>
        </w:rPr>
      </w:pPr>
      <w:r w:rsidRPr="00805E02">
        <w:rPr>
          <w:caps/>
          <w:sz w:val="24"/>
          <w:lang w:val="fr-FR"/>
        </w:rPr>
        <w:t>Publication des résultats de la première partie du questionnaire sur l’accès à l’information en matière de brevets accessible au public</w:t>
      </w:r>
    </w:p>
    <w:p w14:paraId="0C5A4F7A" w14:textId="77777777" w:rsidR="00515825" w:rsidRPr="00805E02" w:rsidRDefault="00515825" w:rsidP="00515825">
      <w:pPr>
        <w:spacing w:after="960"/>
        <w:rPr>
          <w:i/>
          <w:lang w:val="fr-FR"/>
        </w:rPr>
      </w:pPr>
      <w:r w:rsidRPr="00805E02">
        <w:rPr>
          <w:i/>
          <w:lang w:val="fr-FR"/>
        </w:rPr>
        <w:t>Document établi par le Bureau international</w:t>
      </w:r>
    </w:p>
    <w:p w14:paraId="7E2D75DE" w14:textId="77777777" w:rsidR="00515825" w:rsidRPr="00805E02" w:rsidRDefault="00515825" w:rsidP="00515825">
      <w:pPr>
        <w:pStyle w:val="Heading2"/>
        <w:spacing w:before="120"/>
      </w:pPr>
      <w:r w:rsidRPr="00805E02">
        <w:t>Rappel</w:t>
      </w:r>
    </w:p>
    <w:p w14:paraId="310FD477" w14:textId="77777777" w:rsidR="00515825" w:rsidRPr="00720AFF" w:rsidRDefault="00515825" w:rsidP="00515825">
      <w:pPr>
        <w:pStyle w:val="ONUMFS"/>
        <w:rPr>
          <w:spacing w:val="-2"/>
          <w:lang w:val="fr-FR"/>
        </w:rPr>
      </w:pPr>
      <w:r w:rsidRPr="00720AFF">
        <w:rPr>
          <w:spacing w:val="-2"/>
          <w:lang w:val="fr-FR"/>
        </w:rPr>
        <w:t>À sa septième session tenue en 2019, le Comité des normes de l’OMPI (CWS) a examiné le questionnaire sur l’accès à l’information en matière de brevets accessible au public présenté par l’Équipe d’experts chargée de l’accès public à l’information en matière de brevets.  Ce questionnaire vise à recenser les pratiques des offices de propriété industrielle sur le contenu, les fonctions et les plans futurs concernant l’information en matière de brevets accessible au public.  L’équipe d’experts a découpé l’enquête en deux parties afin d’augmenter le nombre de réponses : la première partie contient un bref questionnaire destiné à récolter des informations de base et la seconde un questionnaire plus détaillé.  Le CWS a approuvé la première partie du questionnaire, mais n’est pas parvenu à un accord en ce qui concerne la seconde partie du questionnaire, qui a été renvoyée à l’équipe d’experts pour un examen plus approfondi.  Le CWS a prié le Secrétariat de diffuser une circulaire invitant les offices de propriété industrielle à participer à la première partie de l’enquête.  (Voir les paragraphes 197 et 201 du document CWS/7/29.)</w:t>
      </w:r>
    </w:p>
    <w:p w14:paraId="4756ABBA" w14:textId="77777777" w:rsidR="00515825" w:rsidRPr="00805E02" w:rsidRDefault="00515825" w:rsidP="00515825">
      <w:pPr>
        <w:pStyle w:val="Heading2"/>
        <w:rPr>
          <w:lang w:eastAsia="en-US"/>
        </w:rPr>
      </w:pPr>
      <w:r>
        <w:rPr>
          <w:lang w:eastAsia="en-US"/>
        </w:rPr>
        <w:t>R</w:t>
      </w:r>
      <w:r w:rsidRPr="00805E02">
        <w:rPr>
          <w:lang w:eastAsia="en-US"/>
        </w:rPr>
        <w:t>ésultats de l’enquête</w:t>
      </w:r>
    </w:p>
    <w:p w14:paraId="7A31EBBB" w14:textId="75363133" w:rsidR="00515825" w:rsidRPr="00515825" w:rsidRDefault="00515825" w:rsidP="000870FA">
      <w:pPr>
        <w:pStyle w:val="ONUMFS"/>
        <w:rPr>
          <w:lang w:val="fr-FR"/>
        </w:rPr>
      </w:pPr>
      <w:r w:rsidRPr="00515825">
        <w:rPr>
          <w:lang w:val="fr-FR"/>
        </w:rPr>
        <w:t xml:space="preserve">En février 2020, le Secrétariat a publié la circulaire C.CWS.133 invitant les offices de propriété industrielle à répondre à la première partie de l’enquête sur l’accès public à l’information en matière de brevets.  Les réponses ont été reçues durant le mois de juillet 2020.  </w:t>
      </w:r>
      <w:r w:rsidRPr="00515825">
        <w:rPr>
          <w:lang w:val="fr-FR" w:eastAsia="en-US"/>
        </w:rPr>
        <w:t>Le Bureau international, en tant que responsable de l’équipe d’experts, a examiné les réponses puis a partagé les résultats avec les membres de l’équipe d’experts pour examen.</w:t>
      </w:r>
      <w:r w:rsidRPr="00515825">
        <w:rPr>
          <w:lang w:val="fr-FR"/>
        </w:rPr>
        <w:t xml:space="preserve">  L’équipe d’experts présente le rapport ci</w:t>
      </w:r>
      <w:r w:rsidRPr="00515825">
        <w:rPr>
          <w:lang w:val="fr-FR"/>
        </w:rPr>
        <w:noBreakHyphen/>
        <w:t xml:space="preserve">après au CWS pour qu’il l’examine et formule des </w:t>
      </w:r>
      <w:r w:rsidRPr="00515825">
        <w:rPr>
          <w:lang w:val="fr-FR"/>
        </w:rPr>
        <w:br/>
      </w:r>
      <w:r w:rsidRPr="00515825">
        <w:rPr>
          <w:lang w:val="fr-FR"/>
        </w:rPr>
        <w:br w:type="page"/>
      </w:r>
    </w:p>
    <w:p w14:paraId="6306D7E2" w14:textId="4367A501" w:rsidR="00515825" w:rsidRPr="00720AFF" w:rsidRDefault="00515825" w:rsidP="00515825">
      <w:pPr>
        <w:pStyle w:val="ONUMFS"/>
        <w:numPr>
          <w:ilvl w:val="0"/>
          <w:numId w:val="0"/>
        </w:numPr>
        <w:rPr>
          <w:lang w:val="fr-FR"/>
        </w:rPr>
      </w:pPr>
      <w:proofErr w:type="gramStart"/>
      <w:r w:rsidRPr="00720AFF">
        <w:rPr>
          <w:lang w:val="fr-FR"/>
        </w:rPr>
        <w:lastRenderedPageBreak/>
        <w:t>observations</w:t>
      </w:r>
      <w:proofErr w:type="gramEnd"/>
      <w:r w:rsidRPr="00720AFF">
        <w:rPr>
          <w:lang w:val="fr-FR"/>
        </w:rPr>
        <w:t>.  Les réponses à l’enquête sont disponibles à l’adresse </w:t>
      </w:r>
      <w:hyperlink r:id="rId9" w:history="1">
        <w:r w:rsidRPr="00720AFF">
          <w:rPr>
            <w:rStyle w:val="Hyperlink"/>
            <w:lang w:val="fr-FR"/>
          </w:rPr>
          <w:t>https://www.wipo.int/edocs/mdocs/cws/en/cws_8/cws_8_item_10.zip</w:t>
        </w:r>
      </w:hyperlink>
      <w:r w:rsidRPr="00720AFF">
        <w:rPr>
          <w:lang w:val="fr-FR"/>
        </w:rPr>
        <w:t xml:space="preserve">.  L’équipe </w:t>
      </w:r>
      <w:proofErr w:type="gramStart"/>
      <w:r w:rsidRPr="00720AFF">
        <w:rPr>
          <w:lang w:val="fr-FR"/>
        </w:rPr>
        <w:t>d’experts</w:t>
      </w:r>
      <w:proofErr w:type="gramEnd"/>
      <w:r w:rsidRPr="00720AFF">
        <w:rPr>
          <w:lang w:val="fr-FR"/>
        </w:rPr>
        <w:t xml:space="preserve"> prie également le CWS d’approuver la publication du résumé des résultats de l’enquête présenté ci</w:t>
      </w:r>
      <w:r w:rsidRPr="00720AFF">
        <w:rPr>
          <w:lang w:val="fr-FR"/>
        </w:rPr>
        <w:noBreakHyphen/>
        <w:t>dessous, avec les réponses, sur le site Web de l’OMPI.</w:t>
      </w:r>
    </w:p>
    <w:p w14:paraId="1894E6B9" w14:textId="77777777" w:rsidR="00515825" w:rsidRPr="00805E02" w:rsidRDefault="00515825" w:rsidP="00515825">
      <w:pPr>
        <w:pStyle w:val="ONUMFS"/>
        <w:rPr>
          <w:lang w:val="fr-FR"/>
        </w:rPr>
      </w:pPr>
      <w:r w:rsidRPr="00805E02">
        <w:rPr>
          <w:lang w:val="fr-FR"/>
        </w:rPr>
        <w:t>Le Secrétariat a reçu 60 réponses des États et organisations</w:t>
      </w:r>
      <w:bookmarkStart w:id="0" w:name="_GoBack"/>
      <w:bookmarkEnd w:id="0"/>
      <w:r w:rsidRPr="00805E02">
        <w:rPr>
          <w:lang w:val="fr-FR"/>
        </w:rPr>
        <w:t xml:space="preserve"> ci</w:t>
      </w:r>
      <w:r>
        <w:rPr>
          <w:lang w:val="fr-FR"/>
        </w:rPr>
        <w:noBreakHyphen/>
      </w:r>
      <w:r w:rsidRPr="00805E02">
        <w:rPr>
          <w:lang w:val="fr-FR"/>
        </w:rPr>
        <w:t>après : Allemagne</w:t>
      </w:r>
      <w:r>
        <w:rPr>
          <w:lang w:val="fr-FR"/>
        </w:rPr>
        <w:t xml:space="preserve">, </w:t>
      </w:r>
      <w:r w:rsidRPr="00805E02">
        <w:rPr>
          <w:lang w:val="fr-FR"/>
        </w:rPr>
        <w:t>Angola</w:t>
      </w:r>
      <w:r>
        <w:rPr>
          <w:lang w:val="fr-FR"/>
        </w:rPr>
        <w:t xml:space="preserve">, </w:t>
      </w:r>
      <w:r w:rsidRPr="00805E02">
        <w:rPr>
          <w:lang w:val="fr-FR"/>
        </w:rPr>
        <w:t>Argentine</w:t>
      </w:r>
      <w:r>
        <w:rPr>
          <w:lang w:val="fr-FR"/>
        </w:rPr>
        <w:t xml:space="preserve">, </w:t>
      </w:r>
      <w:r w:rsidRPr="00805E02">
        <w:rPr>
          <w:lang w:val="fr-FR"/>
        </w:rPr>
        <w:t>Arménie</w:t>
      </w:r>
      <w:r>
        <w:rPr>
          <w:lang w:val="fr-FR"/>
        </w:rPr>
        <w:t xml:space="preserve">, </w:t>
      </w:r>
      <w:r w:rsidRPr="00805E02">
        <w:rPr>
          <w:lang w:val="fr-FR"/>
        </w:rPr>
        <w:t>Australie</w:t>
      </w:r>
      <w:r>
        <w:rPr>
          <w:lang w:val="fr-FR"/>
        </w:rPr>
        <w:t xml:space="preserve">, </w:t>
      </w:r>
      <w:r w:rsidRPr="00805E02">
        <w:rPr>
          <w:lang w:val="fr-FR"/>
        </w:rPr>
        <w:t>Bahreïn</w:t>
      </w:r>
      <w:r>
        <w:rPr>
          <w:lang w:val="fr-FR"/>
        </w:rPr>
        <w:t xml:space="preserve">, </w:t>
      </w:r>
      <w:proofErr w:type="spellStart"/>
      <w:r w:rsidRPr="00805E02">
        <w:rPr>
          <w:lang w:val="fr-FR"/>
        </w:rPr>
        <w:t>Bélarus</w:t>
      </w:r>
      <w:proofErr w:type="spellEnd"/>
      <w:r>
        <w:rPr>
          <w:lang w:val="fr-FR"/>
        </w:rPr>
        <w:t xml:space="preserve">, </w:t>
      </w:r>
      <w:r w:rsidRPr="00805E02">
        <w:rPr>
          <w:lang w:val="fr-FR"/>
        </w:rPr>
        <w:t>Belgique</w:t>
      </w:r>
      <w:r>
        <w:rPr>
          <w:lang w:val="fr-FR"/>
        </w:rPr>
        <w:t xml:space="preserve">, </w:t>
      </w:r>
      <w:r w:rsidRPr="00805E02">
        <w:rPr>
          <w:lang w:val="fr-FR"/>
        </w:rPr>
        <w:t>Bosnie</w:t>
      </w:r>
      <w:r>
        <w:rPr>
          <w:lang w:val="fr-FR"/>
        </w:rPr>
        <w:noBreakHyphen/>
      </w:r>
      <w:r w:rsidRPr="00805E02">
        <w:rPr>
          <w:lang w:val="fr-FR"/>
        </w:rPr>
        <w:t>Herzégovine</w:t>
      </w:r>
      <w:r>
        <w:rPr>
          <w:lang w:val="fr-FR"/>
        </w:rPr>
        <w:t xml:space="preserve">, </w:t>
      </w:r>
      <w:r w:rsidRPr="00805E02">
        <w:rPr>
          <w:lang w:val="fr-FR"/>
        </w:rPr>
        <w:t>Brésil</w:t>
      </w:r>
      <w:r>
        <w:rPr>
          <w:lang w:val="fr-FR"/>
        </w:rPr>
        <w:t xml:space="preserve">, </w:t>
      </w:r>
      <w:proofErr w:type="spellStart"/>
      <w:r w:rsidRPr="00805E02">
        <w:rPr>
          <w:lang w:val="fr-FR"/>
        </w:rPr>
        <w:t>Brunéi</w:t>
      </w:r>
      <w:proofErr w:type="spellEnd"/>
      <w:r w:rsidRPr="00805E02">
        <w:rPr>
          <w:lang w:val="fr-FR"/>
        </w:rPr>
        <w:t xml:space="preserve"> Darussalam</w:t>
      </w:r>
      <w:r>
        <w:rPr>
          <w:lang w:val="fr-FR"/>
        </w:rPr>
        <w:t xml:space="preserve">, </w:t>
      </w:r>
      <w:r w:rsidRPr="00805E02">
        <w:rPr>
          <w:lang w:val="fr-FR"/>
        </w:rPr>
        <w:t>Bulgarie</w:t>
      </w:r>
      <w:r>
        <w:rPr>
          <w:lang w:val="fr-FR"/>
        </w:rPr>
        <w:t xml:space="preserve">, </w:t>
      </w:r>
      <w:r w:rsidRPr="00805E02">
        <w:rPr>
          <w:lang w:val="fr-FR"/>
        </w:rPr>
        <w:t>Cambodge</w:t>
      </w:r>
      <w:r>
        <w:rPr>
          <w:lang w:val="fr-FR"/>
        </w:rPr>
        <w:t xml:space="preserve">, </w:t>
      </w:r>
      <w:r w:rsidRPr="00805E02">
        <w:rPr>
          <w:lang w:val="fr-FR"/>
        </w:rPr>
        <w:t>Canada</w:t>
      </w:r>
      <w:r>
        <w:rPr>
          <w:lang w:val="fr-FR"/>
        </w:rPr>
        <w:t xml:space="preserve">, </w:t>
      </w:r>
      <w:r w:rsidRPr="00805E02">
        <w:rPr>
          <w:lang w:val="fr-FR"/>
        </w:rPr>
        <w:t>Chili</w:t>
      </w:r>
      <w:r>
        <w:rPr>
          <w:lang w:val="fr-FR"/>
        </w:rPr>
        <w:t xml:space="preserve">, </w:t>
      </w:r>
      <w:r w:rsidRPr="00805E02">
        <w:rPr>
          <w:lang w:val="fr-FR"/>
        </w:rPr>
        <w:t>Chine</w:t>
      </w:r>
      <w:r>
        <w:rPr>
          <w:lang w:val="fr-FR"/>
        </w:rPr>
        <w:t xml:space="preserve">, </w:t>
      </w:r>
      <w:r w:rsidRPr="00805E02">
        <w:rPr>
          <w:lang w:val="fr-FR"/>
        </w:rPr>
        <w:t>Colombie</w:t>
      </w:r>
      <w:r>
        <w:rPr>
          <w:lang w:val="fr-FR"/>
        </w:rPr>
        <w:t xml:space="preserve">, </w:t>
      </w:r>
      <w:r w:rsidRPr="00805E02">
        <w:rPr>
          <w:lang w:val="fr-FR"/>
        </w:rPr>
        <w:t>Costa Rica</w:t>
      </w:r>
      <w:r>
        <w:rPr>
          <w:lang w:val="fr-FR"/>
        </w:rPr>
        <w:t xml:space="preserve">, </w:t>
      </w:r>
      <w:r w:rsidRPr="00805E02">
        <w:rPr>
          <w:lang w:val="fr-FR"/>
        </w:rPr>
        <w:t>Côte d’Ivoire</w:t>
      </w:r>
      <w:r>
        <w:rPr>
          <w:lang w:val="fr-FR"/>
        </w:rPr>
        <w:t xml:space="preserve">, </w:t>
      </w:r>
      <w:r w:rsidRPr="00805E02">
        <w:rPr>
          <w:lang w:val="fr-FR"/>
        </w:rPr>
        <w:t>Croatie</w:t>
      </w:r>
      <w:r>
        <w:rPr>
          <w:lang w:val="fr-FR"/>
        </w:rPr>
        <w:t xml:space="preserve">, </w:t>
      </w:r>
      <w:r w:rsidRPr="00805E02">
        <w:rPr>
          <w:lang w:val="fr-FR"/>
        </w:rPr>
        <w:t>Équateur</w:t>
      </w:r>
      <w:r>
        <w:rPr>
          <w:lang w:val="fr-FR"/>
        </w:rPr>
        <w:t xml:space="preserve">, </w:t>
      </w:r>
      <w:r w:rsidRPr="00805E02">
        <w:rPr>
          <w:lang w:val="fr-FR"/>
        </w:rPr>
        <w:t>Espagne</w:t>
      </w:r>
      <w:r>
        <w:rPr>
          <w:lang w:val="fr-FR"/>
        </w:rPr>
        <w:t xml:space="preserve">, </w:t>
      </w:r>
      <w:r w:rsidRPr="00805E02">
        <w:rPr>
          <w:lang w:val="fr-FR"/>
        </w:rPr>
        <w:t>Estonie</w:t>
      </w:r>
      <w:r>
        <w:rPr>
          <w:lang w:val="fr-FR"/>
        </w:rPr>
        <w:t xml:space="preserve">, </w:t>
      </w:r>
      <w:r w:rsidRPr="00805E02">
        <w:rPr>
          <w:lang w:val="fr-FR"/>
        </w:rPr>
        <w:t>États</w:t>
      </w:r>
      <w:r>
        <w:rPr>
          <w:lang w:val="fr-FR"/>
        </w:rPr>
        <w:noBreakHyphen/>
      </w:r>
      <w:r w:rsidRPr="00805E02">
        <w:rPr>
          <w:lang w:val="fr-FR"/>
        </w:rPr>
        <w:t>Unis d’Amérique</w:t>
      </w:r>
      <w:r>
        <w:rPr>
          <w:lang w:val="fr-CH"/>
        </w:rPr>
        <w:t xml:space="preserve">, </w:t>
      </w:r>
      <w:r w:rsidRPr="00805E02">
        <w:rPr>
          <w:lang w:val="fr-FR"/>
        </w:rPr>
        <w:t>Fédération de Russie</w:t>
      </w:r>
      <w:r>
        <w:rPr>
          <w:lang w:val="fr-FR"/>
        </w:rPr>
        <w:t xml:space="preserve">, </w:t>
      </w:r>
      <w:r w:rsidRPr="00805E02">
        <w:rPr>
          <w:lang w:val="fr-FR"/>
        </w:rPr>
        <w:t>Finlande</w:t>
      </w:r>
      <w:r>
        <w:rPr>
          <w:lang w:val="fr-FR"/>
        </w:rPr>
        <w:t xml:space="preserve">, </w:t>
      </w:r>
      <w:r w:rsidRPr="00805E02">
        <w:rPr>
          <w:lang w:val="fr-FR"/>
        </w:rPr>
        <w:t>France</w:t>
      </w:r>
      <w:r>
        <w:rPr>
          <w:lang w:val="fr-FR"/>
        </w:rPr>
        <w:t xml:space="preserve">, </w:t>
      </w:r>
      <w:r w:rsidRPr="00805E02">
        <w:rPr>
          <w:lang w:val="fr-FR"/>
        </w:rPr>
        <w:t>Hong Kong</w:t>
      </w:r>
      <w:r>
        <w:rPr>
          <w:lang w:val="fr-FR"/>
        </w:rPr>
        <w:t xml:space="preserve">, </w:t>
      </w:r>
      <w:r w:rsidRPr="00805E02">
        <w:rPr>
          <w:lang w:val="fr-FR"/>
        </w:rPr>
        <w:t>Hongrie</w:t>
      </w:r>
      <w:r>
        <w:rPr>
          <w:lang w:val="fr-FR"/>
        </w:rPr>
        <w:t xml:space="preserve">, </w:t>
      </w:r>
      <w:r w:rsidRPr="00805E02">
        <w:rPr>
          <w:lang w:val="fr-FR"/>
        </w:rPr>
        <w:t>Irlande</w:t>
      </w:r>
      <w:r>
        <w:rPr>
          <w:lang w:val="fr-FR"/>
        </w:rPr>
        <w:t xml:space="preserve">, </w:t>
      </w:r>
      <w:r w:rsidRPr="00805E02">
        <w:rPr>
          <w:lang w:val="fr-FR"/>
        </w:rPr>
        <w:t>Israël</w:t>
      </w:r>
      <w:r>
        <w:rPr>
          <w:lang w:val="fr-FR"/>
        </w:rPr>
        <w:t xml:space="preserve">, </w:t>
      </w:r>
      <w:r w:rsidRPr="00805E02">
        <w:rPr>
          <w:lang w:val="fr-FR"/>
        </w:rPr>
        <w:t>Italie</w:t>
      </w:r>
      <w:r>
        <w:rPr>
          <w:lang w:val="fr-FR"/>
        </w:rPr>
        <w:t xml:space="preserve">, </w:t>
      </w:r>
      <w:r w:rsidRPr="00805E02">
        <w:rPr>
          <w:lang w:val="fr-FR"/>
        </w:rPr>
        <w:t>Japon</w:t>
      </w:r>
      <w:r>
        <w:rPr>
          <w:lang w:val="fr-FR"/>
        </w:rPr>
        <w:t xml:space="preserve">, </w:t>
      </w:r>
      <w:r w:rsidRPr="00805E02">
        <w:rPr>
          <w:lang w:val="fr-FR"/>
        </w:rPr>
        <w:t>Lettonie</w:t>
      </w:r>
      <w:r>
        <w:rPr>
          <w:lang w:val="fr-FR"/>
        </w:rPr>
        <w:t xml:space="preserve">, </w:t>
      </w:r>
      <w:r w:rsidRPr="00805E02">
        <w:rPr>
          <w:lang w:val="fr-FR"/>
        </w:rPr>
        <w:t>Liban</w:t>
      </w:r>
      <w:r>
        <w:rPr>
          <w:lang w:val="fr-FR"/>
        </w:rPr>
        <w:t xml:space="preserve">, </w:t>
      </w:r>
      <w:r w:rsidRPr="00805E02">
        <w:rPr>
          <w:lang w:val="fr-FR"/>
        </w:rPr>
        <w:t>Lituanie</w:t>
      </w:r>
      <w:r>
        <w:rPr>
          <w:lang w:val="fr-FR"/>
        </w:rPr>
        <w:t xml:space="preserve">, </w:t>
      </w:r>
      <w:r w:rsidRPr="00805E02">
        <w:rPr>
          <w:lang w:val="fr-FR"/>
        </w:rPr>
        <w:t>Luxembourg</w:t>
      </w:r>
      <w:r>
        <w:rPr>
          <w:lang w:val="fr-FR"/>
        </w:rPr>
        <w:t xml:space="preserve">, </w:t>
      </w:r>
      <w:r w:rsidRPr="00805E02">
        <w:rPr>
          <w:lang w:val="fr-FR"/>
        </w:rPr>
        <w:t>Mexique</w:t>
      </w:r>
      <w:r>
        <w:rPr>
          <w:lang w:val="fr-FR"/>
        </w:rPr>
        <w:t xml:space="preserve">, </w:t>
      </w:r>
      <w:r w:rsidRPr="00805E02">
        <w:rPr>
          <w:lang w:val="fr-FR"/>
        </w:rPr>
        <w:t>Monaco</w:t>
      </w:r>
      <w:r>
        <w:rPr>
          <w:lang w:val="fr-FR"/>
        </w:rPr>
        <w:t xml:space="preserve">, </w:t>
      </w:r>
      <w:r w:rsidRPr="00805E02">
        <w:rPr>
          <w:lang w:val="fr-FR"/>
        </w:rPr>
        <w:t>Nicaragua</w:t>
      </w:r>
      <w:r>
        <w:rPr>
          <w:lang w:val="fr-FR"/>
        </w:rPr>
        <w:t xml:space="preserve">, </w:t>
      </w:r>
      <w:r w:rsidRPr="00805E02">
        <w:rPr>
          <w:lang w:val="fr-FR"/>
        </w:rPr>
        <w:t>Norvège</w:t>
      </w:r>
      <w:r>
        <w:rPr>
          <w:lang w:val="fr-FR"/>
        </w:rPr>
        <w:t xml:space="preserve">, </w:t>
      </w:r>
      <w:r w:rsidRPr="00805E02">
        <w:rPr>
          <w:lang w:val="fr-FR"/>
        </w:rPr>
        <w:t>Nouvelle</w:t>
      </w:r>
      <w:r>
        <w:rPr>
          <w:lang w:val="fr-FR"/>
        </w:rPr>
        <w:noBreakHyphen/>
      </w:r>
      <w:r w:rsidRPr="00805E02">
        <w:rPr>
          <w:lang w:val="fr-FR"/>
        </w:rPr>
        <w:t>Zélande</w:t>
      </w:r>
      <w:r>
        <w:rPr>
          <w:lang w:val="fr-FR"/>
        </w:rPr>
        <w:t xml:space="preserve">, </w:t>
      </w:r>
      <w:r w:rsidRPr="00805E02">
        <w:rPr>
          <w:lang w:val="fr-FR"/>
        </w:rPr>
        <w:t>Oman</w:t>
      </w:r>
      <w:r>
        <w:rPr>
          <w:lang w:val="fr-FR"/>
        </w:rPr>
        <w:t xml:space="preserve">, </w:t>
      </w:r>
      <w:r w:rsidRPr="00805E02">
        <w:rPr>
          <w:lang w:val="fr-FR"/>
        </w:rPr>
        <w:t>Organisation eurasienne des brevets (OEAB)</w:t>
      </w:r>
      <w:r>
        <w:rPr>
          <w:lang w:val="fr-FR"/>
        </w:rPr>
        <w:t xml:space="preserve">, </w:t>
      </w:r>
      <w:r w:rsidRPr="00805E02">
        <w:rPr>
          <w:lang w:val="fr-FR"/>
        </w:rPr>
        <w:t>Organisation régionale africaine de la propriété intellectuelle (ARIPO)</w:t>
      </w:r>
      <w:r>
        <w:rPr>
          <w:lang w:val="fr-FR"/>
        </w:rPr>
        <w:t xml:space="preserve">, </w:t>
      </w:r>
      <w:r w:rsidRPr="00805E02">
        <w:rPr>
          <w:lang w:val="fr-FR"/>
        </w:rPr>
        <w:t>Pakistan</w:t>
      </w:r>
      <w:r>
        <w:rPr>
          <w:lang w:val="fr-FR"/>
        </w:rPr>
        <w:t xml:space="preserve">, </w:t>
      </w:r>
      <w:r w:rsidRPr="00805E02">
        <w:rPr>
          <w:lang w:val="fr-FR"/>
        </w:rPr>
        <w:t>Papouasie</w:t>
      </w:r>
      <w:r>
        <w:rPr>
          <w:lang w:val="fr-FR"/>
        </w:rPr>
        <w:noBreakHyphen/>
      </w:r>
      <w:r w:rsidRPr="00805E02">
        <w:rPr>
          <w:lang w:val="fr-FR"/>
        </w:rPr>
        <w:t>Nouvelle</w:t>
      </w:r>
      <w:r>
        <w:rPr>
          <w:lang w:val="fr-FR"/>
        </w:rPr>
        <w:noBreakHyphen/>
      </w:r>
      <w:r w:rsidRPr="00805E02">
        <w:rPr>
          <w:lang w:val="fr-FR"/>
        </w:rPr>
        <w:t>Guinée</w:t>
      </w:r>
      <w:r>
        <w:rPr>
          <w:lang w:val="fr-FR"/>
        </w:rPr>
        <w:t xml:space="preserve">, </w:t>
      </w:r>
      <w:r w:rsidRPr="00805E02">
        <w:rPr>
          <w:lang w:val="fr-FR"/>
        </w:rPr>
        <w:t>Paraguay</w:t>
      </w:r>
      <w:r>
        <w:rPr>
          <w:lang w:val="fr-FR"/>
        </w:rPr>
        <w:t xml:space="preserve">, </w:t>
      </w:r>
      <w:r w:rsidRPr="00805E02">
        <w:rPr>
          <w:lang w:val="fr-FR"/>
        </w:rPr>
        <w:t>Portugal</w:t>
      </w:r>
      <w:r>
        <w:rPr>
          <w:lang w:val="fr-FR"/>
        </w:rPr>
        <w:t xml:space="preserve">, </w:t>
      </w:r>
      <w:r w:rsidRPr="00805E02">
        <w:rPr>
          <w:lang w:val="fr-FR"/>
        </w:rPr>
        <w:t>République de Corée</w:t>
      </w:r>
      <w:r>
        <w:rPr>
          <w:lang w:val="fr-FR"/>
        </w:rPr>
        <w:t xml:space="preserve">, </w:t>
      </w:r>
      <w:r w:rsidRPr="00805E02">
        <w:rPr>
          <w:lang w:val="fr-FR"/>
        </w:rPr>
        <w:t>République de Moldova</w:t>
      </w:r>
      <w:r>
        <w:rPr>
          <w:lang w:val="fr-FR"/>
        </w:rPr>
        <w:t xml:space="preserve">, </w:t>
      </w:r>
      <w:r w:rsidRPr="00805E02">
        <w:rPr>
          <w:lang w:val="fr-FR"/>
        </w:rPr>
        <w:t>République tchèque</w:t>
      </w:r>
      <w:r>
        <w:rPr>
          <w:lang w:val="fr-FR"/>
        </w:rPr>
        <w:t xml:space="preserve">, </w:t>
      </w:r>
      <w:r w:rsidRPr="00805E02">
        <w:rPr>
          <w:lang w:val="fr-FR"/>
        </w:rPr>
        <w:t>Royaume</w:t>
      </w:r>
      <w:r>
        <w:rPr>
          <w:lang w:val="fr-FR"/>
        </w:rPr>
        <w:noBreakHyphen/>
      </w:r>
      <w:r w:rsidRPr="00805E02">
        <w:rPr>
          <w:lang w:val="fr-FR"/>
        </w:rPr>
        <w:t>Uni</w:t>
      </w:r>
      <w:r>
        <w:rPr>
          <w:lang w:val="fr-FR"/>
        </w:rPr>
        <w:t xml:space="preserve">, </w:t>
      </w:r>
      <w:r w:rsidRPr="00805E02">
        <w:rPr>
          <w:lang w:val="fr-FR"/>
        </w:rPr>
        <w:t>Saint</w:t>
      </w:r>
      <w:r>
        <w:rPr>
          <w:lang w:val="fr-FR"/>
        </w:rPr>
        <w:noBreakHyphen/>
      </w:r>
      <w:r w:rsidRPr="00805E02">
        <w:rPr>
          <w:lang w:val="fr-FR"/>
        </w:rPr>
        <w:t>Marin</w:t>
      </w:r>
      <w:r>
        <w:rPr>
          <w:lang w:val="fr-FR"/>
        </w:rPr>
        <w:t xml:space="preserve">, </w:t>
      </w:r>
      <w:r w:rsidRPr="00805E02">
        <w:rPr>
          <w:lang w:val="fr-FR"/>
        </w:rPr>
        <w:t>Seychelles</w:t>
      </w:r>
      <w:r>
        <w:rPr>
          <w:lang w:val="fr-FR"/>
        </w:rPr>
        <w:t xml:space="preserve">, </w:t>
      </w:r>
      <w:r w:rsidRPr="00805E02">
        <w:rPr>
          <w:lang w:val="fr-FR"/>
        </w:rPr>
        <w:t>Slovaquie</w:t>
      </w:r>
      <w:r>
        <w:rPr>
          <w:lang w:val="fr-FR"/>
        </w:rPr>
        <w:t xml:space="preserve">, </w:t>
      </w:r>
      <w:r w:rsidRPr="00805E02">
        <w:rPr>
          <w:lang w:val="fr-FR"/>
        </w:rPr>
        <w:t>Suède</w:t>
      </w:r>
      <w:r>
        <w:rPr>
          <w:lang w:val="fr-FR"/>
        </w:rPr>
        <w:t xml:space="preserve">, </w:t>
      </w:r>
      <w:r w:rsidRPr="00805E02">
        <w:rPr>
          <w:lang w:val="fr-FR"/>
        </w:rPr>
        <w:t>Thaïlande</w:t>
      </w:r>
      <w:r>
        <w:rPr>
          <w:lang w:val="fr-FR"/>
        </w:rPr>
        <w:t xml:space="preserve">, </w:t>
      </w:r>
      <w:r w:rsidRPr="00805E02">
        <w:rPr>
          <w:lang w:val="fr-FR"/>
        </w:rPr>
        <w:t>Trinité</w:t>
      </w:r>
      <w:r>
        <w:rPr>
          <w:lang w:val="fr-FR"/>
        </w:rPr>
        <w:noBreakHyphen/>
      </w:r>
      <w:r w:rsidRPr="00805E02">
        <w:rPr>
          <w:lang w:val="fr-FR"/>
        </w:rPr>
        <w:t>et</w:t>
      </w:r>
      <w:r>
        <w:rPr>
          <w:lang w:val="fr-FR"/>
        </w:rPr>
        <w:noBreakHyphen/>
      </w:r>
      <w:r w:rsidRPr="00805E02">
        <w:rPr>
          <w:lang w:val="fr-FR"/>
        </w:rPr>
        <w:t>Tobago</w:t>
      </w:r>
      <w:r>
        <w:rPr>
          <w:lang w:val="fr-FR"/>
        </w:rPr>
        <w:t xml:space="preserve">, </w:t>
      </w:r>
      <w:r w:rsidRPr="00805E02">
        <w:rPr>
          <w:lang w:val="fr-FR"/>
        </w:rPr>
        <w:t>Tunisie</w:t>
      </w:r>
      <w:r>
        <w:rPr>
          <w:lang w:val="fr-FR"/>
        </w:rPr>
        <w:t xml:space="preserve"> et Ukraine</w:t>
      </w:r>
      <w:r w:rsidRPr="00805E02">
        <w:rPr>
          <w:lang w:val="fr-FR"/>
        </w:rPr>
        <w:t>.</w:t>
      </w:r>
    </w:p>
    <w:p w14:paraId="23641715" w14:textId="77777777" w:rsidR="00515825" w:rsidRPr="00805E02" w:rsidRDefault="00515825" w:rsidP="00515825">
      <w:pPr>
        <w:pStyle w:val="ONUMFS"/>
        <w:rPr>
          <w:lang w:val="fr-FR" w:eastAsia="en-US"/>
        </w:rPr>
      </w:pPr>
      <w:r w:rsidRPr="00805E02">
        <w:rPr>
          <w:lang w:val="fr-FR" w:eastAsia="en-US"/>
        </w:rPr>
        <w:t>Cinquante</w:t>
      </w:r>
      <w:r>
        <w:rPr>
          <w:lang w:val="fr-FR" w:eastAsia="en-US"/>
        </w:rPr>
        <w:noBreakHyphen/>
      </w:r>
      <w:r w:rsidRPr="00805E02">
        <w:rPr>
          <w:lang w:val="fr-FR" w:eastAsia="en-US"/>
        </w:rPr>
        <w:t>trois participants (88%) ont indiqué que leur office fournissait un accès en ligne à l’information en matière de brevets.</w:t>
      </w:r>
      <w:r w:rsidRPr="00805E02">
        <w:rPr>
          <w:lang w:val="fr-FR"/>
        </w:rPr>
        <w:t xml:space="preserve">  </w:t>
      </w:r>
      <w:r w:rsidRPr="00805E02">
        <w:rPr>
          <w:lang w:val="fr-FR" w:eastAsia="en-US"/>
        </w:rPr>
        <w:t>Plus de 75% de ces participants fournissent un accès en ligne à des informations sur les données relatives à la priorité, la situation juridique, les demandes publiées, les brevets délivrés et leur bulletin officiel.</w:t>
      </w:r>
      <w:r w:rsidRPr="00805E02">
        <w:rPr>
          <w:lang w:val="fr-FR"/>
        </w:rPr>
        <w:t xml:space="preserve">  </w:t>
      </w:r>
      <w:r w:rsidRPr="00805E02">
        <w:rPr>
          <w:lang w:val="fr-FR" w:eastAsia="en-US"/>
        </w:rPr>
        <w:t xml:space="preserve">Au moins la moitié des participants fournissent un accès en ligne à des informations sur les licences, les cessions ultérieures, les corrections et les extensions de la durée de validité des brevets (y compris les certificats complémentaires de protection). </w:t>
      </w:r>
      <w:r w:rsidRPr="00805E02">
        <w:rPr>
          <w:lang w:val="fr-FR"/>
        </w:rPr>
        <w:t xml:space="preserve"> </w:t>
      </w:r>
      <w:r w:rsidRPr="00805E02">
        <w:rPr>
          <w:lang w:val="fr-FR" w:eastAsia="en-US"/>
        </w:rPr>
        <w:t>En revanche, parmi les informations accessibles en ligne, on trouve moins fréquemment les décisions de justice (40%</w:t>
      </w:r>
      <w:r>
        <w:rPr>
          <w:lang w:val="fr-FR" w:eastAsia="en-US"/>
        </w:rPr>
        <w:t>), la consultation des dossiers </w:t>
      </w:r>
      <w:r w:rsidRPr="00805E02">
        <w:rPr>
          <w:lang w:val="fr-FR" w:eastAsia="en-US"/>
        </w:rPr>
        <w:t>(31%), les demandes non publiées (22%) et les informations sur les familles de brevets (19%).</w:t>
      </w:r>
    </w:p>
    <w:p w14:paraId="51D64C3B" w14:textId="77777777" w:rsidR="00515825" w:rsidRPr="00805E02" w:rsidRDefault="00515825" w:rsidP="00515825">
      <w:pPr>
        <w:pStyle w:val="ONUMFS"/>
        <w:rPr>
          <w:lang w:val="fr-FR" w:eastAsia="en-US"/>
        </w:rPr>
      </w:pPr>
      <w:r w:rsidRPr="00805E02">
        <w:rPr>
          <w:lang w:val="fr-FR" w:eastAsia="en-US"/>
        </w:rPr>
        <w:t>Parmi les offices fournissant un accès en ligne à des informations sur la situation juridique, plus de 70% fournissent pour certaines années des données indiquant si le brevet a été délivré, s’il est en vigueur, des données sur les versements des taxes ainsi que des données sur les changements de titulaire.</w:t>
      </w:r>
      <w:r w:rsidRPr="00805E02">
        <w:rPr>
          <w:lang w:val="fr-FR"/>
        </w:rPr>
        <w:t xml:space="preserve">  </w:t>
      </w:r>
      <w:r w:rsidRPr="00805E02">
        <w:rPr>
          <w:lang w:val="fr-FR" w:eastAsia="en-US"/>
        </w:rPr>
        <w:t>Plus de la moitié des offices fournissent des informations sur la date de l’entrée dans la phase nationale selon le PCT et les événements avant et après la délivrance du brevet, survenus à la suite de décisions de justice.</w:t>
      </w:r>
    </w:p>
    <w:p w14:paraId="253757D7" w14:textId="77777777" w:rsidR="00515825" w:rsidRPr="00805E02" w:rsidRDefault="00515825" w:rsidP="00515825">
      <w:pPr>
        <w:pStyle w:val="ONUMFS"/>
        <w:rPr>
          <w:lang w:val="fr-FR" w:eastAsia="en-US"/>
        </w:rPr>
      </w:pPr>
      <w:r w:rsidRPr="00805E02">
        <w:rPr>
          <w:lang w:val="fr-FR" w:eastAsia="en-US"/>
        </w:rPr>
        <w:t>Pratiquement tous les offices (51) autorisent les utilisateurs à accéder en ligne à l’information sans identifiant de connexion.</w:t>
      </w:r>
      <w:r w:rsidRPr="00805E02">
        <w:rPr>
          <w:lang w:val="fr-FR"/>
        </w:rPr>
        <w:t xml:space="preserve">  </w:t>
      </w:r>
      <w:r w:rsidRPr="00805E02">
        <w:rPr>
          <w:lang w:val="fr-FR" w:eastAsia="en-US"/>
        </w:rPr>
        <w:t>La majorité des participants mettent à jour l’information en matière de brevets de façon quotidienne, hebdomadaire ou bihebdomadaire</w:t>
      </w:r>
      <w:r>
        <w:rPr>
          <w:lang w:val="fr-FR" w:eastAsia="en-US"/>
        </w:rPr>
        <w:t> </w:t>
      </w:r>
      <w:r w:rsidRPr="00805E02">
        <w:rPr>
          <w:lang w:val="fr-FR" w:eastAsia="en-US"/>
        </w:rPr>
        <w:t>(60</w:t>
      </w:r>
      <w:r>
        <w:rPr>
          <w:lang w:val="fr-FR" w:eastAsia="en-US"/>
        </w:rPr>
        <w:noBreakHyphen/>
      </w:r>
      <w:r w:rsidRPr="00805E02">
        <w:rPr>
          <w:lang w:val="fr-FR" w:eastAsia="en-US"/>
        </w:rPr>
        <w:t>70% selon le type d’information), alors que certains procèdent à des mises à jour mensuelles (15</w:t>
      </w:r>
      <w:r>
        <w:rPr>
          <w:lang w:val="fr-FR" w:eastAsia="en-US"/>
        </w:rPr>
        <w:noBreakHyphen/>
      </w:r>
      <w:r w:rsidRPr="00805E02">
        <w:rPr>
          <w:lang w:val="fr-FR" w:eastAsia="en-US"/>
        </w:rPr>
        <w:t>20%) ou en temps réel (10</w:t>
      </w:r>
      <w:r>
        <w:rPr>
          <w:lang w:val="fr-FR" w:eastAsia="en-US"/>
        </w:rPr>
        <w:noBreakHyphen/>
      </w:r>
      <w:r w:rsidRPr="00805E02">
        <w:rPr>
          <w:lang w:val="fr-FR" w:eastAsia="en-US"/>
        </w:rPr>
        <w:t>15%).</w:t>
      </w:r>
      <w:r w:rsidRPr="00805E02">
        <w:rPr>
          <w:lang w:val="fr-FR"/>
        </w:rPr>
        <w:t xml:space="preserve">  </w:t>
      </w:r>
      <w:r w:rsidRPr="00805E02">
        <w:rPr>
          <w:lang w:val="fr-FR" w:eastAsia="en-US"/>
        </w:rPr>
        <w:t>Cinquante</w:t>
      </w:r>
      <w:r>
        <w:rPr>
          <w:lang w:val="fr-FR" w:eastAsia="en-US"/>
        </w:rPr>
        <w:noBreakHyphen/>
      </w:r>
      <w:r w:rsidRPr="00805E02">
        <w:rPr>
          <w:lang w:val="fr-FR" w:eastAsia="en-US"/>
        </w:rPr>
        <w:t>cinq offices (92%) fournissent les informations en matière de brevets en anglais et, dans la plupart des cas, dans une ou plusieurs autres langues du pays.</w:t>
      </w:r>
    </w:p>
    <w:p w14:paraId="573195DE" w14:textId="77777777" w:rsidR="00515825" w:rsidRPr="00805E02" w:rsidRDefault="00515825" w:rsidP="00515825">
      <w:pPr>
        <w:pStyle w:val="ONUMFS"/>
        <w:ind w:left="5533"/>
        <w:rPr>
          <w:i/>
          <w:lang w:val="fr-FR"/>
        </w:rPr>
      </w:pPr>
      <w:r w:rsidRPr="00805E02">
        <w:rPr>
          <w:i/>
          <w:lang w:val="fr-FR"/>
        </w:rPr>
        <w:t>Le CWS est invité</w:t>
      </w:r>
    </w:p>
    <w:p w14:paraId="244F396C" w14:textId="77777777" w:rsidR="00515825" w:rsidRPr="00805E02" w:rsidRDefault="00515825" w:rsidP="00515825">
      <w:pPr>
        <w:pStyle w:val="ONUMFS"/>
        <w:numPr>
          <w:ilvl w:val="1"/>
          <w:numId w:val="6"/>
        </w:numPr>
        <w:ind w:left="5533"/>
        <w:rPr>
          <w:i/>
          <w:lang w:val="fr-FR"/>
        </w:rPr>
      </w:pPr>
      <w:proofErr w:type="gramStart"/>
      <w:r w:rsidRPr="00805E02">
        <w:rPr>
          <w:i/>
          <w:lang w:val="fr-FR"/>
        </w:rPr>
        <w:t>à</w:t>
      </w:r>
      <w:proofErr w:type="gramEnd"/>
      <w:r w:rsidRPr="00805E02">
        <w:rPr>
          <w:i/>
          <w:lang w:val="fr-FR"/>
        </w:rPr>
        <w:t xml:space="preserve"> prendre note du contenu du présent document et</w:t>
      </w:r>
    </w:p>
    <w:p w14:paraId="0E5A9A90" w14:textId="77777777" w:rsidR="00515825" w:rsidRPr="00805E02" w:rsidRDefault="00515825" w:rsidP="00515825">
      <w:pPr>
        <w:pStyle w:val="ONUMFS"/>
        <w:numPr>
          <w:ilvl w:val="1"/>
          <w:numId w:val="6"/>
        </w:numPr>
        <w:ind w:left="5533"/>
        <w:rPr>
          <w:i/>
          <w:lang w:val="fr-FR"/>
        </w:rPr>
      </w:pPr>
      <w:proofErr w:type="gramStart"/>
      <w:r w:rsidRPr="00805E02">
        <w:rPr>
          <w:i/>
          <w:lang w:val="fr-FR"/>
        </w:rPr>
        <w:t>à</w:t>
      </w:r>
      <w:proofErr w:type="gramEnd"/>
      <w:r w:rsidRPr="00805E02">
        <w:rPr>
          <w:i/>
          <w:lang w:val="fr-FR"/>
        </w:rPr>
        <w:t xml:space="preserve"> prier le Bureau international de publier les résultats de l’enquête avec les réponses sur le site Web de l’OMPI, comme indiqué au paragraphe 2.</w:t>
      </w:r>
    </w:p>
    <w:p w14:paraId="205E12D6" w14:textId="2A1D9049" w:rsidR="007812E7" w:rsidRPr="008C2DDC" w:rsidRDefault="00515825" w:rsidP="00515825">
      <w:pPr>
        <w:pStyle w:val="Endofdocument-Annex"/>
        <w:spacing w:before="660"/>
        <w:rPr>
          <w:lang w:val="fr-FR"/>
        </w:rPr>
      </w:pPr>
      <w:r w:rsidRPr="00805E02">
        <w:rPr>
          <w:lang w:val="fr-FR"/>
        </w:rPr>
        <w:t>[Fin du document]</w:t>
      </w:r>
    </w:p>
    <w:sectPr w:rsidR="007812E7" w:rsidRPr="008C2DDC" w:rsidSect="00515825">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49DB1" w14:textId="77777777" w:rsidR="00CE322B" w:rsidRDefault="00CE322B">
      <w:r>
        <w:separator/>
      </w:r>
    </w:p>
  </w:endnote>
  <w:endnote w:type="continuationSeparator" w:id="0">
    <w:p w14:paraId="42908F89" w14:textId="77777777" w:rsidR="00CE322B" w:rsidRDefault="00CE322B" w:rsidP="003B38C1">
      <w:r>
        <w:separator/>
      </w:r>
    </w:p>
    <w:p w14:paraId="3EDF64DE" w14:textId="77777777" w:rsidR="00CE322B" w:rsidRPr="003B38C1" w:rsidRDefault="00CE322B" w:rsidP="003B38C1">
      <w:pPr>
        <w:spacing w:after="60"/>
        <w:rPr>
          <w:sz w:val="17"/>
        </w:rPr>
      </w:pPr>
      <w:r>
        <w:rPr>
          <w:sz w:val="17"/>
        </w:rPr>
        <w:t>[Endnote continued from previous page]</w:t>
      </w:r>
    </w:p>
  </w:endnote>
  <w:endnote w:type="continuationNotice" w:id="1">
    <w:p w14:paraId="3AB8E9A2" w14:textId="77777777" w:rsidR="00CE322B" w:rsidRPr="003B38C1" w:rsidRDefault="00CE32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83A8" w14:textId="77777777" w:rsidR="00CE322B" w:rsidRDefault="00CE322B">
      <w:r>
        <w:separator/>
      </w:r>
    </w:p>
  </w:footnote>
  <w:footnote w:type="continuationSeparator" w:id="0">
    <w:p w14:paraId="6D5A7563" w14:textId="77777777" w:rsidR="00CE322B" w:rsidRDefault="00CE322B" w:rsidP="008B60B2">
      <w:r>
        <w:separator/>
      </w:r>
    </w:p>
    <w:p w14:paraId="42564230" w14:textId="77777777" w:rsidR="00CE322B" w:rsidRPr="00ED77FB" w:rsidRDefault="00CE322B" w:rsidP="008B60B2">
      <w:pPr>
        <w:spacing w:after="60"/>
        <w:rPr>
          <w:sz w:val="17"/>
          <w:szCs w:val="17"/>
        </w:rPr>
      </w:pPr>
      <w:r w:rsidRPr="00ED77FB">
        <w:rPr>
          <w:sz w:val="17"/>
          <w:szCs w:val="17"/>
        </w:rPr>
        <w:t>[Footnote continued from previous page]</w:t>
      </w:r>
    </w:p>
  </w:footnote>
  <w:footnote w:type="continuationNotice" w:id="1">
    <w:p w14:paraId="6D0DCB1E" w14:textId="77777777" w:rsidR="00CE322B" w:rsidRPr="00ED77FB" w:rsidRDefault="00CE32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8E07" w14:textId="65172C07" w:rsidR="0032567F" w:rsidRDefault="0032567F" w:rsidP="0032567F">
    <w:pPr>
      <w:jc w:val="right"/>
    </w:pPr>
    <w:r>
      <w:t>CWS/8/1</w:t>
    </w:r>
    <w:r w:rsidR="00515825">
      <w:t>0</w:t>
    </w:r>
  </w:p>
  <w:p w14:paraId="241E738B" w14:textId="3E6C70D1" w:rsidR="0032567F" w:rsidRDefault="0032567F" w:rsidP="0032567F">
    <w:pPr>
      <w:jc w:val="right"/>
    </w:pPr>
    <w:proofErr w:type="gramStart"/>
    <w:r>
      <w:t>page</w:t>
    </w:r>
    <w:proofErr w:type="gramEnd"/>
    <w:r>
      <w:t xml:space="preserve"> </w:t>
    </w:r>
    <w:r>
      <w:fldChar w:fldCharType="begin"/>
    </w:r>
    <w:r>
      <w:instrText xml:space="preserve"> PAGE  \* MERGEFORMAT </w:instrText>
    </w:r>
    <w:r>
      <w:fldChar w:fldCharType="separate"/>
    </w:r>
    <w:r w:rsidR="00515825">
      <w:rPr>
        <w:noProof/>
      </w:rPr>
      <w:t>2</w:t>
    </w:r>
    <w:r>
      <w:fldChar w:fldCharType="end"/>
    </w:r>
  </w:p>
  <w:p w14:paraId="3F435C89" w14:textId="77777777" w:rsidR="0032567F" w:rsidRDefault="0032567F" w:rsidP="0032567F">
    <w:pPr>
      <w:jc w:val="right"/>
    </w:pPr>
  </w:p>
  <w:p w14:paraId="1641C0B9" w14:textId="77777777"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0032A" w14:textId="77777777" w:rsidR="00EC4E49" w:rsidRDefault="00624ABF" w:rsidP="00477D6B">
    <w:pPr>
      <w:jc w:val="right"/>
    </w:pPr>
    <w:r>
      <w:t>CWS/8/</w:t>
    </w:r>
    <w:r w:rsidR="007812E7">
      <w:t>11</w:t>
    </w:r>
  </w:p>
  <w:p w14:paraId="3E663CD9" w14:textId="1D240E02" w:rsidR="00EC4E49" w:rsidRDefault="00EC4E49" w:rsidP="00477D6B">
    <w:pPr>
      <w:jc w:val="right"/>
    </w:pPr>
    <w:proofErr w:type="gramStart"/>
    <w:r>
      <w:t>page</w:t>
    </w:r>
    <w:proofErr w:type="gramEnd"/>
    <w:r w:rsidR="00620B86">
      <w:t> </w:t>
    </w:r>
    <w:r>
      <w:fldChar w:fldCharType="begin"/>
    </w:r>
    <w:r>
      <w:instrText xml:space="preserve"> PAGE  \* MERGEFORMAT </w:instrText>
    </w:r>
    <w:r>
      <w:fldChar w:fldCharType="separate"/>
    </w:r>
    <w:r w:rsidR="00515825">
      <w:rPr>
        <w:noProof/>
      </w:rPr>
      <w:t>3</w:t>
    </w:r>
    <w:r>
      <w:fldChar w:fldCharType="end"/>
    </w:r>
  </w:p>
  <w:p w14:paraId="73391B75" w14:textId="77777777" w:rsidR="00EC4E49" w:rsidRDefault="00EC4E49" w:rsidP="00477D6B">
    <w:pPr>
      <w:jc w:val="right"/>
    </w:pPr>
  </w:p>
  <w:p w14:paraId="70DF5468"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5"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23063"/>
    <w:multiLevelType w:val="multilevel"/>
    <w:tmpl w:val="FBAEC5B4"/>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D6204"/>
    <w:multiLevelType w:val="multilevel"/>
    <w:tmpl w:val="F1A02032"/>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5"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C96948"/>
    <w:multiLevelType w:val="multilevel"/>
    <w:tmpl w:val="8CC28852"/>
    <w:lvl w:ilvl="0">
      <w:numFmt w:val="bullet"/>
      <w:pStyle w:val="Bulletedlistlevel2"/>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F7A7D"/>
    <w:multiLevelType w:val="multilevel"/>
    <w:tmpl w:val="CE6A3012"/>
    <w:lvl w:ilvl="0">
      <w:numFmt w:val="bullet"/>
      <w:lvlText w:val="–"/>
      <w:lvlJc w:val="left"/>
      <w:pPr>
        <w:tabs>
          <w:tab w:val="num" w:pos="567"/>
        </w:tabs>
        <w:ind w:left="0" w:firstLine="0"/>
      </w:pPr>
      <w:rPr>
        <w:rFonts w:ascii="Arial" w:eastAsia="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7022073F"/>
    <w:multiLevelType w:val="hybridMultilevel"/>
    <w:tmpl w:val="5D526A7E"/>
    <w:lvl w:ilvl="0" w:tplc="E6B8B40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8"/>
  </w:num>
  <w:num w:numId="3">
    <w:abstractNumId w:val="0"/>
  </w:num>
  <w:num w:numId="4">
    <w:abstractNumId w:val="20"/>
  </w:num>
  <w:num w:numId="5">
    <w:abstractNumId w:val="2"/>
  </w:num>
  <w:num w:numId="6">
    <w:abstractNumId w:val="9"/>
  </w:num>
  <w:num w:numId="7">
    <w:abstractNumId w:val="14"/>
  </w:num>
  <w:num w:numId="8">
    <w:abstractNumId w:val="4"/>
  </w:num>
  <w:num w:numId="9">
    <w:abstractNumId w:val="3"/>
  </w:num>
  <w:num w:numId="10">
    <w:abstractNumId w:val="17"/>
  </w:num>
  <w:num w:numId="11">
    <w:abstractNumId w:val="13"/>
  </w:num>
  <w:num w:numId="12">
    <w:abstractNumId w:val="10"/>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5"/>
  </w:num>
  <w:num w:numId="17">
    <w:abstractNumId w:val="16"/>
  </w:num>
  <w:num w:numId="18">
    <w:abstractNumId w:val="7"/>
  </w:num>
  <w:num w:numId="19">
    <w:abstractNumId w:val="11"/>
  </w:num>
  <w:num w:numId="20">
    <w:abstractNumId w:val="21"/>
  </w:num>
  <w:num w:numId="21">
    <w:abstractNumId w:val="5"/>
  </w:num>
  <w:num w:numId="22">
    <w:abstractNumId w:val="1"/>
  </w:num>
  <w:num w:numId="23">
    <w:abstractNumId w:val="23"/>
  </w:num>
  <w:num w:numId="24">
    <w:abstractNumId w:val="24"/>
  </w:num>
  <w:num w:numId="25">
    <w:abstractNumId w:val="24"/>
  </w:num>
  <w:num w:numId="26">
    <w:abstractNumId w:val="24"/>
  </w:num>
  <w:num w:numId="27">
    <w:abstractNumId w:val="24"/>
  </w:num>
  <w:num w:numId="28">
    <w:abstractNumId w:val="19"/>
  </w:num>
  <w:num w:numId="29">
    <w:abstractNumId w:val="8"/>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230F9"/>
    <w:rsid w:val="00043CAA"/>
    <w:rsid w:val="00062F8F"/>
    <w:rsid w:val="000639F1"/>
    <w:rsid w:val="00075432"/>
    <w:rsid w:val="00084C62"/>
    <w:rsid w:val="000968ED"/>
    <w:rsid w:val="000C59F6"/>
    <w:rsid w:val="000D78B9"/>
    <w:rsid w:val="000E37B0"/>
    <w:rsid w:val="000F5E56"/>
    <w:rsid w:val="00100C80"/>
    <w:rsid w:val="00105B77"/>
    <w:rsid w:val="001105B7"/>
    <w:rsid w:val="001362EE"/>
    <w:rsid w:val="00152063"/>
    <w:rsid w:val="001530BD"/>
    <w:rsid w:val="00157DC4"/>
    <w:rsid w:val="00164701"/>
    <w:rsid w:val="001647D5"/>
    <w:rsid w:val="0016523F"/>
    <w:rsid w:val="00172591"/>
    <w:rsid w:val="0017623F"/>
    <w:rsid w:val="001832A6"/>
    <w:rsid w:val="0019647C"/>
    <w:rsid w:val="001C6705"/>
    <w:rsid w:val="001E7290"/>
    <w:rsid w:val="001F6CE3"/>
    <w:rsid w:val="001F7B1A"/>
    <w:rsid w:val="0021217E"/>
    <w:rsid w:val="002634C4"/>
    <w:rsid w:val="00263E9B"/>
    <w:rsid w:val="002928D3"/>
    <w:rsid w:val="00296F76"/>
    <w:rsid w:val="002B734F"/>
    <w:rsid w:val="002C2634"/>
    <w:rsid w:val="002F1FE6"/>
    <w:rsid w:val="002F4E68"/>
    <w:rsid w:val="002F7F57"/>
    <w:rsid w:val="00300EAA"/>
    <w:rsid w:val="00303C11"/>
    <w:rsid w:val="0030498C"/>
    <w:rsid w:val="00311631"/>
    <w:rsid w:val="00312F7F"/>
    <w:rsid w:val="0032567F"/>
    <w:rsid w:val="00333759"/>
    <w:rsid w:val="0034635E"/>
    <w:rsid w:val="00361450"/>
    <w:rsid w:val="003673CF"/>
    <w:rsid w:val="003719A6"/>
    <w:rsid w:val="003845C1"/>
    <w:rsid w:val="00393397"/>
    <w:rsid w:val="003977C5"/>
    <w:rsid w:val="003A6F89"/>
    <w:rsid w:val="003B38C1"/>
    <w:rsid w:val="003C1E32"/>
    <w:rsid w:val="003D237E"/>
    <w:rsid w:val="003E3A4B"/>
    <w:rsid w:val="00423E3E"/>
    <w:rsid w:val="00427AF4"/>
    <w:rsid w:val="00441409"/>
    <w:rsid w:val="004647DA"/>
    <w:rsid w:val="00474062"/>
    <w:rsid w:val="00477D6B"/>
    <w:rsid w:val="004A614B"/>
    <w:rsid w:val="004B35AE"/>
    <w:rsid w:val="004B637F"/>
    <w:rsid w:val="004C51E9"/>
    <w:rsid w:val="004E168B"/>
    <w:rsid w:val="005019FF"/>
    <w:rsid w:val="00515825"/>
    <w:rsid w:val="00517EA3"/>
    <w:rsid w:val="0053057A"/>
    <w:rsid w:val="0054385E"/>
    <w:rsid w:val="00560A29"/>
    <w:rsid w:val="00573715"/>
    <w:rsid w:val="00582DA7"/>
    <w:rsid w:val="00594D9B"/>
    <w:rsid w:val="005C6649"/>
    <w:rsid w:val="0060042D"/>
    <w:rsid w:val="00605827"/>
    <w:rsid w:val="00620B86"/>
    <w:rsid w:val="00624ABF"/>
    <w:rsid w:val="00646050"/>
    <w:rsid w:val="006713CA"/>
    <w:rsid w:val="00673A81"/>
    <w:rsid w:val="00676C5C"/>
    <w:rsid w:val="00685DDD"/>
    <w:rsid w:val="006B6BCB"/>
    <w:rsid w:val="006D4716"/>
    <w:rsid w:val="007252DB"/>
    <w:rsid w:val="00734834"/>
    <w:rsid w:val="007812E7"/>
    <w:rsid w:val="00783CF7"/>
    <w:rsid w:val="007A4B5C"/>
    <w:rsid w:val="007B43F9"/>
    <w:rsid w:val="007D1613"/>
    <w:rsid w:val="007E1C3A"/>
    <w:rsid w:val="007E4C0E"/>
    <w:rsid w:val="007F3F2F"/>
    <w:rsid w:val="007F4FDF"/>
    <w:rsid w:val="00810263"/>
    <w:rsid w:val="00845FCE"/>
    <w:rsid w:val="008A134B"/>
    <w:rsid w:val="008A78A7"/>
    <w:rsid w:val="008B2CC1"/>
    <w:rsid w:val="008B54BB"/>
    <w:rsid w:val="008B60B2"/>
    <w:rsid w:val="008C2DDC"/>
    <w:rsid w:val="008F1E02"/>
    <w:rsid w:val="0090731E"/>
    <w:rsid w:val="00916EE2"/>
    <w:rsid w:val="00966A22"/>
    <w:rsid w:val="00967192"/>
    <w:rsid w:val="0096722F"/>
    <w:rsid w:val="00980843"/>
    <w:rsid w:val="00984A26"/>
    <w:rsid w:val="009860E4"/>
    <w:rsid w:val="0099482B"/>
    <w:rsid w:val="009A3769"/>
    <w:rsid w:val="009A7742"/>
    <w:rsid w:val="009C3051"/>
    <w:rsid w:val="009C7DB0"/>
    <w:rsid w:val="009D43BF"/>
    <w:rsid w:val="009E2791"/>
    <w:rsid w:val="009E3F6F"/>
    <w:rsid w:val="009F499F"/>
    <w:rsid w:val="00A30116"/>
    <w:rsid w:val="00A37342"/>
    <w:rsid w:val="00A42DAF"/>
    <w:rsid w:val="00A45BD8"/>
    <w:rsid w:val="00A677D0"/>
    <w:rsid w:val="00A869B7"/>
    <w:rsid w:val="00AA51BE"/>
    <w:rsid w:val="00AA6C48"/>
    <w:rsid w:val="00AC205C"/>
    <w:rsid w:val="00AE1F40"/>
    <w:rsid w:val="00AF0A6B"/>
    <w:rsid w:val="00B05A69"/>
    <w:rsid w:val="00B114D9"/>
    <w:rsid w:val="00B21BDC"/>
    <w:rsid w:val="00B2697D"/>
    <w:rsid w:val="00B95B06"/>
    <w:rsid w:val="00B9734B"/>
    <w:rsid w:val="00BA30E2"/>
    <w:rsid w:val="00BD6FF5"/>
    <w:rsid w:val="00C0065B"/>
    <w:rsid w:val="00C0504E"/>
    <w:rsid w:val="00C118AC"/>
    <w:rsid w:val="00C11BFE"/>
    <w:rsid w:val="00C133D1"/>
    <w:rsid w:val="00C21670"/>
    <w:rsid w:val="00C5068F"/>
    <w:rsid w:val="00C50E0E"/>
    <w:rsid w:val="00C52200"/>
    <w:rsid w:val="00C86D74"/>
    <w:rsid w:val="00C9148F"/>
    <w:rsid w:val="00C9796C"/>
    <w:rsid w:val="00CB64EB"/>
    <w:rsid w:val="00CD04F1"/>
    <w:rsid w:val="00CD59F2"/>
    <w:rsid w:val="00CD6916"/>
    <w:rsid w:val="00CE322B"/>
    <w:rsid w:val="00CF7300"/>
    <w:rsid w:val="00D3124F"/>
    <w:rsid w:val="00D45252"/>
    <w:rsid w:val="00D645F1"/>
    <w:rsid w:val="00D71B4D"/>
    <w:rsid w:val="00D93D55"/>
    <w:rsid w:val="00DB1ADC"/>
    <w:rsid w:val="00DB74BC"/>
    <w:rsid w:val="00DD145E"/>
    <w:rsid w:val="00DE2D55"/>
    <w:rsid w:val="00DF34A7"/>
    <w:rsid w:val="00DF366F"/>
    <w:rsid w:val="00E15015"/>
    <w:rsid w:val="00E33457"/>
    <w:rsid w:val="00E335FE"/>
    <w:rsid w:val="00E43379"/>
    <w:rsid w:val="00E45ED4"/>
    <w:rsid w:val="00E56F3E"/>
    <w:rsid w:val="00E74DE4"/>
    <w:rsid w:val="00E76CA2"/>
    <w:rsid w:val="00E86031"/>
    <w:rsid w:val="00EA50CE"/>
    <w:rsid w:val="00EA7D6E"/>
    <w:rsid w:val="00EC4E49"/>
    <w:rsid w:val="00ED77FB"/>
    <w:rsid w:val="00EE45FA"/>
    <w:rsid w:val="00EF5655"/>
    <w:rsid w:val="00EF6A73"/>
    <w:rsid w:val="00F10391"/>
    <w:rsid w:val="00F20B13"/>
    <w:rsid w:val="00F66152"/>
    <w:rsid w:val="00F90342"/>
    <w:rsid w:val="00FD3B72"/>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027253"/>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1105B7"/>
    <w:pPr>
      <w:keepNext/>
      <w:spacing w:before="240" w:after="120"/>
      <w:outlineLvl w:val="1"/>
    </w:pPr>
    <w:rPr>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Heading1"/>
    <w:next w:val="Normal"/>
    <w:link w:val="TitleChar"/>
    <w:uiPriority w:val="10"/>
    <w:qFormat/>
    <w:rsid w:val="00AE1F40"/>
    <w:pPr>
      <w:spacing w:before="0" w:after="480"/>
    </w:pPr>
    <w:rPr>
      <w:caps w:val="0"/>
      <w:sz w:val="28"/>
      <w:lang w:val="fr-FR"/>
    </w:rPr>
  </w:style>
  <w:style w:type="character" w:customStyle="1" w:styleId="TitleChar">
    <w:name w:val="Title Char"/>
    <w:basedOn w:val="DefaultParagraphFont"/>
    <w:link w:val="Title"/>
    <w:uiPriority w:val="10"/>
    <w:rsid w:val="00AE1F40"/>
    <w:rPr>
      <w:rFonts w:ascii="Arial" w:eastAsia="SimSun" w:hAnsi="Arial" w:cs="Arial"/>
      <w:b/>
      <w:bCs/>
      <w:kern w:val="32"/>
      <w:sz w:val="28"/>
      <w:szCs w:val="32"/>
      <w:lang w:val="fr-FR" w:eastAsia="zh-CN"/>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1105B7"/>
    <w:rPr>
      <w:rFonts w:ascii="Arial" w:eastAsia="SimSun" w:hAnsi="Arial" w:cs="Arial"/>
      <w:bCs/>
      <w:iCs/>
      <w:caps/>
      <w:sz w:val="22"/>
      <w:szCs w:val="28"/>
      <w:lang w:val="fr-FR" w:eastAsia="zh-CN"/>
    </w:rPr>
  </w:style>
  <w:style w:type="character" w:customStyle="1" w:styleId="Heading1Char">
    <w:name w:val="Heading 1 Char"/>
    <w:basedOn w:val="DefaultParagraphFont"/>
    <w:link w:val="Heading1"/>
    <w:rsid w:val="00AE1F40"/>
    <w:rPr>
      <w:rFonts w:ascii="Arial" w:eastAsia="SimSun" w:hAnsi="Arial" w:cs="Arial"/>
      <w:b/>
      <w:bCs/>
      <w:caps/>
      <w:kern w:val="32"/>
      <w:sz w:val="22"/>
      <w:szCs w:val="32"/>
      <w:lang w:eastAsia="zh-CN"/>
    </w:rPr>
  </w:style>
  <w:style w:type="paragraph" w:customStyle="1" w:styleId="Bulletedlistlevel2">
    <w:name w:val="Bulleted list level 2"/>
    <w:basedOn w:val="Normal"/>
    <w:rsid w:val="009A3769"/>
    <w:pPr>
      <w:numPr>
        <w:numId w:val="28"/>
      </w:numPr>
    </w:pPr>
  </w:style>
  <w:style w:type="character" w:styleId="FollowedHyperlink">
    <w:name w:val="FollowedHyperlink"/>
    <w:basedOn w:val="DefaultParagraphFont"/>
    <w:semiHidden/>
    <w:unhideWhenUsed/>
    <w:rsid w:val="00105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cws_8_item_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4F0F-B8CE-4998-9FC1-B4BDCDC4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801</Words>
  <Characters>4599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CWS/8/11</vt:lpstr>
    </vt:vector>
  </TitlesOfParts>
  <Company>WIPO</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CWS/8/10</dc:title>
  <dc:creator>WIPO</dc:creator>
  <cp:keywords>FOR OFFICIAL USE ONLY</cp:keywords>
  <cp:lastModifiedBy>OLIVIÉ Karen</cp:lastModifiedBy>
  <cp:revision>3</cp:revision>
  <cp:lastPrinted>2020-09-10T14:25:00Z</cp:lastPrinted>
  <dcterms:created xsi:type="dcterms:W3CDTF">2020-11-04T09:52:00Z</dcterms:created>
  <dcterms:modified xsi:type="dcterms:W3CDTF">2020-11-04T09:55:00Z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26be74a1-898a-48ec-80be-f6f19441cdad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