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4766A" w:rsidRPr="00CB0147" w:rsidTr="00573B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4766A" w:rsidRPr="00CB0147" w:rsidRDefault="00C4766A" w:rsidP="00225898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4766A" w:rsidRPr="00CB0147" w:rsidRDefault="00C4766A" w:rsidP="00225898">
            <w:pPr>
              <w:rPr>
                <w:lang w:val="fr-FR"/>
              </w:rPr>
            </w:pPr>
            <w:r w:rsidRPr="00CB0147">
              <w:rPr>
                <w:noProof/>
                <w:lang w:eastAsia="en-US"/>
              </w:rPr>
              <w:drawing>
                <wp:inline distT="0" distB="0" distL="0" distR="0" wp14:anchorId="2B1239D4" wp14:editId="7541568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4766A" w:rsidRPr="00CB0147" w:rsidRDefault="00C4766A" w:rsidP="00225898">
            <w:pPr>
              <w:jc w:val="right"/>
              <w:rPr>
                <w:lang w:val="fr-FR"/>
              </w:rPr>
            </w:pPr>
            <w:r w:rsidRPr="00CB014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4766A" w:rsidRPr="00CB0147" w:rsidTr="00573B9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4766A" w:rsidRPr="00CB0147" w:rsidRDefault="00C4766A" w:rsidP="0022589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0147">
              <w:rPr>
                <w:rFonts w:ascii="Arial Black" w:hAnsi="Arial Black"/>
                <w:caps/>
                <w:sz w:val="15"/>
                <w:lang w:val="fr-FR"/>
              </w:rPr>
              <w:t xml:space="preserve">CWS/5/2 </w:t>
            </w:r>
          </w:p>
        </w:tc>
      </w:tr>
      <w:tr w:rsidR="00C4766A" w:rsidRPr="00CB0147" w:rsidTr="00573B9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4766A" w:rsidRPr="00CB0147" w:rsidRDefault="00C4766A" w:rsidP="0022589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0147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</w:p>
        </w:tc>
      </w:tr>
      <w:tr w:rsidR="00C4766A" w:rsidRPr="00CB0147" w:rsidTr="00573B9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4766A" w:rsidRPr="00CB0147" w:rsidRDefault="00C4766A" w:rsidP="0022589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B0147">
              <w:rPr>
                <w:rFonts w:ascii="Arial Black" w:hAnsi="Arial Black"/>
                <w:caps/>
                <w:sz w:val="15"/>
                <w:lang w:val="fr-FR"/>
              </w:rPr>
              <w:t xml:space="preserve">DATE : 11 avril 2017 </w:t>
            </w:r>
          </w:p>
        </w:tc>
      </w:tr>
    </w:tbl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b/>
          <w:sz w:val="28"/>
          <w:szCs w:val="28"/>
          <w:lang w:val="fr-FR"/>
        </w:rPr>
      </w:pPr>
      <w:r w:rsidRPr="00CB0147">
        <w:rPr>
          <w:b/>
          <w:sz w:val="28"/>
          <w:szCs w:val="28"/>
          <w:lang w:val="fr-FR"/>
        </w:rPr>
        <w:t>Comité des normes de l’OMPI (CWS)</w:t>
      </w: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b/>
          <w:sz w:val="24"/>
          <w:szCs w:val="24"/>
          <w:lang w:val="fr-FR"/>
        </w:rPr>
      </w:pPr>
      <w:r w:rsidRPr="00CB0147">
        <w:rPr>
          <w:b/>
          <w:sz w:val="24"/>
          <w:szCs w:val="24"/>
          <w:lang w:val="fr-FR"/>
        </w:rPr>
        <w:t>Cinquième </w:t>
      </w:r>
      <w:r w:rsidR="00ED4DD2">
        <w:rPr>
          <w:b/>
          <w:sz w:val="24"/>
          <w:szCs w:val="24"/>
          <w:lang w:val="fr-FR"/>
        </w:rPr>
        <w:t>S</w:t>
      </w:r>
      <w:bookmarkStart w:id="0" w:name="_GoBack"/>
      <w:bookmarkEnd w:id="0"/>
      <w:r w:rsidRPr="00CB0147">
        <w:rPr>
          <w:b/>
          <w:sz w:val="24"/>
          <w:szCs w:val="24"/>
          <w:lang w:val="fr-FR"/>
        </w:rPr>
        <w:t>ession</w:t>
      </w:r>
    </w:p>
    <w:p w:rsidR="00C4766A" w:rsidRPr="00CB0147" w:rsidRDefault="00C4766A" w:rsidP="00225898">
      <w:pPr>
        <w:rPr>
          <w:b/>
          <w:sz w:val="24"/>
          <w:szCs w:val="24"/>
          <w:lang w:val="fr-FR"/>
        </w:rPr>
      </w:pPr>
      <w:r w:rsidRPr="00CB0147">
        <w:rPr>
          <w:b/>
          <w:sz w:val="24"/>
          <w:szCs w:val="24"/>
          <w:lang w:val="fr-FR"/>
        </w:rPr>
        <w:t>Genève, 29 mai – 2 juin 2017</w:t>
      </w: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C4766A" w:rsidP="00225898">
      <w:pPr>
        <w:rPr>
          <w:lang w:val="fr-FR"/>
        </w:rPr>
      </w:pPr>
    </w:p>
    <w:p w:rsidR="00C4766A" w:rsidRPr="00CB0147" w:rsidRDefault="00F17F11" w:rsidP="00225898">
      <w:pPr>
        <w:rPr>
          <w:caps/>
          <w:color w:val="000000"/>
          <w:sz w:val="24"/>
          <w:lang w:val="fr-FR"/>
        </w:rPr>
      </w:pPr>
      <w:r w:rsidRPr="00CB0147">
        <w:rPr>
          <w:caps/>
          <w:color w:val="000000"/>
          <w:sz w:val="24"/>
          <w:lang w:val="fr-FR"/>
        </w:rPr>
        <w:t>Rapport sur l</w:t>
      </w:r>
      <w:r w:rsidR="00C4766A" w:rsidRPr="00CB0147">
        <w:rPr>
          <w:caps/>
          <w:color w:val="000000"/>
          <w:sz w:val="24"/>
          <w:lang w:val="fr-FR"/>
        </w:rPr>
        <w:t>’</w:t>
      </w:r>
      <w:r w:rsidRPr="00CB0147">
        <w:rPr>
          <w:caps/>
          <w:color w:val="000000"/>
          <w:sz w:val="24"/>
          <w:lang w:val="fr-FR"/>
        </w:rPr>
        <w:t>enquête concernant l</w:t>
      </w:r>
      <w:r w:rsidR="00C4766A" w:rsidRPr="00CB0147">
        <w:rPr>
          <w:caps/>
          <w:color w:val="000000"/>
          <w:sz w:val="24"/>
          <w:lang w:val="fr-FR"/>
        </w:rPr>
        <w:t>’</w:t>
      </w:r>
      <w:r w:rsidR="006544E4">
        <w:rPr>
          <w:caps/>
          <w:color w:val="000000"/>
          <w:sz w:val="24"/>
          <w:lang w:val="fr-FR"/>
        </w:rPr>
        <w:t>utilisation des normes de </w:t>
      </w:r>
      <w:r w:rsidRPr="00CB0147">
        <w:rPr>
          <w:caps/>
          <w:color w:val="000000"/>
          <w:sz w:val="24"/>
          <w:lang w:val="fr-FR"/>
        </w:rPr>
        <w:t>l</w:t>
      </w:r>
      <w:r w:rsidR="00C4766A" w:rsidRPr="00CB0147">
        <w:rPr>
          <w:caps/>
          <w:color w:val="000000"/>
          <w:sz w:val="24"/>
          <w:lang w:val="fr-FR"/>
        </w:rPr>
        <w:t>’</w:t>
      </w:r>
      <w:r w:rsidRPr="00CB0147">
        <w:rPr>
          <w:caps/>
          <w:color w:val="000000"/>
          <w:sz w:val="24"/>
          <w:lang w:val="fr-FR"/>
        </w:rPr>
        <w:t>OMPI</w:t>
      </w:r>
    </w:p>
    <w:p w:rsidR="00617D81" w:rsidRDefault="00617D81" w:rsidP="00225898">
      <w:pPr>
        <w:rPr>
          <w:caps/>
          <w:lang w:val="fr-FR"/>
        </w:rPr>
      </w:pPr>
    </w:p>
    <w:p w:rsidR="00225898" w:rsidRPr="00CB0147" w:rsidRDefault="00225898" w:rsidP="00225898">
      <w:pPr>
        <w:rPr>
          <w:caps/>
          <w:lang w:val="fr-FR"/>
        </w:rPr>
      </w:pPr>
    </w:p>
    <w:p w:rsidR="00617D81" w:rsidRPr="00C23C04" w:rsidRDefault="00F17F11" w:rsidP="00225898">
      <w:pPr>
        <w:rPr>
          <w:i/>
          <w:lang w:val="fr-FR"/>
        </w:rPr>
      </w:pPr>
      <w:r w:rsidRPr="00C23C04">
        <w:rPr>
          <w:i/>
          <w:lang w:val="fr-FR"/>
        </w:rPr>
        <w:t>Document établi par le Secrétariat</w:t>
      </w:r>
    </w:p>
    <w:p w:rsidR="00617D81" w:rsidRPr="00C23C04" w:rsidRDefault="00617D81" w:rsidP="00225898">
      <w:pPr>
        <w:rPr>
          <w:lang w:val="fr-FR"/>
        </w:rPr>
      </w:pPr>
    </w:p>
    <w:p w:rsidR="00617D81" w:rsidRPr="00C23C04" w:rsidRDefault="00617D81" w:rsidP="00225898">
      <w:pPr>
        <w:rPr>
          <w:lang w:val="fr-FR"/>
        </w:rPr>
      </w:pPr>
    </w:p>
    <w:p w:rsidR="00153E10" w:rsidRPr="00C23C04" w:rsidRDefault="00153E10" w:rsidP="00225898">
      <w:pPr>
        <w:rPr>
          <w:lang w:val="fr-FR"/>
        </w:rPr>
      </w:pPr>
    </w:p>
    <w:p w:rsidR="00153E10" w:rsidRDefault="00153E10" w:rsidP="00225898">
      <w:pPr>
        <w:rPr>
          <w:lang w:val="fr-FR"/>
        </w:rPr>
      </w:pPr>
    </w:p>
    <w:p w:rsidR="00225898" w:rsidRPr="00C23C04" w:rsidRDefault="00225898" w:rsidP="00225898">
      <w:pPr>
        <w:rPr>
          <w:lang w:val="fr-FR"/>
        </w:rPr>
      </w:pPr>
    </w:p>
    <w:p w:rsidR="00617D81" w:rsidRPr="00225898" w:rsidRDefault="00225898" w:rsidP="00225898">
      <w:pPr>
        <w:pStyle w:val="Heading2"/>
        <w:spacing w:before="0"/>
        <w:rPr>
          <w:caps w:val="0"/>
        </w:rPr>
      </w:pPr>
      <w:r w:rsidRPr="00225898">
        <w:rPr>
          <w:caps w:val="0"/>
        </w:rPr>
        <w:t>INTRODUCTION</w:t>
      </w:r>
    </w:p>
    <w:p w:rsidR="00617D81" w:rsidRPr="00C23C04" w:rsidRDefault="00F17F11" w:rsidP="00225898">
      <w:pPr>
        <w:pStyle w:val="ONUMFS"/>
        <w:spacing w:after="120"/>
        <w:rPr>
          <w:lang w:val="fr-FR"/>
        </w:rPr>
      </w:pPr>
      <w:r w:rsidRPr="00C23C04">
        <w:rPr>
          <w:lang w:val="fr-FR"/>
        </w:rPr>
        <w:t>À la reprise de sa quatr</w:t>
      </w:r>
      <w:r w:rsidR="00C4766A" w:rsidRPr="00C23C04">
        <w:rPr>
          <w:lang w:val="fr-FR"/>
        </w:rPr>
        <w:t>ième session</w:t>
      </w:r>
      <w:r w:rsidRPr="00C23C04">
        <w:rPr>
          <w:lang w:val="fr-FR"/>
        </w:rPr>
        <w:t xml:space="preserve"> en </w:t>
      </w:r>
      <w:r w:rsidR="00C4766A" w:rsidRPr="00C23C04">
        <w:rPr>
          <w:lang w:val="fr-FR"/>
        </w:rPr>
        <w:t>mars 20</w:t>
      </w:r>
      <w:r w:rsidRPr="00C23C04">
        <w:rPr>
          <w:lang w:val="fr-FR"/>
        </w:rPr>
        <w:t>16, le Comité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(CWS) </w:t>
      </w:r>
      <w:r w:rsidR="006E0F16" w:rsidRPr="00C23C04">
        <w:rPr>
          <w:lang w:val="fr-FR"/>
        </w:rPr>
        <w:t>a approuvé le</w:t>
      </w:r>
      <w:r w:rsidRPr="00C23C04">
        <w:rPr>
          <w:lang w:val="fr-FR"/>
        </w:rPr>
        <w:t xml:space="preserve"> questionnaire sur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utilisation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 et a prié le Bureau international de prendre les mesures suivantes</w:t>
      </w:r>
      <w:r w:rsidR="00C4766A" w:rsidRPr="00C23C04">
        <w:rPr>
          <w:lang w:val="fr-FR"/>
        </w:rPr>
        <w:t> :</w:t>
      </w:r>
    </w:p>
    <w:p w:rsidR="00617D81" w:rsidRPr="00C23C04" w:rsidRDefault="00F17F11" w:rsidP="00225898">
      <w:pPr>
        <w:pStyle w:val="ONUMFS"/>
        <w:numPr>
          <w:ilvl w:val="1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établir et </w:t>
      </w:r>
      <w:r w:rsidR="006E0F16" w:rsidRPr="00C23C04">
        <w:rPr>
          <w:lang w:val="fr-FR"/>
        </w:rPr>
        <w:t>diffuser</w:t>
      </w:r>
      <w:r w:rsidRPr="00C23C04">
        <w:rPr>
          <w:lang w:val="fr-FR"/>
        </w:rPr>
        <w:t xml:space="preserve"> une circulaire invitant les offices de propriété industrielle à </w:t>
      </w:r>
      <w:r w:rsidR="006E0F16" w:rsidRPr="00C23C04">
        <w:rPr>
          <w:lang w:val="fr-FR"/>
        </w:rPr>
        <w:t>remplir</w:t>
      </w:r>
      <w:r w:rsidRPr="00C23C04">
        <w:rPr>
          <w:lang w:val="fr-FR"/>
        </w:rPr>
        <w:t xml:space="preserve"> le questionnaire</w:t>
      </w:r>
      <w:r w:rsidR="008E2D4E">
        <w:rPr>
          <w:lang w:val="fr-FR"/>
        </w:rPr>
        <w:t xml:space="preserve"> </w:t>
      </w:r>
      <w:r w:rsidRPr="00C23C04">
        <w:rPr>
          <w:lang w:val="fr-FR"/>
        </w:rPr>
        <w:t>;</w:t>
      </w:r>
    </w:p>
    <w:p w:rsidR="00617D81" w:rsidRPr="00C23C04" w:rsidRDefault="00F17F11" w:rsidP="00225898">
      <w:pPr>
        <w:pStyle w:val="ONUMFS"/>
        <w:numPr>
          <w:ilvl w:val="1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>établir un rapport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enquête</w:t>
      </w:r>
      <w:r w:rsidR="008E2D4E">
        <w:rPr>
          <w:lang w:val="fr-FR"/>
        </w:rPr>
        <w:t xml:space="preserve"> </w:t>
      </w:r>
      <w:r w:rsidRPr="00C23C04">
        <w:rPr>
          <w:lang w:val="fr-FR"/>
        </w:rPr>
        <w:t>; et</w:t>
      </w:r>
    </w:p>
    <w:p w:rsidR="00617D81" w:rsidRPr="00C23C04" w:rsidRDefault="00B727CB" w:rsidP="00225898">
      <w:pPr>
        <w:pStyle w:val="ONUMFS"/>
        <w:numPr>
          <w:ilvl w:val="1"/>
          <w:numId w:val="6"/>
        </w:numPr>
        <w:spacing w:after="120"/>
        <w:rPr>
          <w:lang w:val="fr-FR"/>
        </w:rPr>
      </w:pPr>
      <w:r w:rsidRPr="00C23C04">
        <w:rPr>
          <w:lang w:val="fr-FR"/>
        </w:rPr>
        <w:t>présenter les résultats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enquête</w:t>
      </w:r>
      <w:r w:rsidR="00C4766A" w:rsidRPr="00C23C04">
        <w:rPr>
          <w:lang w:val="fr-FR"/>
        </w:rPr>
        <w:t xml:space="preserve"> au CWS</w:t>
      </w:r>
      <w:r w:rsidRPr="00C23C04">
        <w:rPr>
          <w:lang w:val="fr-FR"/>
        </w:rPr>
        <w:t xml:space="preserve"> pour examen à sa session</w:t>
      </w:r>
      <w:r w:rsidR="007D2CDC" w:rsidRPr="00C23C04">
        <w:rPr>
          <w:lang w:val="fr-FR"/>
        </w:rPr>
        <w:t xml:space="preserve"> suivante</w:t>
      </w:r>
      <w:r w:rsidRPr="00C23C04">
        <w:rPr>
          <w:lang w:val="fr-FR"/>
        </w:rPr>
        <w:t xml:space="preserve"> (la cinquième), afin qu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il en approuve la publication dans la partie</w:t>
      </w:r>
      <w:r w:rsidR="00153E10" w:rsidRPr="00C23C04">
        <w:rPr>
          <w:lang w:val="fr-FR"/>
        </w:rPr>
        <w:t> </w:t>
      </w:r>
      <w:r w:rsidRPr="00C23C04">
        <w:rPr>
          <w:lang w:val="fr-FR"/>
        </w:rPr>
        <w:t>7 du Manuel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 sur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information et la documentation en matière de propriété intellectuelle (Manuel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OMPI) et prenne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autres mesures pertinentes, le cas échéant.</w:t>
      </w:r>
    </w:p>
    <w:p w:rsidR="00617D81" w:rsidRPr="00C23C04" w:rsidRDefault="00B727CB" w:rsidP="00225898">
      <w:pPr>
        <w:pStyle w:val="ONUMFS"/>
        <w:numPr>
          <w:ilvl w:val="0"/>
          <w:numId w:val="0"/>
        </w:numPr>
        <w:rPr>
          <w:lang w:val="fr-FR"/>
        </w:rPr>
      </w:pPr>
      <w:r w:rsidRPr="00C23C04">
        <w:rPr>
          <w:lang w:val="fr-FR"/>
        </w:rPr>
        <w:t>(</w:t>
      </w:r>
      <w:r w:rsidR="006544E4" w:rsidRPr="00C23C04">
        <w:rPr>
          <w:lang w:val="fr-FR"/>
        </w:rPr>
        <w:t>V</w:t>
      </w:r>
      <w:r w:rsidRPr="00C23C04">
        <w:rPr>
          <w:lang w:val="fr-FR"/>
        </w:rPr>
        <w:t xml:space="preserve">oir les </w:t>
      </w:r>
      <w:r w:rsidR="00C4766A" w:rsidRPr="00C23C04">
        <w:rPr>
          <w:lang w:val="fr-FR"/>
        </w:rPr>
        <w:t>paragraphes 9</w:t>
      </w:r>
      <w:r w:rsidRPr="00C23C04">
        <w:rPr>
          <w:lang w:val="fr-FR"/>
        </w:rPr>
        <w:t>2 et 93 du document CWS/4BIS/16</w:t>
      </w:r>
      <w:r w:rsidR="006544E4" w:rsidRPr="00C23C04">
        <w:rPr>
          <w:lang w:val="fr-FR"/>
        </w:rPr>
        <w:t>.</w:t>
      </w:r>
      <w:r w:rsidRPr="00C23C04">
        <w:rPr>
          <w:lang w:val="fr-FR"/>
        </w:rPr>
        <w:t>)</w:t>
      </w:r>
    </w:p>
    <w:p w:rsidR="00225898" w:rsidRDefault="005B54F8" w:rsidP="00225898">
      <w:pPr>
        <w:pStyle w:val="ONUMFS"/>
        <w:rPr>
          <w:lang w:val="fr-FR"/>
        </w:rPr>
      </w:pPr>
      <w:r w:rsidRPr="00C23C04">
        <w:rPr>
          <w:lang w:val="fr-FR"/>
        </w:rPr>
        <w:t xml:space="preserve">Le CWS a </w:t>
      </w:r>
      <w:r w:rsidR="006E0F16" w:rsidRPr="00C23C04">
        <w:rPr>
          <w:lang w:val="fr-FR"/>
        </w:rPr>
        <w:t>également</w:t>
      </w:r>
      <w:r w:rsidRPr="00C23C04">
        <w:rPr>
          <w:lang w:val="fr-FR"/>
        </w:rPr>
        <w:t xml:space="preserve"> demandé au Secrétariat de </w:t>
      </w:r>
      <w:r w:rsidR="007D2CDC" w:rsidRPr="00C23C04">
        <w:rPr>
          <w:lang w:val="fr-FR"/>
        </w:rPr>
        <w:t>souligner</w:t>
      </w:r>
      <w:r w:rsidRPr="00C23C04">
        <w:rPr>
          <w:lang w:val="fr-FR"/>
        </w:rPr>
        <w:t xml:space="preserve">, dans la lettre accompagnant le questionnaire, </w:t>
      </w:r>
      <w:r w:rsidR="007D2CDC" w:rsidRPr="00C23C04">
        <w:rPr>
          <w:lang w:val="fr-FR"/>
        </w:rPr>
        <w:t>qu’il importait</w:t>
      </w:r>
      <w:r w:rsidRPr="00C23C04">
        <w:rPr>
          <w:lang w:val="fr-FR"/>
        </w:rPr>
        <w:t xml:space="preserve"> de </w:t>
      </w:r>
      <w:r w:rsidR="006E0F16" w:rsidRPr="00C23C04">
        <w:rPr>
          <w:lang w:val="fr-FR"/>
        </w:rPr>
        <w:t>s</w:t>
      </w:r>
      <w:r w:rsidR="007D2CDC" w:rsidRPr="00C23C04">
        <w:rPr>
          <w:lang w:val="fr-FR"/>
        </w:rPr>
        <w:t>ignaler</w:t>
      </w:r>
      <w:r w:rsidRPr="00C23C04">
        <w:rPr>
          <w:lang w:val="fr-FR"/>
        </w:rPr>
        <w:t xml:space="preserve"> tout problème rencontré</w:t>
      </w:r>
      <w:r w:rsidR="006E0F16" w:rsidRPr="00C23C04">
        <w:rPr>
          <w:lang w:val="fr-FR"/>
        </w:rPr>
        <w:t xml:space="preserve"> </w:t>
      </w:r>
      <w:r w:rsidR="007D2CDC" w:rsidRPr="00C23C04">
        <w:rPr>
          <w:lang w:val="fr-FR"/>
        </w:rPr>
        <w:t>dans</w:t>
      </w:r>
      <w:r w:rsidR="006E0F16" w:rsidRPr="00C23C04">
        <w:rPr>
          <w:lang w:val="fr-FR"/>
        </w:rPr>
        <w:t xml:space="preserve"> l</w:t>
      </w:r>
      <w:r w:rsidR="00C4766A" w:rsidRPr="00C23C04">
        <w:rPr>
          <w:lang w:val="fr-FR"/>
        </w:rPr>
        <w:t>’</w:t>
      </w:r>
      <w:r w:rsidR="006E0F16" w:rsidRPr="00C23C04">
        <w:rPr>
          <w:lang w:val="fr-FR"/>
        </w:rPr>
        <w:t>application</w:t>
      </w:r>
      <w:r w:rsidRPr="00C23C04">
        <w:rPr>
          <w:lang w:val="fr-FR"/>
        </w:rPr>
        <w:t xml:space="preserve">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</w:t>
      </w:r>
      <w:r w:rsidR="007D2CDC" w:rsidRPr="00C23C04">
        <w:rPr>
          <w:lang w:val="fr-FR"/>
        </w:rPr>
        <w:t>ainsi que ses</w:t>
      </w:r>
      <w:r w:rsidRPr="00C23C04">
        <w:rPr>
          <w:lang w:val="fr-FR"/>
        </w:rPr>
        <w:t xml:space="preserve"> causes (voir le </w:t>
      </w:r>
      <w:r w:rsidR="00C4766A" w:rsidRPr="00C23C04">
        <w:rPr>
          <w:lang w:val="fr-FR"/>
        </w:rPr>
        <w:t>paragraphe 2</w:t>
      </w:r>
      <w:r w:rsidRPr="00C23C04">
        <w:rPr>
          <w:lang w:val="fr-FR"/>
        </w:rPr>
        <w:t>3 du document CWS/4BIS/16).</w:t>
      </w:r>
    </w:p>
    <w:p w:rsidR="00225898" w:rsidRDefault="00225898">
      <w:pPr>
        <w:rPr>
          <w:lang w:val="fr-FR"/>
        </w:rPr>
      </w:pPr>
      <w:r>
        <w:rPr>
          <w:lang w:val="fr-FR"/>
        </w:rPr>
        <w:br w:type="page"/>
      </w:r>
    </w:p>
    <w:p w:rsidR="00617D81" w:rsidRPr="00C23C04" w:rsidRDefault="00F959F4" w:rsidP="00225898">
      <w:pPr>
        <w:pStyle w:val="ONUMFS"/>
        <w:rPr>
          <w:lang w:val="fr-FR"/>
        </w:rPr>
      </w:pPr>
      <w:r w:rsidRPr="00C23C04">
        <w:rPr>
          <w:lang w:val="fr-FR"/>
        </w:rPr>
        <w:lastRenderedPageBreak/>
        <w:t>Comme</w:t>
      </w:r>
      <w:r w:rsidR="00C34A78" w:rsidRPr="00C23C04">
        <w:rPr>
          <w:lang w:val="fr-FR"/>
        </w:rPr>
        <w:t xml:space="preserve"> suite aux décisions prises par</w:t>
      </w:r>
      <w:r w:rsidR="00C4766A" w:rsidRPr="00C23C04">
        <w:rPr>
          <w:lang w:val="fr-FR"/>
        </w:rPr>
        <w:t xml:space="preserve"> le CWS</w:t>
      </w:r>
      <w:r w:rsidR="00C34A78" w:rsidRPr="00C23C04">
        <w:rPr>
          <w:lang w:val="fr-FR"/>
        </w:rPr>
        <w:t>, le Secrétari</w:t>
      </w:r>
      <w:r w:rsidR="006544E4" w:rsidRPr="00C23C04">
        <w:rPr>
          <w:lang w:val="fr-FR"/>
        </w:rPr>
        <w:t>at a envoyé la circulaire C.CWS </w:t>
      </w:r>
      <w:r w:rsidR="00C34A78" w:rsidRPr="00C23C04">
        <w:rPr>
          <w:lang w:val="fr-FR"/>
        </w:rPr>
        <w:t>74 datée du 1</w:t>
      </w:r>
      <w:r w:rsidR="00C4766A" w:rsidRPr="00C23C04">
        <w:rPr>
          <w:lang w:val="fr-FR"/>
        </w:rPr>
        <w:t>1 août 20</w:t>
      </w:r>
      <w:r w:rsidR="000A5916" w:rsidRPr="00C23C04">
        <w:rPr>
          <w:lang w:val="fr-FR"/>
        </w:rPr>
        <w:t>16</w:t>
      </w:r>
      <w:r w:rsidR="00C34A78" w:rsidRPr="00C23C04">
        <w:rPr>
          <w:lang w:val="fr-FR"/>
        </w:rPr>
        <w:t xml:space="preserve"> aux offices de propriété intellectuelle membres</w:t>
      </w:r>
      <w:r w:rsidR="00C4766A" w:rsidRPr="00C23C04">
        <w:rPr>
          <w:lang w:val="fr-FR"/>
        </w:rPr>
        <w:t xml:space="preserve"> du CWS</w:t>
      </w:r>
      <w:r w:rsidR="00C34A78" w:rsidRPr="00C23C04">
        <w:rPr>
          <w:lang w:val="fr-FR"/>
        </w:rPr>
        <w:t xml:space="preserve">, </w:t>
      </w:r>
      <w:r w:rsidR="006E0F16" w:rsidRPr="00C23C04">
        <w:rPr>
          <w:lang w:val="fr-FR"/>
        </w:rPr>
        <w:t xml:space="preserve">le cas échéant </w:t>
      </w:r>
      <w:r w:rsidR="00E10E9D" w:rsidRPr="00C23C04">
        <w:rPr>
          <w:lang w:val="fr-FR"/>
        </w:rPr>
        <w:t>par l’intermédiaire de</w:t>
      </w:r>
      <w:r w:rsidR="00C34A78" w:rsidRPr="00C23C04">
        <w:rPr>
          <w:lang w:val="fr-FR"/>
        </w:rPr>
        <w:t xml:space="preserve"> leur mission permanente à Genève, et a créé un espace </w:t>
      </w:r>
      <w:r w:rsidR="001E6D50" w:rsidRPr="00C23C04">
        <w:rPr>
          <w:lang w:val="fr-FR"/>
        </w:rPr>
        <w:t xml:space="preserve">Wiki </w:t>
      </w:r>
      <w:r w:rsidR="009E77D7" w:rsidRPr="00C23C04">
        <w:rPr>
          <w:lang w:val="fr-FR"/>
        </w:rPr>
        <w:t>pour servir</w:t>
      </w:r>
      <w:r w:rsidR="001E6D50" w:rsidRPr="00C23C04">
        <w:rPr>
          <w:lang w:val="fr-FR"/>
        </w:rPr>
        <w:t xml:space="preserve"> de</w:t>
      </w:r>
      <w:r w:rsidR="00C34A78" w:rsidRPr="00C23C04">
        <w:rPr>
          <w:lang w:val="fr-FR"/>
        </w:rPr>
        <w:t xml:space="preserve"> plateforme </w:t>
      </w:r>
      <w:r w:rsidR="001E6D50" w:rsidRPr="00C23C04">
        <w:rPr>
          <w:lang w:val="fr-FR"/>
        </w:rPr>
        <w:t>d</w:t>
      </w:r>
      <w:r w:rsidR="00C4766A" w:rsidRPr="00C23C04">
        <w:rPr>
          <w:lang w:val="fr-FR"/>
        </w:rPr>
        <w:t>’</w:t>
      </w:r>
      <w:r w:rsidR="001E6D50" w:rsidRPr="00C23C04">
        <w:rPr>
          <w:lang w:val="fr-FR"/>
        </w:rPr>
        <w:t>échanges concernant l</w:t>
      </w:r>
      <w:r w:rsidR="00C34A78" w:rsidRPr="00C23C04">
        <w:rPr>
          <w:lang w:val="fr-FR"/>
        </w:rPr>
        <w:t>es pratiques relatives à l</w:t>
      </w:r>
      <w:r w:rsidR="00C4766A" w:rsidRPr="00C23C04">
        <w:rPr>
          <w:lang w:val="fr-FR"/>
        </w:rPr>
        <w:t>’</w:t>
      </w:r>
      <w:r w:rsidR="00C34A78" w:rsidRPr="00C23C04">
        <w:rPr>
          <w:lang w:val="fr-FR"/>
        </w:rPr>
        <w:t>utilisation des normes de l</w:t>
      </w:r>
      <w:r w:rsidR="00C4766A" w:rsidRPr="00C23C04">
        <w:rPr>
          <w:lang w:val="fr-FR"/>
        </w:rPr>
        <w:t>’</w:t>
      </w:r>
      <w:r w:rsidR="00C34A78" w:rsidRPr="00C23C04">
        <w:rPr>
          <w:lang w:val="fr-FR"/>
        </w:rPr>
        <w:t>OMPI</w:t>
      </w:r>
      <w:r w:rsidR="00E10E9D" w:rsidRPr="00C23C04">
        <w:rPr>
          <w:lang w:val="fr-FR"/>
        </w:rPr>
        <w:t>, en vue d’</w:t>
      </w:r>
      <w:r w:rsidR="009E77D7" w:rsidRPr="00C23C04">
        <w:rPr>
          <w:lang w:val="fr-FR"/>
        </w:rPr>
        <w:t>inviter les</w:t>
      </w:r>
      <w:r w:rsidR="00C34A78" w:rsidRPr="00C23C04">
        <w:rPr>
          <w:lang w:val="fr-FR"/>
        </w:rPr>
        <w:t xml:space="preserve"> membres</w:t>
      </w:r>
      <w:r w:rsidR="00C4766A" w:rsidRPr="00C23C04">
        <w:rPr>
          <w:lang w:val="fr-FR"/>
        </w:rPr>
        <w:t xml:space="preserve"> du CWS</w:t>
      </w:r>
      <w:r w:rsidR="00C34A78" w:rsidRPr="00C23C04">
        <w:rPr>
          <w:lang w:val="fr-FR"/>
        </w:rPr>
        <w:t xml:space="preserve"> </w:t>
      </w:r>
      <w:r w:rsidR="009E77D7" w:rsidRPr="00C23C04">
        <w:rPr>
          <w:lang w:val="fr-FR"/>
        </w:rPr>
        <w:t>à</w:t>
      </w:r>
      <w:r w:rsidR="00C34A78" w:rsidRPr="00C23C04">
        <w:rPr>
          <w:lang w:val="fr-FR"/>
        </w:rPr>
        <w:t xml:space="preserve"> répondre au questionnaire </w:t>
      </w:r>
      <w:r w:rsidR="00E10E9D" w:rsidRPr="00C23C04">
        <w:rPr>
          <w:lang w:val="fr-FR"/>
        </w:rPr>
        <w:t>sur</w:t>
      </w:r>
      <w:r w:rsidR="00C34A78" w:rsidRPr="00C23C04">
        <w:rPr>
          <w:lang w:val="fr-FR"/>
        </w:rPr>
        <w:t xml:space="preserve"> </w:t>
      </w:r>
      <w:r w:rsidR="009E77D7" w:rsidRPr="00C23C04">
        <w:rPr>
          <w:lang w:val="fr-FR"/>
        </w:rPr>
        <w:t>cet espa</w:t>
      </w:r>
      <w:r w:rsidR="00CB0147" w:rsidRPr="00C23C04">
        <w:rPr>
          <w:lang w:val="fr-FR"/>
        </w:rPr>
        <w:t>ce. Le</w:t>
      </w:r>
      <w:r w:rsidRPr="00C23C04">
        <w:rPr>
          <w:lang w:val="fr-FR"/>
        </w:rPr>
        <w:t xml:space="preserve"> Secrétariat a </w:t>
      </w:r>
      <w:r w:rsidR="00F52E71" w:rsidRPr="00C23C04">
        <w:rPr>
          <w:lang w:val="fr-FR"/>
        </w:rPr>
        <w:t xml:space="preserve">par ailleurs </w:t>
      </w:r>
      <w:r w:rsidRPr="00C23C04">
        <w:rPr>
          <w:lang w:val="fr-FR"/>
        </w:rPr>
        <w:t xml:space="preserve">encouragé </w:t>
      </w:r>
      <w:r w:rsidR="00F52E71" w:rsidRPr="00C23C04">
        <w:rPr>
          <w:lang w:val="fr-FR"/>
        </w:rPr>
        <w:t xml:space="preserve">par différents moyens </w:t>
      </w:r>
      <w:r w:rsidRPr="00C23C04">
        <w:rPr>
          <w:lang w:val="fr-FR"/>
        </w:rPr>
        <w:t>les États membres à répondre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enquête, notamment </w:t>
      </w:r>
      <w:r w:rsidR="006E0F16" w:rsidRPr="00C23C04">
        <w:rPr>
          <w:lang w:val="fr-FR"/>
        </w:rPr>
        <w:t xml:space="preserve">par </w:t>
      </w:r>
      <w:r w:rsidRPr="00C23C04">
        <w:rPr>
          <w:lang w:val="fr-FR"/>
        </w:rPr>
        <w:t xml:space="preserve">un rappel officieux adressé </w:t>
      </w:r>
      <w:r w:rsidR="009E77D7" w:rsidRPr="00C23C04">
        <w:rPr>
          <w:lang w:val="fr-FR"/>
        </w:rPr>
        <w:t xml:space="preserve">en septembre </w:t>
      </w:r>
      <w:r w:rsidRPr="00C23C04">
        <w:rPr>
          <w:lang w:val="fr-FR"/>
        </w:rPr>
        <w:t xml:space="preserve">aux groupes régionaux et </w:t>
      </w:r>
      <w:r w:rsidR="00E10E9D" w:rsidRPr="00C23C04">
        <w:rPr>
          <w:lang w:val="fr-FR"/>
        </w:rPr>
        <w:t xml:space="preserve">par </w:t>
      </w:r>
      <w:r w:rsidRPr="00C23C04">
        <w:rPr>
          <w:lang w:val="fr-FR"/>
        </w:rPr>
        <w:t xml:space="preserve">un rappel officiel fait </w:t>
      </w:r>
      <w:r w:rsidR="009E77D7" w:rsidRPr="00C23C04">
        <w:rPr>
          <w:lang w:val="fr-FR"/>
        </w:rPr>
        <w:t xml:space="preserve">lors </w:t>
      </w:r>
      <w:r w:rsidR="00E10E9D" w:rsidRPr="00C23C04">
        <w:rPr>
          <w:lang w:val="fr-FR"/>
        </w:rPr>
        <w:t xml:space="preserve">de la présentation </w:t>
      </w:r>
      <w:r w:rsidR="009E77D7" w:rsidRPr="00C23C04">
        <w:rPr>
          <w:lang w:val="fr-FR"/>
        </w:rPr>
        <w:t>du</w:t>
      </w:r>
      <w:r w:rsidRPr="00C23C04">
        <w:rPr>
          <w:lang w:val="fr-FR"/>
        </w:rPr>
        <w:t xml:space="preserve"> rapport du Secrétariat </w:t>
      </w:r>
      <w:r w:rsidR="006E0F16" w:rsidRPr="00C23C04">
        <w:rPr>
          <w:lang w:val="fr-FR"/>
        </w:rPr>
        <w:t>sur</w:t>
      </w:r>
      <w:r w:rsidR="00C4766A" w:rsidRPr="00C23C04">
        <w:rPr>
          <w:lang w:val="fr-FR"/>
        </w:rPr>
        <w:t xml:space="preserve"> le CWS</w:t>
      </w:r>
      <w:r w:rsidRPr="00C23C04">
        <w:rPr>
          <w:lang w:val="fr-FR"/>
        </w:rPr>
        <w:t xml:space="preserve">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Assemblée générale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</w:t>
      </w:r>
      <w:r w:rsidR="009E77D7" w:rsidRPr="00C23C04">
        <w:rPr>
          <w:lang w:val="fr-FR"/>
        </w:rPr>
        <w:t xml:space="preserve"> d</w:t>
      </w:r>
      <w:r w:rsidR="00C4766A" w:rsidRPr="00C23C04">
        <w:rPr>
          <w:lang w:val="fr-FR"/>
        </w:rPr>
        <w:t>’octobre 20</w:t>
      </w:r>
      <w:r w:rsidR="009E77D7" w:rsidRPr="00C23C04">
        <w:rPr>
          <w:lang w:val="fr-FR"/>
        </w:rPr>
        <w:t>16</w:t>
      </w:r>
      <w:r w:rsidRPr="00C23C04">
        <w:rPr>
          <w:lang w:val="fr-FR"/>
        </w:rPr>
        <w:t xml:space="preserve">, </w:t>
      </w:r>
      <w:r w:rsidR="000259DA" w:rsidRPr="00C23C04">
        <w:rPr>
          <w:lang w:val="fr-FR"/>
        </w:rPr>
        <w:t>tout en prolongeant</w:t>
      </w:r>
      <w:r w:rsidRPr="00C23C04">
        <w:rPr>
          <w:lang w:val="fr-FR"/>
        </w:rPr>
        <w:t xml:space="preserve"> le délai de répon</w:t>
      </w:r>
      <w:r w:rsidR="00CB0147" w:rsidRPr="00C23C04">
        <w:rPr>
          <w:lang w:val="fr-FR"/>
        </w:rPr>
        <w:t>se. En</w:t>
      </w:r>
      <w:r w:rsidR="000259DA" w:rsidRPr="00C23C04">
        <w:rPr>
          <w:lang w:val="fr-FR"/>
        </w:rPr>
        <w:t xml:space="preserve"> conséquence</w:t>
      </w:r>
      <w:r w:rsidR="00BF5583" w:rsidRPr="00C23C04">
        <w:rPr>
          <w:lang w:val="fr-FR"/>
        </w:rPr>
        <w:t xml:space="preserve">, des réponses </w:t>
      </w:r>
      <w:r w:rsidR="000259DA" w:rsidRPr="00C23C04">
        <w:rPr>
          <w:lang w:val="fr-FR"/>
        </w:rPr>
        <w:t>s</w:t>
      </w:r>
      <w:r w:rsidR="00BF5583" w:rsidRPr="00C23C04">
        <w:rPr>
          <w:lang w:val="fr-FR"/>
        </w:rPr>
        <w:t xml:space="preserve">ont </w:t>
      </w:r>
      <w:r w:rsidR="000259DA" w:rsidRPr="00C23C04">
        <w:rPr>
          <w:lang w:val="fr-FR"/>
        </w:rPr>
        <w:t>parvenues</w:t>
      </w:r>
      <w:r w:rsidR="00BF5583" w:rsidRPr="00C23C04">
        <w:rPr>
          <w:lang w:val="fr-FR"/>
        </w:rPr>
        <w:t xml:space="preserve"> du monde entier, notamment de pays en développement (voir le </w:t>
      </w:r>
      <w:r w:rsidR="00C4766A" w:rsidRPr="00C23C04">
        <w:rPr>
          <w:lang w:val="fr-FR"/>
        </w:rPr>
        <w:t>paragraphe 6</w:t>
      </w:r>
      <w:r w:rsidR="00BF5583" w:rsidRPr="00C23C04">
        <w:rPr>
          <w:lang w:val="fr-FR"/>
        </w:rPr>
        <w:t>).</w:t>
      </w:r>
    </w:p>
    <w:p w:rsidR="00153E10" w:rsidRPr="00C23C04" w:rsidRDefault="005938AB" w:rsidP="00225898">
      <w:pPr>
        <w:pStyle w:val="ONUMFS"/>
        <w:rPr>
          <w:lang w:val="fr-FR"/>
        </w:rPr>
      </w:pPr>
      <w:r w:rsidRPr="00C23C04">
        <w:rPr>
          <w:lang w:val="fr-FR"/>
        </w:rPr>
        <w:t xml:space="preserve">Les </w:t>
      </w:r>
      <w:r w:rsidR="00EF52E5" w:rsidRPr="00C23C04">
        <w:rPr>
          <w:lang w:val="fr-FR"/>
        </w:rPr>
        <w:t>réponses</w:t>
      </w:r>
      <w:r w:rsidR="001B0C67" w:rsidRPr="00C23C04">
        <w:rPr>
          <w:lang w:val="fr-FR"/>
        </w:rPr>
        <w:t xml:space="preserve"> </w:t>
      </w:r>
      <w:r w:rsidR="00EF52E5" w:rsidRPr="00C23C04">
        <w:rPr>
          <w:lang w:val="fr-FR"/>
        </w:rPr>
        <w:t>à</w:t>
      </w:r>
      <w:r w:rsidRPr="00C23C04">
        <w:rPr>
          <w:lang w:val="fr-FR"/>
        </w:rPr>
        <w:t xml:space="preserve">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enquête sont accessibles au public sur la </w:t>
      </w:r>
      <w:r w:rsidR="00C4766A" w:rsidRPr="00C23C04">
        <w:rPr>
          <w:lang w:val="fr-FR"/>
        </w:rPr>
        <w:t>page W</w:t>
      </w:r>
      <w:r w:rsidRPr="00C23C04">
        <w:rPr>
          <w:lang w:val="fr-FR"/>
        </w:rPr>
        <w:t xml:space="preserve">iki </w:t>
      </w:r>
      <w:r w:rsidR="00EF52E5" w:rsidRPr="00C23C04">
        <w:rPr>
          <w:lang w:val="fr-FR"/>
        </w:rPr>
        <w:t>intitulée</w:t>
      </w:r>
      <w:r w:rsidR="000259DA" w:rsidRPr="00C23C04">
        <w:rPr>
          <w:lang w:val="fr-FR"/>
        </w:rPr>
        <w:t xml:space="preserve"> </w:t>
      </w:r>
      <w:r w:rsidR="00524CEB" w:rsidRPr="00C23C04">
        <w:rPr>
          <w:lang w:val="fr-FR"/>
        </w:rPr>
        <w:t>“</w:t>
      </w:r>
      <w:r w:rsidRPr="00C23C04">
        <w:rPr>
          <w:lang w:val="fr-FR"/>
        </w:rPr>
        <w:t>Enquête</w:t>
      </w:r>
      <w:r w:rsidR="00C4766A" w:rsidRPr="00C23C04">
        <w:rPr>
          <w:lang w:val="fr-FR"/>
        </w:rPr>
        <w:t xml:space="preserve"> du CWS</w:t>
      </w:r>
      <w:r w:rsidRPr="00C23C04">
        <w:rPr>
          <w:lang w:val="fr-FR"/>
        </w:rPr>
        <w:t xml:space="preserve"> concernant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utilisation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</w:t>
      </w:r>
      <w:r w:rsidR="00524CEB" w:rsidRPr="00C23C04">
        <w:rPr>
          <w:lang w:val="fr-FR"/>
        </w:rPr>
        <w:t>”</w:t>
      </w:r>
      <w:r w:rsidRPr="00C23C04">
        <w:rPr>
          <w:lang w:val="fr-FR"/>
        </w:rPr>
        <w:t xml:space="preserve">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adresse </w:t>
      </w:r>
      <w:hyperlink r:id="rId10" w:history="1">
        <w:r w:rsidRPr="00225898">
          <w:rPr>
            <w:rStyle w:val="Hyperlink"/>
            <w:lang w:val="fr-FR"/>
          </w:rPr>
          <w:t>https://www3.wipo.int/confluence/x/OADDB</w:t>
        </w:r>
      </w:hyperlink>
      <w:r w:rsidR="008E2D4E" w:rsidRPr="008E2D4E">
        <w:rPr>
          <w:rStyle w:val="Hyperlink"/>
          <w:lang w:val="fr-FR"/>
        </w:rPr>
        <w:t xml:space="preserve"> </w:t>
      </w:r>
      <w:r w:rsidRPr="00C23C04">
        <w:rPr>
          <w:lang w:val="fr-FR"/>
        </w:rPr>
        <w:t xml:space="preserve">; </w:t>
      </w:r>
      <w:r w:rsidR="00EF52E5" w:rsidRPr="00C23C04">
        <w:rPr>
          <w:lang w:val="fr-FR"/>
        </w:rPr>
        <w:t>les résultats de l</w:t>
      </w:r>
      <w:r w:rsidR="00C4766A" w:rsidRPr="00C23C04">
        <w:rPr>
          <w:lang w:val="fr-FR"/>
        </w:rPr>
        <w:t>’</w:t>
      </w:r>
      <w:r w:rsidR="00EF52E5" w:rsidRPr="00C23C04">
        <w:rPr>
          <w:lang w:val="fr-FR"/>
        </w:rPr>
        <w:t>enquête</w:t>
      </w:r>
      <w:r w:rsidRPr="00C23C04">
        <w:rPr>
          <w:lang w:val="fr-FR"/>
        </w:rPr>
        <w:t xml:space="preserve"> peuvent être consultés par norme </w:t>
      </w:r>
      <w:r w:rsidR="00E10E9D" w:rsidRPr="00C23C04">
        <w:rPr>
          <w:lang w:val="fr-FR"/>
        </w:rPr>
        <w:t>et</w:t>
      </w:r>
      <w:r w:rsidRPr="00C23C04">
        <w:rPr>
          <w:lang w:val="fr-FR"/>
        </w:rPr>
        <w:t xml:space="preserve"> par office de propriété intellectuel</w:t>
      </w:r>
      <w:r w:rsidR="008E2D4E">
        <w:rPr>
          <w:lang w:val="fr-FR"/>
        </w:rPr>
        <w:t xml:space="preserve">le. </w:t>
      </w:r>
      <w:r w:rsidR="00CB0147" w:rsidRPr="00C23C04">
        <w:rPr>
          <w:lang w:val="fr-FR"/>
        </w:rPr>
        <w:t>Un</w:t>
      </w:r>
      <w:r w:rsidR="001B0C67" w:rsidRPr="00C23C04">
        <w:rPr>
          <w:lang w:val="fr-FR"/>
        </w:rPr>
        <w:t xml:space="preserve"> aperçu</w:t>
      </w:r>
      <w:r w:rsidR="006F28D6" w:rsidRPr="00C23C04">
        <w:rPr>
          <w:lang w:val="fr-FR"/>
        </w:rPr>
        <w:t xml:space="preserve"> de l</w:t>
      </w:r>
      <w:r w:rsidR="00C4766A" w:rsidRPr="00C23C04">
        <w:rPr>
          <w:lang w:val="fr-FR"/>
        </w:rPr>
        <w:t>’</w:t>
      </w:r>
      <w:r w:rsidR="006F28D6" w:rsidRPr="00C23C04">
        <w:rPr>
          <w:lang w:val="fr-FR"/>
        </w:rPr>
        <w:t xml:space="preserve">état de </w:t>
      </w:r>
      <w:r w:rsidR="001B0C67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1B0C67" w:rsidRPr="00C23C04">
        <w:rPr>
          <w:lang w:val="fr-FR"/>
        </w:rPr>
        <w:t>application</w:t>
      </w:r>
      <w:r w:rsidR="006F28D6" w:rsidRPr="00C23C04">
        <w:rPr>
          <w:lang w:val="fr-FR"/>
        </w:rPr>
        <w:t xml:space="preserve"> des normes est disponible sous forme d</w:t>
      </w:r>
      <w:r w:rsidR="00E10E9D" w:rsidRPr="00C23C04">
        <w:rPr>
          <w:lang w:val="fr-FR"/>
        </w:rPr>
        <w:t>e</w:t>
      </w:r>
      <w:r w:rsidR="006F28D6" w:rsidRPr="00C23C04">
        <w:rPr>
          <w:lang w:val="fr-FR"/>
        </w:rPr>
        <w:t xml:space="preserve"> tableau sur la page</w:t>
      </w:r>
      <w:r w:rsidR="00E10E9D" w:rsidRPr="00C23C04">
        <w:rPr>
          <w:lang w:val="fr-FR"/>
        </w:rPr>
        <w:t xml:space="preserve"> intitulée</w:t>
      </w:r>
      <w:r w:rsidR="006F28D6" w:rsidRPr="00C23C04">
        <w:rPr>
          <w:lang w:val="fr-FR"/>
        </w:rPr>
        <w:t xml:space="preserve"> </w:t>
      </w:r>
      <w:r w:rsidR="00524CEB" w:rsidRPr="00C23C04">
        <w:rPr>
          <w:lang w:val="fr-FR"/>
        </w:rPr>
        <w:t>“</w:t>
      </w:r>
      <w:r w:rsidR="001B0C67" w:rsidRPr="00C23C04">
        <w:rPr>
          <w:lang w:val="fr-FR"/>
        </w:rPr>
        <w:t>Aperçu</w:t>
      </w:r>
      <w:r w:rsidR="006F28D6" w:rsidRPr="00C23C04">
        <w:rPr>
          <w:lang w:val="fr-FR"/>
        </w:rPr>
        <w:t xml:space="preserve"> de </w:t>
      </w:r>
      <w:r w:rsidR="001B0C67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1B0C67" w:rsidRPr="00C23C04">
        <w:rPr>
          <w:lang w:val="fr-FR"/>
        </w:rPr>
        <w:t>application</w:t>
      </w:r>
      <w:r w:rsidR="006F28D6" w:rsidRPr="00C23C04">
        <w:rPr>
          <w:lang w:val="fr-FR"/>
        </w:rPr>
        <w:t xml:space="preserve"> des normes de l</w:t>
      </w:r>
      <w:r w:rsidR="00C4766A" w:rsidRPr="00C23C04">
        <w:rPr>
          <w:lang w:val="fr-FR"/>
        </w:rPr>
        <w:t>’</w:t>
      </w:r>
      <w:r w:rsidR="006F28D6" w:rsidRPr="00C23C04">
        <w:rPr>
          <w:lang w:val="fr-FR"/>
        </w:rPr>
        <w:t>OMPI</w:t>
      </w:r>
      <w:r w:rsidR="00524CEB" w:rsidRPr="00C23C04">
        <w:rPr>
          <w:lang w:val="fr-FR"/>
        </w:rPr>
        <w:t>”</w:t>
      </w:r>
      <w:r w:rsidR="006F28D6" w:rsidRPr="00C23C04">
        <w:rPr>
          <w:lang w:val="fr-FR"/>
        </w:rPr>
        <w:t xml:space="preserve"> à l</w:t>
      </w:r>
      <w:r w:rsidR="00C4766A" w:rsidRPr="00C23C04">
        <w:rPr>
          <w:lang w:val="fr-FR"/>
        </w:rPr>
        <w:t>’</w:t>
      </w:r>
      <w:r w:rsidR="006F28D6" w:rsidRPr="00C23C04">
        <w:rPr>
          <w:lang w:val="fr-FR"/>
        </w:rPr>
        <w:t xml:space="preserve">adresse </w:t>
      </w:r>
      <w:hyperlink r:id="rId11" w:history="1">
        <w:r w:rsidR="006F28D6" w:rsidRPr="00225898">
          <w:rPr>
            <w:rStyle w:val="Hyperlink"/>
            <w:lang w:val="fr-FR"/>
          </w:rPr>
          <w:t>https://www3.wipo.int/confluence/x/OALDB</w:t>
        </w:r>
      </w:hyperlink>
      <w:r w:rsidR="00153E10" w:rsidRPr="00C23C04">
        <w:rPr>
          <w:lang w:val="fr-FR"/>
        </w:rPr>
        <w:t>.</w:t>
      </w:r>
    </w:p>
    <w:p w:rsidR="00617D81" w:rsidRPr="00C23C04" w:rsidRDefault="00041B58" w:rsidP="00225898">
      <w:pPr>
        <w:pStyle w:val="ONUMFS"/>
        <w:rPr>
          <w:lang w:val="fr-FR"/>
        </w:rPr>
      </w:pPr>
      <w:r w:rsidRPr="00C23C04">
        <w:rPr>
          <w:lang w:val="fr-FR"/>
        </w:rPr>
        <w:t>Les offices de propriété intellectuelle qui n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ont pas répondu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enquête ou qui souhaitent modifier leurs réponses sont invités à contacter le Bureau international par courrier électronique adressé à </w:t>
      </w:r>
      <w:hyperlink r:id="rId12" w:history="1">
        <w:r w:rsidRPr="00225898">
          <w:rPr>
            <w:rStyle w:val="Hyperlink"/>
            <w:lang w:val="fr-FR"/>
          </w:rPr>
          <w:t>cws.surveys@wipo.int</w:t>
        </w:r>
      </w:hyperlink>
      <w:r w:rsidRPr="00C23C04">
        <w:rPr>
          <w:lang w:val="fr-FR"/>
        </w:rPr>
        <w:t xml:space="preserve"> et à suivre les instructions </w:t>
      </w:r>
      <w:r w:rsidR="001B0C67" w:rsidRPr="00C23C04">
        <w:rPr>
          <w:lang w:val="fr-FR"/>
        </w:rPr>
        <w:t>fournies</w:t>
      </w:r>
      <w:r w:rsidRPr="00C23C04">
        <w:rPr>
          <w:lang w:val="fr-FR"/>
        </w:rPr>
        <w:t xml:space="preserve">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adresse </w:t>
      </w:r>
      <w:hyperlink r:id="rId13" w:history="1">
        <w:r w:rsidRPr="00225898">
          <w:rPr>
            <w:rStyle w:val="Hyperlink"/>
            <w:lang w:val="fr-FR"/>
          </w:rPr>
          <w:t>https://www3.wipo.int/confluence/x/MALDB</w:t>
        </w:r>
      </w:hyperlink>
      <w:r w:rsidRPr="00C23C04">
        <w:rPr>
          <w:lang w:val="fr-FR"/>
        </w:rPr>
        <w:t>.</w:t>
      </w:r>
    </w:p>
    <w:p w:rsidR="00617D81" w:rsidRPr="00225898" w:rsidRDefault="00225898" w:rsidP="00225898">
      <w:pPr>
        <w:pStyle w:val="Heading2"/>
        <w:spacing w:before="0"/>
        <w:rPr>
          <w:caps w:val="0"/>
          <w:lang w:val="fr-FR"/>
        </w:rPr>
      </w:pPr>
      <w:r w:rsidRPr="00225898">
        <w:rPr>
          <w:caps w:val="0"/>
          <w:lang w:val="fr-FR"/>
        </w:rPr>
        <w:t>RÉSUMÉ DES RÉSULTATS DE L’ENQUÊTE</w:t>
      </w:r>
    </w:p>
    <w:p w:rsidR="00595E99" w:rsidRPr="00C23C04" w:rsidRDefault="00041B58" w:rsidP="00225898">
      <w:pPr>
        <w:pStyle w:val="ONUMFS"/>
        <w:rPr>
          <w:lang w:val="fr-FR"/>
        </w:rPr>
      </w:pPr>
      <w:r w:rsidRPr="00C23C04">
        <w:rPr>
          <w:lang w:val="fr-FR"/>
        </w:rPr>
        <w:t>Les 30</w:t>
      </w:r>
      <w:r w:rsidR="00153E10" w:rsidRPr="00C23C04">
        <w:rPr>
          <w:lang w:val="fr-FR"/>
        </w:rPr>
        <w:t> </w:t>
      </w:r>
      <w:r w:rsidRPr="00C23C04">
        <w:rPr>
          <w:lang w:val="fr-FR"/>
        </w:rPr>
        <w:t>offices de propriété intellectuelle suivant</w:t>
      </w:r>
      <w:r w:rsidR="00192518" w:rsidRPr="00C23C04">
        <w:rPr>
          <w:lang w:val="fr-FR"/>
        </w:rPr>
        <w:t>s</w:t>
      </w:r>
      <w:r w:rsidRPr="00C23C04">
        <w:rPr>
          <w:lang w:val="fr-FR"/>
        </w:rPr>
        <w:t xml:space="preserve"> ont participé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enquête</w:t>
      </w:r>
      <w:r w:rsidR="00C4766A" w:rsidRPr="00C23C04">
        <w:rPr>
          <w:lang w:val="fr-FR"/>
        </w:rPr>
        <w:t> 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595E99" w:rsidRPr="00C23C04" w:rsidTr="00491ACB">
        <w:tc>
          <w:tcPr>
            <w:tcW w:w="648" w:type="dxa"/>
          </w:tcPr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AU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BA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BD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CA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CN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CO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CZ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DE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HN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HR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HU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IT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JP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KG</w:t>
            </w:r>
          </w:p>
          <w:p w:rsidR="00595E99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KR</w:t>
            </w:r>
          </w:p>
        </w:tc>
        <w:tc>
          <w:tcPr>
            <w:tcW w:w="3933" w:type="dxa"/>
          </w:tcPr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Australie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Bosnie</w:t>
            </w:r>
            <w:r w:rsidR="006544E4" w:rsidRPr="00C23C04">
              <w:rPr>
                <w:lang w:val="fr-FR"/>
              </w:rPr>
              <w:noBreakHyphen/>
            </w:r>
            <w:r w:rsidRPr="00C23C04">
              <w:rPr>
                <w:lang w:val="fr-FR"/>
              </w:rPr>
              <w:t>Herzégovine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Bangladesh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Canada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Chine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Colombie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République tchèque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Allemagne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Honduras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Croatie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Hongrie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Italie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Japon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Kirghizistan</w:t>
            </w:r>
          </w:p>
          <w:p w:rsidR="00595E99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République de Corée</w:t>
            </w:r>
          </w:p>
        </w:tc>
        <w:tc>
          <w:tcPr>
            <w:tcW w:w="720" w:type="dxa"/>
          </w:tcPr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LT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MD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MX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OM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RU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SA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SE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SK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SV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TN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TT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UA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UG</w:t>
            </w:r>
          </w:p>
          <w:p w:rsidR="00617D81" w:rsidRPr="00225898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</w:pPr>
            <w:r w:rsidRPr="00225898">
              <w:t>US</w:t>
            </w:r>
          </w:p>
          <w:p w:rsidR="00595E99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ZA</w:t>
            </w:r>
          </w:p>
        </w:tc>
        <w:tc>
          <w:tcPr>
            <w:tcW w:w="2970" w:type="dxa"/>
          </w:tcPr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Lituanie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République de Moldova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Mexique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Oman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Fédération de Russie</w:t>
            </w:r>
          </w:p>
          <w:p w:rsidR="00617D81" w:rsidRPr="00C23C04" w:rsidRDefault="00C4766A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Arabie saoudite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Suède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Slovaquie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El Salvador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Tunisie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Trinité</w:t>
            </w:r>
            <w:r w:rsidR="006544E4" w:rsidRPr="00C23C04">
              <w:rPr>
                <w:lang w:val="fr-FR"/>
              </w:rPr>
              <w:noBreakHyphen/>
            </w:r>
            <w:r w:rsidRPr="00C23C04">
              <w:rPr>
                <w:lang w:val="fr-FR"/>
              </w:rPr>
              <w:t>et</w:t>
            </w:r>
            <w:r w:rsidR="006544E4" w:rsidRPr="00C23C04">
              <w:rPr>
                <w:lang w:val="fr-FR"/>
              </w:rPr>
              <w:noBreakHyphen/>
            </w:r>
            <w:r w:rsidRPr="00C23C04">
              <w:rPr>
                <w:lang w:val="fr-FR"/>
              </w:rPr>
              <w:t>Tobago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Ukraine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Ouganda</w:t>
            </w:r>
          </w:p>
          <w:p w:rsidR="00617D81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États</w:t>
            </w:r>
            <w:r w:rsidR="006544E4" w:rsidRPr="00C23C04">
              <w:rPr>
                <w:lang w:val="fr-FR"/>
              </w:rPr>
              <w:noBreakHyphen/>
            </w:r>
            <w:r w:rsidRPr="00C23C04">
              <w:rPr>
                <w:lang w:val="fr-FR"/>
              </w:rPr>
              <w:t>Unis d</w:t>
            </w:r>
            <w:r w:rsidR="00C4766A" w:rsidRPr="00C23C04">
              <w:rPr>
                <w:lang w:val="fr-FR"/>
              </w:rPr>
              <w:t>’</w:t>
            </w:r>
            <w:r w:rsidRPr="00C23C04">
              <w:rPr>
                <w:lang w:val="fr-FR"/>
              </w:rPr>
              <w:t>Amérique</w:t>
            </w:r>
          </w:p>
          <w:p w:rsidR="00F8569B" w:rsidRPr="00C23C04" w:rsidRDefault="00041B58" w:rsidP="0022589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C23C04">
              <w:rPr>
                <w:lang w:val="fr-FR"/>
              </w:rPr>
              <w:t>Afrique du Sud</w:t>
            </w:r>
          </w:p>
        </w:tc>
      </w:tr>
    </w:tbl>
    <w:p w:rsidR="00225898" w:rsidRDefault="00225898">
      <w:pPr>
        <w:rPr>
          <w:lang w:val="fr-FR"/>
        </w:rPr>
      </w:pPr>
      <w:r>
        <w:rPr>
          <w:lang w:val="fr-FR"/>
        </w:rPr>
        <w:br w:type="page"/>
      </w:r>
    </w:p>
    <w:p w:rsidR="00617D81" w:rsidRPr="00C23C04" w:rsidRDefault="00041B58" w:rsidP="00225898">
      <w:pPr>
        <w:pStyle w:val="ONUMFS"/>
        <w:spacing w:before="120"/>
        <w:rPr>
          <w:lang w:val="fr-FR"/>
        </w:rPr>
      </w:pPr>
      <w:r w:rsidRPr="00C23C04">
        <w:rPr>
          <w:lang w:val="fr-FR"/>
        </w:rPr>
        <w:lastRenderedPageBreak/>
        <w:t xml:space="preserve">Le </w:t>
      </w:r>
      <w:r w:rsidR="00E10E9D" w:rsidRPr="00C23C04">
        <w:rPr>
          <w:lang w:val="fr-FR"/>
        </w:rPr>
        <w:t>graphique</w:t>
      </w:r>
      <w:r w:rsidRPr="00C23C04">
        <w:rPr>
          <w:lang w:val="fr-FR"/>
        </w:rPr>
        <w:t xml:space="preserve"> ci</w:t>
      </w:r>
      <w:r w:rsidR="006544E4" w:rsidRPr="00C23C04">
        <w:rPr>
          <w:lang w:val="fr-FR"/>
        </w:rPr>
        <w:noBreakHyphen/>
      </w:r>
      <w:r w:rsidRPr="00C23C04">
        <w:rPr>
          <w:lang w:val="fr-FR"/>
        </w:rPr>
        <w:t>dessous montre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état </w:t>
      </w:r>
      <w:r w:rsidR="001B0C67" w:rsidRPr="00C23C04">
        <w:rPr>
          <w:lang w:val="fr-FR"/>
        </w:rPr>
        <w:t>de l</w:t>
      </w:r>
      <w:r w:rsidR="00C4766A" w:rsidRPr="00C23C04">
        <w:rPr>
          <w:lang w:val="fr-FR"/>
        </w:rPr>
        <w:t>’</w:t>
      </w:r>
      <w:r w:rsidR="00192518" w:rsidRPr="00C23C04">
        <w:rPr>
          <w:lang w:val="fr-FR"/>
        </w:rPr>
        <w:t>application</w:t>
      </w:r>
      <w:r w:rsidRPr="00C23C04">
        <w:rPr>
          <w:lang w:val="fr-FR"/>
        </w:rPr>
        <w:t xml:space="preserve">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 dans les offices de propriété intellectuelle qui ont participé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enquête (voir la figure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1).</w:t>
      </w:r>
      <w:r w:rsidR="008E2D4E">
        <w:rPr>
          <w:lang w:val="fr-FR"/>
        </w:rPr>
        <w:t xml:space="preserve"> </w:t>
      </w:r>
      <w:r w:rsidR="00192518" w:rsidRPr="00C23C04">
        <w:rPr>
          <w:lang w:val="fr-FR"/>
        </w:rPr>
        <w:t xml:space="preserve">Il convient de souligner que plusieurs participants ont </w:t>
      </w:r>
      <w:r w:rsidR="00263D3E" w:rsidRPr="00C23C04">
        <w:rPr>
          <w:lang w:val="fr-FR"/>
        </w:rPr>
        <w:t>indiqué</w:t>
      </w:r>
      <w:r w:rsidR="00192518" w:rsidRPr="00C23C04">
        <w:rPr>
          <w:lang w:val="fr-FR"/>
        </w:rPr>
        <w:t xml:space="preserve"> qu</w:t>
      </w:r>
      <w:r w:rsidR="00C4766A" w:rsidRPr="00C23C04">
        <w:rPr>
          <w:lang w:val="fr-FR"/>
        </w:rPr>
        <w:t>’</w:t>
      </w:r>
      <w:r w:rsidR="00192518" w:rsidRPr="00C23C04">
        <w:rPr>
          <w:lang w:val="fr-FR"/>
        </w:rPr>
        <w:t xml:space="preserve">ils étaient </w:t>
      </w:r>
      <w:r w:rsidR="001B0C67" w:rsidRPr="00C23C04">
        <w:rPr>
          <w:lang w:val="fr-FR"/>
        </w:rPr>
        <w:t>disposés</w:t>
      </w:r>
      <w:r w:rsidR="00192518" w:rsidRPr="00C23C04">
        <w:rPr>
          <w:lang w:val="fr-FR"/>
        </w:rPr>
        <w:t xml:space="preserve"> à appliquer à l</w:t>
      </w:r>
      <w:r w:rsidR="00C4766A" w:rsidRPr="00C23C04">
        <w:rPr>
          <w:lang w:val="fr-FR"/>
        </w:rPr>
        <w:t>’</w:t>
      </w:r>
      <w:r w:rsidR="00192518" w:rsidRPr="00C23C04">
        <w:rPr>
          <w:lang w:val="fr-FR"/>
        </w:rPr>
        <w:t>avenir les normes de l</w:t>
      </w:r>
      <w:r w:rsidR="00C4766A" w:rsidRPr="00C23C04">
        <w:rPr>
          <w:lang w:val="fr-FR"/>
        </w:rPr>
        <w:t>’</w:t>
      </w:r>
      <w:r w:rsidR="00192518" w:rsidRPr="00C23C04">
        <w:rPr>
          <w:lang w:val="fr-FR"/>
        </w:rPr>
        <w:t xml:space="preserve">OMPI, ou </w:t>
      </w:r>
      <w:r w:rsidR="000A5916" w:rsidRPr="00C23C04">
        <w:rPr>
          <w:lang w:val="fr-FR"/>
        </w:rPr>
        <w:t xml:space="preserve">du moins </w:t>
      </w:r>
      <w:r w:rsidR="00192518" w:rsidRPr="00C23C04">
        <w:rPr>
          <w:lang w:val="fr-FR"/>
        </w:rPr>
        <w:t>certaines d</w:t>
      </w:r>
      <w:r w:rsidR="00C4766A" w:rsidRPr="00C23C04">
        <w:rPr>
          <w:lang w:val="fr-FR"/>
        </w:rPr>
        <w:t>’</w:t>
      </w:r>
      <w:r w:rsidR="00192518" w:rsidRPr="00C23C04">
        <w:rPr>
          <w:lang w:val="fr-FR"/>
        </w:rPr>
        <w:t>entre elles.</w:t>
      </w:r>
    </w:p>
    <w:p w:rsidR="00617D81" w:rsidRPr="00C23C04" w:rsidRDefault="00D147EA" w:rsidP="00225898">
      <w:pPr>
        <w:keepNext/>
        <w:spacing w:after="22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3D157" wp14:editId="7812C19B">
            <wp:simplePos x="0" y="0"/>
            <wp:positionH relativeFrom="column">
              <wp:posOffset>5601970</wp:posOffset>
            </wp:positionH>
            <wp:positionV relativeFrom="paragraph">
              <wp:posOffset>1593215</wp:posOffset>
            </wp:positionV>
            <wp:extent cx="423435" cy="32832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7"/>
                    <a:stretch/>
                  </pic:blipFill>
                  <pic:spPr bwMode="auto">
                    <a:xfrm>
                      <a:off x="0" y="0"/>
                      <a:ext cx="423435" cy="328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99" w:rsidRPr="00C23C04">
        <w:rPr>
          <w:noProof/>
          <w:lang w:eastAsia="en-US"/>
        </w:rPr>
        <w:drawing>
          <wp:inline distT="0" distB="0" distL="0" distR="0" wp14:anchorId="3B7C1648" wp14:editId="226F8F44">
            <wp:extent cx="6004560" cy="3498966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3476" cy="35099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81" w:rsidRDefault="00192518" w:rsidP="00225898">
      <w:pPr>
        <w:pStyle w:val="Caption"/>
        <w:spacing w:after="220"/>
        <w:rPr>
          <w:noProof/>
          <w:lang w:val="fr-FR"/>
        </w:rPr>
      </w:pPr>
      <w:r w:rsidRPr="00C23C04">
        <w:rPr>
          <w:lang w:val="fr-FR"/>
        </w:rPr>
        <w:t>Figure</w:t>
      </w:r>
      <w:r w:rsidR="00524CEB" w:rsidRPr="00C23C04">
        <w:rPr>
          <w:lang w:val="fr-FR"/>
        </w:rPr>
        <w:t> </w:t>
      </w:r>
      <w:r w:rsidR="006C1E5A" w:rsidRPr="00C23C04">
        <w:rPr>
          <w:lang w:val="fr-FR"/>
        </w:rPr>
        <w:fldChar w:fldCharType="begin"/>
      </w:r>
      <w:r w:rsidR="006C1E5A" w:rsidRPr="00C23C04">
        <w:rPr>
          <w:lang w:val="fr-FR"/>
        </w:rPr>
        <w:instrText xml:space="preserve"> SEQ Figure \* ARABIC </w:instrText>
      </w:r>
      <w:r w:rsidR="006C1E5A" w:rsidRPr="00C23C04">
        <w:rPr>
          <w:lang w:val="fr-FR"/>
        </w:rPr>
        <w:fldChar w:fldCharType="separate"/>
      </w:r>
      <w:r w:rsidR="0032561A" w:rsidRPr="00C23C04">
        <w:rPr>
          <w:noProof/>
          <w:lang w:val="fr-FR"/>
        </w:rPr>
        <w:t>1</w:t>
      </w:r>
      <w:r w:rsidR="006C1E5A" w:rsidRPr="00C23C04">
        <w:rPr>
          <w:noProof/>
          <w:lang w:val="fr-FR"/>
        </w:rPr>
        <w:fldChar w:fldCharType="end"/>
      </w:r>
    </w:p>
    <w:p w:rsidR="00617D81" w:rsidRPr="00C23C04" w:rsidRDefault="00E6779B" w:rsidP="00225898">
      <w:pPr>
        <w:pStyle w:val="ONUMFS"/>
        <w:spacing w:after="120"/>
        <w:rPr>
          <w:lang w:val="fr-FR"/>
        </w:rPr>
      </w:pPr>
      <w:r w:rsidRPr="00C23C04">
        <w:rPr>
          <w:lang w:val="fr-FR"/>
        </w:rPr>
        <w:t>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après les réponses</w:t>
      </w:r>
      <w:r w:rsidR="00263D3E" w:rsidRPr="00C23C04">
        <w:rPr>
          <w:lang w:val="fr-FR"/>
        </w:rPr>
        <w:t xml:space="preserve"> à l</w:t>
      </w:r>
      <w:r w:rsidR="00C4766A" w:rsidRPr="00C23C04">
        <w:rPr>
          <w:lang w:val="fr-FR"/>
        </w:rPr>
        <w:t>’</w:t>
      </w:r>
      <w:r w:rsidR="00263D3E" w:rsidRPr="00C23C04">
        <w:rPr>
          <w:lang w:val="fr-FR"/>
        </w:rPr>
        <w:t>enquête</w:t>
      </w:r>
      <w:r w:rsidRPr="00C23C04">
        <w:rPr>
          <w:lang w:val="fr-FR"/>
        </w:rPr>
        <w:t xml:space="preserve">, </w:t>
      </w:r>
      <w:r w:rsidR="00145A40" w:rsidRPr="00C23C04">
        <w:rPr>
          <w:lang w:val="fr-FR"/>
        </w:rPr>
        <w:t xml:space="preserve">les </w:t>
      </w:r>
      <w:r w:rsidRPr="00C23C04">
        <w:rPr>
          <w:lang w:val="fr-FR"/>
        </w:rPr>
        <w:t>points</w:t>
      </w:r>
      <w:r w:rsidR="00145A40" w:rsidRPr="00C23C04">
        <w:rPr>
          <w:lang w:val="fr-FR"/>
        </w:rPr>
        <w:t xml:space="preserve"> suivants </w:t>
      </w:r>
      <w:r w:rsidRPr="00C23C04">
        <w:rPr>
          <w:lang w:val="fr-FR"/>
        </w:rPr>
        <w:t>constituent</w:t>
      </w:r>
      <w:r w:rsidR="001B0C67" w:rsidRPr="00C23C04">
        <w:rPr>
          <w:lang w:val="fr-FR"/>
        </w:rPr>
        <w:t xml:space="preserve"> des</w:t>
      </w:r>
      <w:r w:rsidR="00145A40" w:rsidRPr="00C23C04">
        <w:rPr>
          <w:lang w:val="fr-FR"/>
        </w:rPr>
        <w:t xml:space="preserve"> obstacles majeurs à l</w:t>
      </w:r>
      <w:r w:rsidR="00C4766A" w:rsidRPr="00C23C04">
        <w:rPr>
          <w:lang w:val="fr-FR"/>
        </w:rPr>
        <w:t>’</w:t>
      </w:r>
      <w:r w:rsidR="00145A40" w:rsidRPr="00C23C04">
        <w:rPr>
          <w:lang w:val="fr-FR"/>
        </w:rPr>
        <w:t>application des normes de l</w:t>
      </w:r>
      <w:r w:rsidR="00C4766A" w:rsidRPr="00C23C04">
        <w:rPr>
          <w:lang w:val="fr-FR"/>
        </w:rPr>
        <w:t>’</w:t>
      </w:r>
      <w:r w:rsidR="00145A40" w:rsidRPr="00C23C04">
        <w:rPr>
          <w:lang w:val="fr-FR"/>
        </w:rPr>
        <w:t xml:space="preserve">OMPI dans les pratiques des offices de propriété intellectuelle </w:t>
      </w:r>
      <w:r w:rsidR="001B0C67" w:rsidRPr="00C23C04">
        <w:rPr>
          <w:lang w:val="fr-FR"/>
        </w:rPr>
        <w:t xml:space="preserve">et </w:t>
      </w:r>
      <w:r w:rsidR="00263D3E" w:rsidRPr="00C23C04">
        <w:rPr>
          <w:lang w:val="fr-FR"/>
        </w:rPr>
        <w:t xml:space="preserve">expliquent </w:t>
      </w:r>
      <w:r w:rsidRPr="00C23C04">
        <w:rPr>
          <w:lang w:val="fr-FR"/>
        </w:rPr>
        <w:t>les raisons pour lesquelles elles ne sont pas appliquées</w:t>
      </w:r>
      <w:r w:rsidR="00145A40" w:rsidRPr="00C23C04">
        <w:rPr>
          <w:lang w:val="fr-FR"/>
        </w:rPr>
        <w:t>.</w:t>
      </w:r>
    </w:p>
    <w:p w:rsidR="00617D81" w:rsidRPr="00C23C04" w:rsidRDefault="001B0C67" w:rsidP="00225898">
      <w:pPr>
        <w:pStyle w:val="ONUMFS"/>
        <w:numPr>
          <w:ilvl w:val="1"/>
          <w:numId w:val="6"/>
        </w:numPr>
        <w:spacing w:after="120"/>
        <w:rPr>
          <w:lang w:val="fr-FR"/>
        </w:rPr>
      </w:pPr>
      <w:r w:rsidRPr="00C23C04">
        <w:rPr>
          <w:lang w:val="fr-FR"/>
        </w:rPr>
        <w:t>N</w:t>
      </w:r>
      <w:r w:rsidR="00145A40" w:rsidRPr="00C23C04">
        <w:rPr>
          <w:lang w:val="fr-FR"/>
        </w:rPr>
        <w:t>ormes relatives à des techniques obsolètes</w:t>
      </w:r>
    </w:p>
    <w:p w:rsidR="00617D81" w:rsidRPr="00C23C04" w:rsidRDefault="003055D0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Les technologies recommandées sont obsolètes </w:t>
      </w:r>
      <w:r w:rsidR="00E10E9D" w:rsidRPr="00C23C04">
        <w:rPr>
          <w:lang w:val="fr-FR"/>
        </w:rPr>
        <w:t>s’agissant</w:t>
      </w:r>
      <w:r w:rsidR="001B0C67" w:rsidRPr="00C23C04">
        <w:rPr>
          <w:lang w:val="fr-FR"/>
        </w:rPr>
        <w:t xml:space="preserve"> </w:t>
      </w:r>
      <w:r w:rsidRPr="00C23C04">
        <w:rPr>
          <w:lang w:val="fr-FR"/>
        </w:rPr>
        <w:t>par</w:t>
      </w:r>
      <w:r w:rsidR="003E2331" w:rsidRPr="00C23C04">
        <w:rPr>
          <w:lang w:val="fr-FR"/>
        </w:rPr>
        <w:t xml:space="preserve"> exemple</w:t>
      </w:r>
      <w:r w:rsidR="00E10E9D" w:rsidRPr="00C23C04">
        <w:rPr>
          <w:lang w:val="fr-FR"/>
        </w:rPr>
        <w:t xml:space="preserve"> d</w:t>
      </w:r>
      <w:r w:rsidR="003E2331" w:rsidRPr="00C23C04">
        <w:rPr>
          <w:lang w:val="fr-FR"/>
        </w:rPr>
        <w:t>es microformes (</w:t>
      </w:r>
      <w:r w:rsidR="001B0C67" w:rsidRPr="00C23C04">
        <w:rPr>
          <w:lang w:val="fr-FR"/>
        </w:rPr>
        <w:t xml:space="preserve">de la </w:t>
      </w:r>
      <w:r w:rsidR="003E2331" w:rsidRPr="00C23C04">
        <w:rPr>
          <w:lang w:val="fr-FR"/>
        </w:rPr>
        <w:t>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 xml:space="preserve">ST.7 à </w:t>
      </w:r>
      <w:r w:rsidR="003E2331" w:rsidRPr="00C23C04">
        <w:rPr>
          <w:lang w:val="fr-FR"/>
        </w:rPr>
        <w:t>la norme</w:t>
      </w:r>
      <w:r w:rsidR="00524CEB" w:rsidRPr="00C23C04">
        <w:rPr>
          <w:lang w:val="fr-FR"/>
        </w:rPr>
        <w:t> </w:t>
      </w:r>
      <w:r w:rsidR="00E10E9D" w:rsidRPr="00C23C04">
        <w:rPr>
          <w:lang w:val="fr-FR"/>
        </w:rPr>
        <w:t>ST.7/F), d</w:t>
      </w:r>
      <w:r w:rsidRPr="00C23C04">
        <w:rPr>
          <w:lang w:val="fr-FR"/>
        </w:rPr>
        <w:t>es bandes magnétiques (norme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 xml:space="preserve">ST.30) et </w:t>
      </w:r>
      <w:r w:rsidR="00E10E9D" w:rsidRPr="00C23C04">
        <w:rPr>
          <w:lang w:val="fr-FR"/>
        </w:rPr>
        <w:t>du</w:t>
      </w:r>
      <w:r w:rsidRPr="00C23C04">
        <w:rPr>
          <w:lang w:val="fr-FR"/>
        </w:rPr>
        <w:t xml:space="preserve"> </w:t>
      </w:r>
      <w:r w:rsidR="001B0C67" w:rsidRPr="00C23C04">
        <w:rPr>
          <w:lang w:val="fr-FR"/>
        </w:rPr>
        <w:t>mode</w:t>
      </w:r>
      <w:r w:rsidRPr="00C23C04">
        <w:rPr>
          <w:lang w:val="fr-FR"/>
        </w:rPr>
        <w:t xml:space="preserve"> mixte (ST.35).</w:t>
      </w:r>
    </w:p>
    <w:p w:rsidR="00617D81" w:rsidRPr="00C23C04" w:rsidRDefault="003E2331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Les recommandations sont </w:t>
      </w:r>
      <w:r w:rsidR="00E10E9D" w:rsidRPr="00C23C04">
        <w:rPr>
          <w:lang w:val="fr-FR"/>
        </w:rPr>
        <w:t>applicables aux</w:t>
      </w:r>
      <w:r w:rsidRPr="00C23C04">
        <w:rPr>
          <w:lang w:val="fr-FR"/>
        </w:rPr>
        <w:t xml:space="preserve"> publications </w:t>
      </w:r>
      <w:r w:rsidR="00E6779B" w:rsidRPr="00C23C04">
        <w:rPr>
          <w:lang w:val="fr-FR"/>
        </w:rPr>
        <w:t xml:space="preserve">sur </w:t>
      </w:r>
      <w:r w:rsidRPr="00C23C04">
        <w:rPr>
          <w:lang w:val="fr-FR"/>
        </w:rPr>
        <w:t xml:space="preserve">papier mais non </w:t>
      </w:r>
      <w:r w:rsidR="00E10E9D" w:rsidRPr="00C23C04">
        <w:rPr>
          <w:lang w:val="fr-FR"/>
        </w:rPr>
        <w:t>aux</w:t>
      </w:r>
      <w:r w:rsidRPr="00C23C04">
        <w:rPr>
          <w:lang w:val="fr-FR"/>
        </w:rPr>
        <w:t xml:space="preserve"> publications électroniques, notamment les </w:t>
      </w:r>
      <w:r w:rsidR="00E10E9D" w:rsidRPr="00C23C04">
        <w:rPr>
          <w:lang w:val="fr-FR"/>
        </w:rPr>
        <w:t>norme</w:t>
      </w:r>
      <w:r w:rsidRPr="00C23C04">
        <w:rPr>
          <w:lang w:val="fr-FR"/>
        </w:rPr>
        <w:t xml:space="preserve">s relatives aux index des documents de </w:t>
      </w:r>
      <w:r w:rsidR="00524CEB" w:rsidRPr="00C23C04">
        <w:rPr>
          <w:lang w:val="fr-FR"/>
        </w:rPr>
        <w:t>brevet</w:t>
      </w:r>
      <w:r w:rsidRPr="00C23C04">
        <w:rPr>
          <w:lang w:val="fr-FR"/>
        </w:rPr>
        <w:t xml:space="preserve"> (ST.19), </w:t>
      </w:r>
      <w:r w:rsidR="001B0C67" w:rsidRPr="00C23C04">
        <w:rPr>
          <w:lang w:val="fr-FR"/>
        </w:rPr>
        <w:t xml:space="preserve">aux index </w:t>
      </w:r>
      <w:r w:rsidRPr="00C23C04">
        <w:rPr>
          <w:lang w:val="fr-FR"/>
        </w:rPr>
        <w:t>des noms propres (ST.20) et à la réduction du volume des documents de priorité (ST.21).</w:t>
      </w:r>
    </w:p>
    <w:p w:rsidR="00617D81" w:rsidRPr="00C23C04" w:rsidRDefault="005652B1" w:rsidP="00225898">
      <w:pPr>
        <w:pStyle w:val="ONUMFS"/>
        <w:numPr>
          <w:ilvl w:val="2"/>
          <w:numId w:val="6"/>
        </w:numPr>
        <w:spacing w:after="120"/>
        <w:rPr>
          <w:lang w:val="fr-FR"/>
        </w:rPr>
      </w:pPr>
      <w:r w:rsidRPr="00C23C04">
        <w:rPr>
          <w:lang w:val="fr-FR"/>
        </w:rPr>
        <w:t>Pour certaines recommandations, des offices de propriété intellectuelle utilis</w:t>
      </w:r>
      <w:r w:rsidR="00E10E9D" w:rsidRPr="00C23C04">
        <w:rPr>
          <w:lang w:val="fr-FR"/>
        </w:rPr>
        <w:t>ent</w:t>
      </w:r>
      <w:r w:rsidRPr="00C23C04">
        <w:rPr>
          <w:lang w:val="fr-FR"/>
        </w:rPr>
        <w:t xml:space="preserve">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 plus récentes couvrant le</w:t>
      </w:r>
      <w:r w:rsidR="00E10E9D" w:rsidRPr="00C23C04">
        <w:rPr>
          <w:lang w:val="fr-FR"/>
        </w:rPr>
        <w:t xml:space="preserve"> même</w:t>
      </w:r>
      <w:r w:rsidRPr="00C23C04">
        <w:rPr>
          <w:lang w:val="fr-FR"/>
        </w:rPr>
        <w:t xml:space="preserve"> </w:t>
      </w:r>
      <w:r w:rsidR="00E10E9D" w:rsidRPr="00C23C04">
        <w:rPr>
          <w:lang w:val="fr-FR"/>
        </w:rPr>
        <w:t>sujet</w:t>
      </w:r>
      <w:r w:rsidRPr="00C23C04">
        <w:rPr>
          <w:lang w:val="fr-FR"/>
        </w:rPr>
        <w:t>, p</w:t>
      </w:r>
      <w:r w:rsidR="00263D3E" w:rsidRPr="00C23C04">
        <w:rPr>
          <w:lang w:val="fr-FR"/>
        </w:rPr>
        <w:t>ar exemple</w:t>
      </w:r>
      <w:r w:rsidRPr="00C23C04">
        <w:rPr>
          <w:lang w:val="fr-FR"/>
        </w:rPr>
        <w:t xml:space="preserve"> la 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ST.13 au lieu de la 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ST.34 et la 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ST.96 au lieu des normes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ST.66 et ST.86.</w:t>
      </w:r>
    </w:p>
    <w:p w:rsidR="00C4766A" w:rsidRPr="00C23C04" w:rsidRDefault="005652B1" w:rsidP="00225898">
      <w:pPr>
        <w:pStyle w:val="ONUMFS"/>
        <w:numPr>
          <w:ilvl w:val="1"/>
          <w:numId w:val="6"/>
        </w:numPr>
        <w:spacing w:after="120"/>
        <w:rPr>
          <w:lang w:val="fr-FR"/>
        </w:rPr>
      </w:pPr>
      <w:r w:rsidRPr="00C23C04">
        <w:rPr>
          <w:lang w:val="fr-FR"/>
        </w:rPr>
        <w:t>Contraintes administratives</w:t>
      </w:r>
    </w:p>
    <w:p w:rsidR="00617D81" w:rsidRPr="00C23C04" w:rsidRDefault="00E10E9D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>Davantage</w:t>
      </w:r>
      <w:r w:rsidR="005652B1" w:rsidRPr="00C23C04">
        <w:rPr>
          <w:lang w:val="fr-FR"/>
        </w:rPr>
        <w:t xml:space="preserve"> de temps </w:t>
      </w:r>
      <w:r w:rsidR="006162F1" w:rsidRPr="00C23C04">
        <w:rPr>
          <w:lang w:val="fr-FR"/>
        </w:rPr>
        <w:t>est</w:t>
      </w:r>
      <w:r w:rsidR="005652B1" w:rsidRPr="00C23C04">
        <w:rPr>
          <w:lang w:val="fr-FR"/>
        </w:rPr>
        <w:t xml:space="preserve"> </w:t>
      </w:r>
      <w:r w:rsidR="006162F1" w:rsidRPr="00C23C04">
        <w:rPr>
          <w:lang w:val="fr-FR"/>
        </w:rPr>
        <w:t>requis</w:t>
      </w:r>
      <w:r w:rsidR="005652B1" w:rsidRPr="00C23C04">
        <w:rPr>
          <w:lang w:val="fr-FR"/>
        </w:rPr>
        <w:t xml:space="preserve"> pour </w:t>
      </w:r>
      <w:r w:rsidR="006162F1" w:rsidRPr="00C23C04">
        <w:rPr>
          <w:lang w:val="fr-FR"/>
        </w:rPr>
        <w:t>appliquer</w:t>
      </w:r>
      <w:r w:rsidR="005652B1" w:rsidRPr="00C23C04">
        <w:rPr>
          <w:lang w:val="fr-FR"/>
        </w:rPr>
        <w:t xml:space="preserve"> les normes de l</w:t>
      </w:r>
      <w:r w:rsidR="00C4766A" w:rsidRPr="00C23C04">
        <w:rPr>
          <w:lang w:val="fr-FR"/>
        </w:rPr>
        <w:t>’</w:t>
      </w:r>
      <w:r w:rsidR="005652B1" w:rsidRPr="00C23C04">
        <w:rPr>
          <w:lang w:val="fr-FR"/>
        </w:rPr>
        <w:t>OMPI adoptées récemment (normes</w:t>
      </w:r>
      <w:r w:rsidR="00524CEB" w:rsidRPr="00C23C04">
        <w:rPr>
          <w:lang w:val="fr-FR"/>
        </w:rPr>
        <w:t> </w:t>
      </w:r>
      <w:r w:rsidR="005652B1" w:rsidRPr="00C23C04">
        <w:rPr>
          <w:lang w:val="fr-FR"/>
        </w:rPr>
        <w:t>ST.26 et ST.68) dans l</w:t>
      </w:r>
      <w:r w:rsidRPr="00C23C04">
        <w:rPr>
          <w:lang w:val="fr-FR"/>
        </w:rPr>
        <w:t>a</w:t>
      </w:r>
      <w:r w:rsidR="005652B1" w:rsidRPr="00C23C04">
        <w:rPr>
          <w:lang w:val="fr-FR"/>
        </w:rPr>
        <w:t xml:space="preserve"> pratique des offices de propriété intellectuelle.</w:t>
      </w:r>
    </w:p>
    <w:p w:rsidR="00617D81" w:rsidRPr="00C23C04" w:rsidRDefault="002B2B8F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Certains offices de propriété intellectuelle </w:t>
      </w:r>
      <w:r w:rsidR="006162F1" w:rsidRPr="00C23C04">
        <w:rPr>
          <w:lang w:val="fr-FR"/>
        </w:rPr>
        <w:t>n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>ont pas besoin</w:t>
      </w:r>
      <w:r w:rsidRPr="00C23C04">
        <w:rPr>
          <w:lang w:val="fr-FR"/>
        </w:rPr>
        <w:t xml:space="preserve"> </w:t>
      </w:r>
      <w:r w:rsidR="006162F1" w:rsidRPr="00C23C04">
        <w:rPr>
          <w:lang w:val="fr-FR"/>
        </w:rPr>
        <w:t>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appliquer </w:t>
      </w:r>
      <w:r w:rsidR="006162F1" w:rsidRPr="00C23C04">
        <w:rPr>
          <w:lang w:val="fr-FR"/>
        </w:rPr>
        <w:t>certaines</w:t>
      </w:r>
      <w:r w:rsidRPr="00C23C04">
        <w:rPr>
          <w:lang w:val="fr-FR"/>
        </w:rPr>
        <w:t xml:space="preserve"> norme</w:t>
      </w:r>
      <w:r w:rsidR="006162F1" w:rsidRPr="00C23C04">
        <w:rPr>
          <w:lang w:val="fr-FR"/>
        </w:rPr>
        <w:t>s</w:t>
      </w:r>
      <w:r w:rsidRPr="00C23C04">
        <w:rPr>
          <w:lang w:val="fr-FR"/>
        </w:rPr>
        <w:t xml:space="preserve">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OMPI. </w:t>
      </w:r>
      <w:r w:rsidR="006162F1" w:rsidRPr="00C23C04">
        <w:rPr>
          <w:lang w:val="fr-FR"/>
        </w:rPr>
        <w:t>C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>est le cas</w:t>
      </w:r>
      <w:r w:rsidRPr="00C23C04">
        <w:rPr>
          <w:lang w:val="fr-FR"/>
        </w:rPr>
        <w:t>, par exemple, lorsqu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une autre </w:t>
      </w:r>
      <w:r w:rsidR="00E10E9D" w:rsidRPr="00C23C04">
        <w:rPr>
          <w:lang w:val="fr-FR"/>
        </w:rPr>
        <w:t>administration</w:t>
      </w:r>
      <w:r w:rsidRPr="00C23C04">
        <w:rPr>
          <w:lang w:val="fr-FR"/>
        </w:rPr>
        <w:t xml:space="preserve"> nationale </w:t>
      </w:r>
      <w:r w:rsidR="006162F1" w:rsidRPr="00C23C04">
        <w:rPr>
          <w:lang w:val="fr-FR"/>
        </w:rPr>
        <w:t>s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>acquitte déjà de</w:t>
      </w:r>
      <w:r w:rsidR="00E10E9D" w:rsidRPr="00C23C04">
        <w:rPr>
          <w:lang w:val="fr-FR"/>
        </w:rPr>
        <w:t>s</w:t>
      </w:r>
      <w:r w:rsidRPr="00C23C04">
        <w:rPr>
          <w:lang w:val="fr-FR"/>
        </w:rPr>
        <w:t xml:space="preserve"> fonctions</w:t>
      </w:r>
      <w:r w:rsidR="00E10E9D" w:rsidRPr="00C23C04">
        <w:rPr>
          <w:lang w:val="fr-FR"/>
        </w:rPr>
        <w:t xml:space="preserve"> correspondantes</w:t>
      </w:r>
      <w:r w:rsidRPr="00C23C04">
        <w:rPr>
          <w:lang w:val="fr-FR"/>
        </w:rPr>
        <w:t xml:space="preserve"> telles </w:t>
      </w:r>
      <w:r w:rsidR="006162F1" w:rsidRPr="00C23C04">
        <w:rPr>
          <w:lang w:val="fr-FR"/>
        </w:rPr>
        <w:t xml:space="preserve">que </w:t>
      </w:r>
      <w:r w:rsidRPr="00C23C04">
        <w:rPr>
          <w:lang w:val="fr-FR"/>
        </w:rPr>
        <w:t>la publication des documents de propriété intellectuelle ou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enregistrement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une marque.</w:t>
      </w:r>
    </w:p>
    <w:p w:rsidR="00617D81" w:rsidRPr="00C23C04" w:rsidRDefault="006162F1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lastRenderedPageBreak/>
        <w:t>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application de</w:t>
      </w:r>
      <w:r w:rsidR="002B2B8F" w:rsidRPr="00C23C04">
        <w:rPr>
          <w:lang w:val="fr-FR"/>
        </w:rPr>
        <w:t xml:space="preserve"> certaines normes de l</w:t>
      </w:r>
      <w:r w:rsidR="00C4766A" w:rsidRPr="00C23C04">
        <w:rPr>
          <w:lang w:val="fr-FR"/>
        </w:rPr>
        <w:t>’</w:t>
      </w:r>
      <w:r w:rsidR="002B2B8F" w:rsidRPr="00C23C04">
        <w:rPr>
          <w:lang w:val="fr-FR"/>
        </w:rPr>
        <w:t>OMPI (par e</w:t>
      </w:r>
      <w:r w:rsidRPr="00C23C04">
        <w:rPr>
          <w:lang w:val="fr-FR"/>
        </w:rPr>
        <w:t>xemple</w:t>
      </w:r>
      <w:r w:rsidR="00E10E9D" w:rsidRPr="00C23C04">
        <w:rPr>
          <w:lang w:val="fr-FR"/>
        </w:rPr>
        <w:t>,</w:t>
      </w:r>
      <w:r w:rsidRPr="00C23C04">
        <w:rPr>
          <w:lang w:val="fr-FR"/>
        </w:rPr>
        <w:t xml:space="preserve"> la 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 xml:space="preserve">ST.80) </w:t>
      </w:r>
      <w:r w:rsidR="00E10E9D" w:rsidRPr="00C23C04">
        <w:rPr>
          <w:lang w:val="fr-FR"/>
        </w:rPr>
        <w:t>est subordonnée à l’adhésion</w:t>
      </w:r>
      <w:r w:rsidR="002B2B8F" w:rsidRPr="00C23C04">
        <w:rPr>
          <w:lang w:val="fr-FR"/>
        </w:rPr>
        <w:t xml:space="preserve"> au système international de protection de la propriété intellectuelle </w:t>
      </w:r>
      <w:r w:rsidR="00E10E9D" w:rsidRPr="00C23C04">
        <w:rPr>
          <w:lang w:val="fr-FR"/>
        </w:rPr>
        <w:t>correspondant,</w:t>
      </w:r>
      <w:r w:rsidR="002B2B8F" w:rsidRPr="00C23C04">
        <w:rPr>
          <w:lang w:val="fr-FR"/>
        </w:rPr>
        <w:t xml:space="preserve"> par exemple l</w:t>
      </w:r>
      <w:r w:rsidR="00C4766A" w:rsidRPr="00C23C04">
        <w:rPr>
          <w:lang w:val="fr-FR"/>
        </w:rPr>
        <w:t>’</w:t>
      </w:r>
      <w:r w:rsidR="002B2B8F" w:rsidRPr="00C23C04">
        <w:rPr>
          <w:lang w:val="fr-FR"/>
        </w:rPr>
        <w:t xml:space="preserve">Arrangement de </w:t>
      </w:r>
      <w:r w:rsidR="00C4766A" w:rsidRPr="00C23C04">
        <w:rPr>
          <w:lang w:val="fr-FR"/>
        </w:rPr>
        <w:t>La Haye</w:t>
      </w:r>
      <w:r w:rsidR="002B2B8F" w:rsidRPr="00C23C04">
        <w:rPr>
          <w:lang w:val="fr-FR"/>
        </w:rPr>
        <w:t>.</w:t>
      </w:r>
    </w:p>
    <w:p w:rsidR="00617D81" w:rsidRPr="00C23C04" w:rsidRDefault="004D1CBC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La législation nationale ne contient pas les dispositions nécessaires à </w:t>
      </w:r>
      <w:r w:rsidR="006162F1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 xml:space="preserve">application </w:t>
      </w:r>
      <w:r w:rsidRPr="00C23C04">
        <w:rPr>
          <w:lang w:val="fr-FR"/>
        </w:rPr>
        <w:t>de certaine</w:t>
      </w:r>
      <w:r w:rsidR="00263D3E" w:rsidRPr="00C23C04">
        <w:rPr>
          <w:lang w:val="fr-FR"/>
        </w:rPr>
        <w:t>s normes de l</w:t>
      </w:r>
      <w:r w:rsidR="00C4766A" w:rsidRPr="00C23C04">
        <w:rPr>
          <w:lang w:val="fr-FR"/>
        </w:rPr>
        <w:t>’</w:t>
      </w:r>
      <w:r w:rsidR="00263D3E" w:rsidRPr="00C23C04">
        <w:rPr>
          <w:lang w:val="fr-FR"/>
        </w:rPr>
        <w:t>OMPI, par exemple</w:t>
      </w:r>
      <w:r w:rsidRPr="00C23C04">
        <w:rPr>
          <w:lang w:val="fr-FR"/>
        </w:rPr>
        <w:t xml:space="preserve"> celle concernant la protection des marques sonores (norme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ST.68)</w:t>
      </w:r>
      <w:r w:rsidR="008E2D4E">
        <w:rPr>
          <w:lang w:val="fr-FR"/>
        </w:rPr>
        <w:t xml:space="preserve"> </w:t>
      </w:r>
      <w:r w:rsidRPr="00C23C04">
        <w:rPr>
          <w:lang w:val="fr-FR"/>
        </w:rPr>
        <w:t>; certains offices de propriété intellectuelle ont indiqué qu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ils envisageaient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inclure les dispositions correspondantes dans leur législation nationale.</w:t>
      </w:r>
    </w:p>
    <w:p w:rsidR="00617D81" w:rsidRPr="00C23C04" w:rsidRDefault="004D1CBC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Les pratiques nationales (régionales) existantes </w:t>
      </w:r>
      <w:r w:rsidR="006162F1" w:rsidRPr="00C23C04">
        <w:rPr>
          <w:lang w:val="fr-FR"/>
        </w:rPr>
        <w:t>ne suivent pas</w:t>
      </w:r>
      <w:r w:rsidRPr="00C23C04">
        <w:rPr>
          <w:lang w:val="fr-FR"/>
        </w:rPr>
        <w:t xml:space="preserve"> (totalement ou partiellement) les recommandation</w:t>
      </w:r>
      <w:r w:rsidR="006162F1" w:rsidRPr="00C23C04">
        <w:rPr>
          <w:lang w:val="fr-FR"/>
        </w:rPr>
        <w:t>s d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 xml:space="preserve">une norme </w:t>
      </w:r>
      <w:r w:rsidR="00285AC8" w:rsidRPr="00C23C04">
        <w:rPr>
          <w:lang w:val="fr-FR"/>
        </w:rPr>
        <w:t xml:space="preserve">particulière </w:t>
      </w:r>
      <w:r w:rsidR="006162F1" w:rsidRPr="00C23C04">
        <w:rPr>
          <w:lang w:val="fr-FR"/>
        </w:rPr>
        <w:t>de l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>O</w:t>
      </w:r>
      <w:r w:rsidR="00CB0147" w:rsidRPr="00C23C04">
        <w:rPr>
          <w:lang w:val="fr-FR"/>
        </w:rPr>
        <w:t xml:space="preserve">MPI. </w:t>
      </w:r>
      <w:r w:rsidR="00E10E9D" w:rsidRPr="00C23C04">
        <w:rPr>
          <w:lang w:val="fr-FR"/>
        </w:rPr>
        <w:t>Le changement de technologie suscite de la résistance, en particulier de la part de tiers</w:t>
      </w:r>
      <w:r w:rsidRPr="00C23C04">
        <w:rPr>
          <w:lang w:val="fr-FR"/>
        </w:rPr>
        <w:t>.</w:t>
      </w:r>
    </w:p>
    <w:p w:rsidR="00617D81" w:rsidRPr="00C23C04" w:rsidRDefault="007D48EB" w:rsidP="00225898">
      <w:pPr>
        <w:pStyle w:val="ONUMFS"/>
        <w:numPr>
          <w:ilvl w:val="2"/>
          <w:numId w:val="6"/>
        </w:numPr>
        <w:spacing w:after="120"/>
        <w:rPr>
          <w:lang w:val="fr-FR"/>
        </w:rPr>
      </w:pPr>
      <w:r w:rsidRPr="00C23C04">
        <w:rPr>
          <w:lang w:val="fr-FR"/>
        </w:rPr>
        <w:t>Un office de propriété intellectuelle a indiqué qu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il devait </w:t>
      </w:r>
      <w:r w:rsidR="006C1E5A" w:rsidRPr="00C23C04">
        <w:rPr>
          <w:lang w:val="fr-FR"/>
        </w:rPr>
        <w:t>renforcer</w:t>
      </w:r>
      <w:r w:rsidRPr="00C23C04">
        <w:rPr>
          <w:lang w:val="fr-FR"/>
        </w:rPr>
        <w:t xml:space="preserve"> </w:t>
      </w:r>
      <w:r w:rsidR="006162F1" w:rsidRPr="00C23C04">
        <w:rPr>
          <w:lang w:val="fr-FR"/>
        </w:rPr>
        <w:t>ses</w:t>
      </w:r>
      <w:r w:rsidRPr="00C23C04">
        <w:rPr>
          <w:lang w:val="fr-FR"/>
        </w:rPr>
        <w:t xml:space="preserve"> capacité</w:t>
      </w:r>
      <w:r w:rsidR="006162F1" w:rsidRPr="00C23C04">
        <w:rPr>
          <w:lang w:val="fr-FR"/>
        </w:rPr>
        <w:t>s</w:t>
      </w:r>
      <w:r w:rsidRPr="00C23C04">
        <w:rPr>
          <w:lang w:val="fr-FR"/>
        </w:rPr>
        <w:t xml:space="preserve"> pour </w:t>
      </w:r>
      <w:r w:rsidR="006162F1" w:rsidRPr="00C23C04">
        <w:rPr>
          <w:lang w:val="fr-FR"/>
        </w:rPr>
        <w:t xml:space="preserve">pouvoir </w:t>
      </w:r>
      <w:r w:rsidRPr="00C23C04">
        <w:rPr>
          <w:lang w:val="fr-FR"/>
        </w:rPr>
        <w:t>s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acquitter de certaines fonctions</w:t>
      </w:r>
      <w:r w:rsidR="00CF3095" w:rsidRPr="00C23C04">
        <w:rPr>
          <w:lang w:val="fr-FR"/>
        </w:rPr>
        <w:t xml:space="preserve">, </w:t>
      </w:r>
      <w:r w:rsidR="006162F1" w:rsidRPr="00C23C04">
        <w:rPr>
          <w:lang w:val="fr-FR"/>
        </w:rPr>
        <w:t>comme</w:t>
      </w:r>
      <w:r w:rsidRPr="00C23C04">
        <w:rPr>
          <w:lang w:val="fr-FR"/>
        </w:rPr>
        <w:t xml:space="preserve"> </w:t>
      </w:r>
      <w:r w:rsidR="006162F1" w:rsidRPr="00C23C04">
        <w:rPr>
          <w:lang w:val="fr-FR"/>
        </w:rPr>
        <w:t>l</w:t>
      </w:r>
      <w:r w:rsidR="00CF3095" w:rsidRPr="00C23C04">
        <w:rPr>
          <w:lang w:val="fr-FR"/>
        </w:rPr>
        <w:t>’</w:t>
      </w:r>
      <w:r w:rsidRPr="00C23C04">
        <w:rPr>
          <w:lang w:val="fr-FR"/>
        </w:rPr>
        <w:t xml:space="preserve">examen quant au fond ou </w:t>
      </w:r>
      <w:r w:rsidR="006162F1" w:rsidRPr="00C23C04">
        <w:rPr>
          <w:lang w:val="fr-FR"/>
        </w:rPr>
        <w:t>les publications officielles</w:t>
      </w:r>
      <w:r w:rsidR="00CF3095" w:rsidRPr="00C23C04">
        <w:rPr>
          <w:lang w:val="fr-FR"/>
        </w:rPr>
        <w:t xml:space="preserve"> visées par les normes de l’OMPI</w:t>
      </w:r>
      <w:r w:rsidR="006162F1" w:rsidRPr="00C23C04">
        <w:rPr>
          <w:lang w:val="fr-FR"/>
        </w:rPr>
        <w:t>.</w:t>
      </w:r>
    </w:p>
    <w:p w:rsidR="00617D81" w:rsidRPr="00C23C04" w:rsidRDefault="00285AC8" w:rsidP="00225898">
      <w:pPr>
        <w:pStyle w:val="ONUMFS"/>
        <w:numPr>
          <w:ilvl w:val="1"/>
          <w:numId w:val="6"/>
        </w:numPr>
        <w:spacing w:after="120"/>
        <w:rPr>
          <w:lang w:val="fr-FR"/>
        </w:rPr>
      </w:pPr>
      <w:r w:rsidRPr="00C23C04">
        <w:rPr>
          <w:lang w:val="fr-FR"/>
        </w:rPr>
        <w:t>Activités de</w:t>
      </w:r>
      <w:r w:rsidR="007D48EB" w:rsidRPr="00C23C04">
        <w:rPr>
          <w:lang w:val="fr-FR"/>
        </w:rPr>
        <w:t xml:space="preserve"> sensibilisation </w:t>
      </w:r>
      <w:r w:rsidRPr="00C23C04">
        <w:rPr>
          <w:lang w:val="fr-FR"/>
        </w:rPr>
        <w:t>du public</w:t>
      </w:r>
      <w:r w:rsidR="007D48EB" w:rsidRPr="00C23C04">
        <w:rPr>
          <w:lang w:val="fr-FR"/>
        </w:rPr>
        <w:t xml:space="preserve"> et d</w:t>
      </w:r>
      <w:r w:rsidR="00C4766A" w:rsidRPr="00C23C04">
        <w:rPr>
          <w:lang w:val="fr-FR"/>
        </w:rPr>
        <w:t>’</w:t>
      </w:r>
      <w:r w:rsidR="007D48EB" w:rsidRPr="00C23C04">
        <w:rPr>
          <w:lang w:val="fr-FR"/>
        </w:rPr>
        <w:t>assistance technique</w:t>
      </w:r>
      <w:r w:rsidRPr="00C23C04">
        <w:rPr>
          <w:lang w:val="fr-FR"/>
        </w:rPr>
        <w:t xml:space="preserve"> requises</w:t>
      </w:r>
    </w:p>
    <w:p w:rsidR="00617D81" w:rsidRPr="00C23C04" w:rsidRDefault="00E24EC0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>Un office de propriété intellectuelle a déclaré qu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il ignorait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existence de certaines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OMPI.</w:t>
      </w:r>
    </w:p>
    <w:p w:rsidR="00617D81" w:rsidRPr="00C23C04" w:rsidRDefault="00E24EC0" w:rsidP="00225898">
      <w:pPr>
        <w:pStyle w:val="ONUMFS"/>
        <w:numPr>
          <w:ilvl w:val="2"/>
          <w:numId w:val="6"/>
        </w:numPr>
        <w:spacing w:after="60"/>
        <w:rPr>
          <w:lang w:val="fr-FR"/>
        </w:rPr>
      </w:pPr>
      <w:r w:rsidRPr="00C23C04">
        <w:rPr>
          <w:lang w:val="fr-FR"/>
        </w:rPr>
        <w:t xml:space="preserve">Certains offices </w:t>
      </w:r>
      <w:r w:rsidR="00CF3095" w:rsidRPr="00C23C04">
        <w:rPr>
          <w:lang w:val="fr-FR"/>
        </w:rPr>
        <w:t>ont besoin de conseils</w:t>
      </w:r>
      <w:r w:rsidRPr="00C23C04">
        <w:rPr>
          <w:lang w:val="fr-FR"/>
        </w:rPr>
        <w:t xml:space="preserve"> </w:t>
      </w:r>
      <w:r w:rsidR="006162F1" w:rsidRPr="00C23C04">
        <w:rPr>
          <w:lang w:val="fr-FR"/>
        </w:rPr>
        <w:t>quant à l</w:t>
      </w:r>
      <w:r w:rsidR="00C4766A" w:rsidRPr="00C23C04">
        <w:rPr>
          <w:lang w:val="fr-FR"/>
        </w:rPr>
        <w:t>’</w:t>
      </w:r>
      <w:r w:rsidR="006162F1" w:rsidRPr="00C23C04">
        <w:rPr>
          <w:lang w:val="fr-FR"/>
        </w:rPr>
        <w:t>application</w:t>
      </w:r>
      <w:r w:rsidRPr="00C23C04">
        <w:rPr>
          <w:lang w:val="fr-FR"/>
        </w:rPr>
        <w:t xml:space="preserve">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dans leur pratique ou </w:t>
      </w:r>
      <w:r w:rsidR="006162F1" w:rsidRPr="00C23C04">
        <w:rPr>
          <w:lang w:val="fr-FR"/>
        </w:rPr>
        <w:t>souhaitent</w:t>
      </w:r>
      <w:r w:rsidRPr="00C23C04">
        <w:rPr>
          <w:lang w:val="fr-FR"/>
        </w:rPr>
        <w:t xml:space="preserve"> </w:t>
      </w:r>
      <w:r w:rsidR="006162F1" w:rsidRPr="00C23C04">
        <w:rPr>
          <w:lang w:val="fr-FR"/>
        </w:rPr>
        <w:t>que le Bureau international précise certains points.</w:t>
      </w:r>
    </w:p>
    <w:p w:rsidR="00617D81" w:rsidRPr="00C23C04" w:rsidRDefault="006162F1" w:rsidP="00225898">
      <w:pPr>
        <w:pStyle w:val="ONUMFS"/>
        <w:numPr>
          <w:ilvl w:val="2"/>
          <w:numId w:val="6"/>
        </w:numPr>
        <w:rPr>
          <w:lang w:val="fr-FR"/>
        </w:rPr>
      </w:pPr>
      <w:r w:rsidRPr="00C23C04">
        <w:rPr>
          <w:lang w:val="fr-FR"/>
        </w:rPr>
        <w:t>Un</w:t>
      </w:r>
      <w:r w:rsidR="00E24EC0" w:rsidRPr="00C23C04">
        <w:rPr>
          <w:lang w:val="fr-FR"/>
        </w:rPr>
        <w:t xml:space="preserve"> office a </w:t>
      </w:r>
      <w:r w:rsidR="006C1E5A" w:rsidRPr="00C23C04">
        <w:rPr>
          <w:lang w:val="fr-FR"/>
        </w:rPr>
        <w:t>indiqué</w:t>
      </w:r>
      <w:r w:rsidR="00E24EC0" w:rsidRPr="00C23C04">
        <w:rPr>
          <w:lang w:val="fr-FR"/>
        </w:rPr>
        <w:t xml:space="preserve"> qu</w:t>
      </w:r>
      <w:r w:rsidR="00C4766A" w:rsidRPr="00C23C04">
        <w:rPr>
          <w:lang w:val="fr-FR"/>
        </w:rPr>
        <w:t>’</w:t>
      </w:r>
      <w:r w:rsidR="00E24EC0" w:rsidRPr="00C23C04">
        <w:rPr>
          <w:lang w:val="fr-FR"/>
        </w:rPr>
        <w:t xml:space="preserve">il </w:t>
      </w:r>
      <w:r w:rsidR="006C1E5A" w:rsidRPr="00C23C04">
        <w:rPr>
          <w:lang w:val="fr-FR"/>
        </w:rPr>
        <w:t>souhaitait</w:t>
      </w:r>
      <w:r w:rsidR="00DB7CD3" w:rsidRPr="00C23C04">
        <w:rPr>
          <w:lang w:val="fr-FR"/>
        </w:rPr>
        <w:t xml:space="preserve"> </w:t>
      </w:r>
      <w:r w:rsidR="00CF3095" w:rsidRPr="00C23C04">
        <w:rPr>
          <w:lang w:val="fr-FR"/>
        </w:rPr>
        <w:t xml:space="preserve">recevoir </w:t>
      </w:r>
      <w:r w:rsidR="00DB7CD3" w:rsidRPr="00C23C04">
        <w:rPr>
          <w:lang w:val="fr-FR"/>
        </w:rPr>
        <w:t>une</w:t>
      </w:r>
      <w:r w:rsidR="00E24EC0" w:rsidRPr="00C23C04">
        <w:rPr>
          <w:lang w:val="fr-FR"/>
        </w:rPr>
        <w:t xml:space="preserve"> assistance technique </w:t>
      </w:r>
      <w:r w:rsidR="009D1B49" w:rsidRPr="00C23C04">
        <w:rPr>
          <w:lang w:val="fr-FR"/>
        </w:rPr>
        <w:t>pour l</w:t>
      </w:r>
      <w:r w:rsidR="00C4766A" w:rsidRPr="00C23C04">
        <w:rPr>
          <w:lang w:val="fr-FR"/>
        </w:rPr>
        <w:t>’</w:t>
      </w:r>
      <w:r w:rsidR="009D1B49" w:rsidRPr="00C23C04">
        <w:rPr>
          <w:lang w:val="fr-FR"/>
        </w:rPr>
        <w:t>application de</w:t>
      </w:r>
      <w:r w:rsidR="00DB7CD3" w:rsidRPr="00C23C04">
        <w:rPr>
          <w:lang w:val="fr-FR"/>
        </w:rPr>
        <w:t xml:space="preserve"> certaines normes telle</w:t>
      </w:r>
      <w:r w:rsidR="00CF3095" w:rsidRPr="00C23C04">
        <w:rPr>
          <w:lang w:val="fr-FR"/>
        </w:rPr>
        <w:t xml:space="preserve"> que</w:t>
      </w:r>
      <w:r w:rsidR="00E24EC0" w:rsidRPr="00C23C04">
        <w:rPr>
          <w:lang w:val="fr-FR"/>
        </w:rPr>
        <w:t xml:space="preserve"> la norme</w:t>
      </w:r>
      <w:r w:rsidR="00524CEB" w:rsidRPr="00C23C04">
        <w:rPr>
          <w:lang w:val="fr-FR"/>
        </w:rPr>
        <w:t> </w:t>
      </w:r>
      <w:r w:rsidR="00E24EC0" w:rsidRPr="00C23C04">
        <w:rPr>
          <w:lang w:val="fr-FR"/>
        </w:rPr>
        <w:t>ST.96.</w:t>
      </w:r>
    </w:p>
    <w:p w:rsidR="00617D81" w:rsidRPr="00C23C04" w:rsidRDefault="00FD3762" w:rsidP="00225898">
      <w:pPr>
        <w:pStyle w:val="ONUMFS"/>
        <w:spacing w:after="120"/>
        <w:rPr>
          <w:lang w:val="fr-FR"/>
        </w:rPr>
      </w:pPr>
      <w:r w:rsidRPr="00C23C04">
        <w:rPr>
          <w:lang w:val="fr-FR"/>
        </w:rPr>
        <w:t>Le graphique ci</w:t>
      </w:r>
      <w:r w:rsidR="006544E4" w:rsidRPr="00C23C04">
        <w:rPr>
          <w:lang w:val="fr-FR"/>
        </w:rPr>
        <w:noBreakHyphen/>
      </w:r>
      <w:r w:rsidRPr="00C23C04">
        <w:rPr>
          <w:lang w:val="fr-FR"/>
        </w:rPr>
        <w:t xml:space="preserve">dessous </w:t>
      </w:r>
      <w:r w:rsidR="00B42AE5" w:rsidRPr="00C23C04">
        <w:rPr>
          <w:lang w:val="fr-FR"/>
        </w:rPr>
        <w:t>montre</w:t>
      </w:r>
      <w:r w:rsidRPr="00C23C04">
        <w:rPr>
          <w:lang w:val="fr-FR"/>
        </w:rPr>
        <w:t xml:space="preserve"> le nombre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offices de propriété intellectuelle </w:t>
      </w:r>
      <w:r w:rsidR="00DB7CD3" w:rsidRPr="00C23C04">
        <w:rPr>
          <w:lang w:val="fr-FR"/>
        </w:rPr>
        <w:t>ayant</w:t>
      </w:r>
      <w:r w:rsidR="00CF3095" w:rsidRPr="00C23C04">
        <w:rPr>
          <w:lang w:val="fr-FR"/>
        </w:rPr>
        <w:t xml:space="preserve"> signalé d</w:t>
      </w:r>
      <w:r w:rsidRPr="00C23C04">
        <w:rPr>
          <w:lang w:val="fr-FR"/>
        </w:rPr>
        <w:t xml:space="preserve">es obstacles indiqués au </w:t>
      </w:r>
      <w:r w:rsidR="00C4766A" w:rsidRPr="00C23C04">
        <w:rPr>
          <w:lang w:val="fr-FR"/>
        </w:rPr>
        <w:t>paragraphe 8</w:t>
      </w:r>
      <w:r w:rsidRPr="00C23C04">
        <w:rPr>
          <w:lang w:val="fr-FR"/>
        </w:rPr>
        <w:t xml:space="preserve"> (voir </w:t>
      </w:r>
      <w:r w:rsidR="00DB7CD3" w:rsidRPr="00C23C04">
        <w:rPr>
          <w:lang w:val="fr-FR"/>
        </w:rPr>
        <w:t xml:space="preserve">la </w:t>
      </w:r>
      <w:r w:rsidRPr="00C23C04">
        <w:rPr>
          <w:lang w:val="fr-FR"/>
        </w:rPr>
        <w:t>figure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2).</w:t>
      </w:r>
    </w:p>
    <w:p w:rsidR="00225898" w:rsidRDefault="001D79B1" w:rsidP="00225898">
      <w:pPr>
        <w:pStyle w:val="Caption"/>
        <w:rPr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3C5E0A88" wp14:editId="7EC6E230">
            <wp:simplePos x="0" y="0"/>
            <wp:positionH relativeFrom="column">
              <wp:posOffset>3887470</wp:posOffset>
            </wp:positionH>
            <wp:positionV relativeFrom="paragraph">
              <wp:posOffset>296545</wp:posOffset>
            </wp:positionV>
            <wp:extent cx="1845235" cy="1651000"/>
            <wp:effectExtent l="0" t="0" r="317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23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99" w:rsidRPr="00C23C04">
        <w:rPr>
          <w:noProof/>
          <w:lang w:eastAsia="en-US"/>
        </w:rPr>
        <w:drawing>
          <wp:inline distT="0" distB="0" distL="0" distR="0" wp14:anchorId="3F591EFC" wp14:editId="59068063">
            <wp:extent cx="5762445" cy="2208362"/>
            <wp:effectExtent l="0" t="0" r="10160" b="209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17D81" w:rsidRPr="00C23C04" w:rsidRDefault="00595E99" w:rsidP="00225898">
      <w:pPr>
        <w:pStyle w:val="Caption"/>
        <w:spacing w:after="220"/>
        <w:rPr>
          <w:lang w:val="fr-FR"/>
        </w:rPr>
      </w:pPr>
      <w:r w:rsidRPr="00C23C04">
        <w:rPr>
          <w:lang w:val="fr-FR"/>
        </w:rPr>
        <w:t>F</w:t>
      </w:r>
      <w:r w:rsidR="00FD3762" w:rsidRPr="00C23C04">
        <w:rPr>
          <w:lang w:val="fr-FR"/>
        </w:rPr>
        <w:t>igure</w:t>
      </w:r>
      <w:r w:rsidR="00524CEB" w:rsidRPr="00C23C04">
        <w:rPr>
          <w:lang w:val="fr-FR"/>
        </w:rPr>
        <w:t> </w:t>
      </w:r>
      <w:r w:rsidR="00FD3762" w:rsidRPr="00C23C04">
        <w:rPr>
          <w:lang w:val="fr-FR"/>
        </w:rPr>
        <w:t>2</w:t>
      </w:r>
    </w:p>
    <w:p w:rsidR="00F24288" w:rsidRDefault="00F24288">
      <w:pPr>
        <w:rPr>
          <w:bCs/>
          <w:iCs/>
          <w:szCs w:val="28"/>
          <w:lang w:val="fr-FR"/>
        </w:rPr>
      </w:pPr>
      <w:r>
        <w:rPr>
          <w:caps/>
          <w:lang w:val="fr-FR"/>
        </w:rPr>
        <w:br w:type="page"/>
      </w:r>
    </w:p>
    <w:p w:rsidR="00617D81" w:rsidRPr="00225898" w:rsidRDefault="00225898" w:rsidP="00225898">
      <w:pPr>
        <w:pStyle w:val="Heading2"/>
        <w:spacing w:before="0"/>
        <w:rPr>
          <w:caps w:val="0"/>
          <w:lang w:val="fr-FR"/>
        </w:rPr>
      </w:pPr>
      <w:r w:rsidRPr="00225898">
        <w:rPr>
          <w:caps w:val="0"/>
          <w:lang w:val="fr-FR"/>
        </w:rPr>
        <w:lastRenderedPageBreak/>
        <w:t>SUIVI</w:t>
      </w:r>
    </w:p>
    <w:p w:rsidR="00225898" w:rsidRDefault="00543DF1" w:rsidP="00225898">
      <w:pPr>
        <w:pStyle w:val="ONUMFS"/>
        <w:rPr>
          <w:lang w:val="fr-FR"/>
        </w:rPr>
      </w:pPr>
      <w:r w:rsidRPr="00C23C04">
        <w:rPr>
          <w:lang w:val="fr-FR"/>
        </w:rPr>
        <w:t>En ce qui concerne les difficultés indiquées au sous</w:t>
      </w:r>
      <w:r w:rsidR="006544E4" w:rsidRPr="00C23C04">
        <w:rPr>
          <w:lang w:val="fr-FR"/>
        </w:rPr>
        <w:noBreakHyphen/>
      </w:r>
      <w:r w:rsidR="00C4766A" w:rsidRPr="00C23C04">
        <w:rPr>
          <w:lang w:val="fr-FR"/>
        </w:rPr>
        <w:t>paragraphe 8</w:t>
      </w:r>
      <w:r w:rsidRPr="00C23C04">
        <w:rPr>
          <w:lang w:val="fr-FR"/>
        </w:rPr>
        <w:t>.a), tous les offices de propriété intellectuelle qui ont participé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enquête ont </w:t>
      </w:r>
      <w:r w:rsidR="00B42AE5" w:rsidRPr="00C23C04">
        <w:rPr>
          <w:lang w:val="fr-FR"/>
        </w:rPr>
        <w:t>déclaré</w:t>
      </w:r>
      <w:r w:rsidRPr="00C23C04">
        <w:rPr>
          <w:lang w:val="fr-FR"/>
        </w:rPr>
        <w:t xml:space="preserve"> qu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ils n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utilisaient pas les normes de ST.7 à ST.7/F </w:t>
      </w:r>
      <w:r w:rsidR="00B42AE5" w:rsidRPr="00C23C04">
        <w:rPr>
          <w:lang w:val="fr-FR"/>
        </w:rPr>
        <w:t>de l</w:t>
      </w:r>
      <w:r w:rsidR="00C4766A" w:rsidRPr="00C23C04">
        <w:rPr>
          <w:lang w:val="fr-FR"/>
        </w:rPr>
        <w:t>’</w:t>
      </w:r>
      <w:r w:rsidR="00B42AE5" w:rsidRPr="00C23C04">
        <w:rPr>
          <w:lang w:val="fr-FR"/>
        </w:rPr>
        <w:t xml:space="preserve">OMPI </w:t>
      </w:r>
      <w:r w:rsidRPr="00C23C04">
        <w:rPr>
          <w:lang w:val="fr-FR"/>
        </w:rPr>
        <w:t>ni la norme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ST.30.</w:t>
      </w:r>
      <w:r w:rsidR="00524CEB" w:rsidRPr="00C23C04">
        <w:rPr>
          <w:lang w:val="fr-FR"/>
        </w:rPr>
        <w:t xml:space="preserve"> </w:t>
      </w:r>
      <w:r w:rsidRPr="00C23C04">
        <w:rPr>
          <w:lang w:val="fr-FR"/>
        </w:rPr>
        <w:t>Par conséquent, il est proposé de supprimer ces normes du Manuel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 et de les transf</w:t>
      </w:r>
      <w:r w:rsidR="00B42AE5" w:rsidRPr="00C23C04">
        <w:rPr>
          <w:lang w:val="fr-FR"/>
        </w:rPr>
        <w:t xml:space="preserve">érer dans la section </w:t>
      </w:r>
      <w:r w:rsidR="00524CEB" w:rsidRPr="00C23C04">
        <w:rPr>
          <w:lang w:val="fr-FR"/>
        </w:rPr>
        <w:t>“</w:t>
      </w:r>
      <w:r w:rsidR="00B42AE5" w:rsidRPr="00C23C04">
        <w:rPr>
          <w:lang w:val="fr-FR"/>
        </w:rPr>
        <w:t>Archives</w:t>
      </w:r>
      <w:r w:rsidR="00524CEB" w:rsidRPr="00C23C04">
        <w:rPr>
          <w:lang w:val="fr-FR"/>
        </w:rPr>
        <w:t>”</w:t>
      </w:r>
      <w:r w:rsidR="00B42AE5" w:rsidRPr="00C23C04">
        <w:rPr>
          <w:lang w:val="fr-FR"/>
        </w:rPr>
        <w:t xml:space="preserve">, qui </w:t>
      </w:r>
      <w:proofErr w:type="gramStart"/>
      <w:r w:rsidR="00B42AE5" w:rsidRPr="00C23C04">
        <w:rPr>
          <w:lang w:val="fr-FR"/>
        </w:rPr>
        <w:t>peut</w:t>
      </w:r>
      <w:proofErr w:type="gramEnd"/>
      <w:r w:rsidR="00B42AE5" w:rsidRPr="00C23C04">
        <w:rPr>
          <w:lang w:val="fr-FR"/>
        </w:rPr>
        <w:t xml:space="preserve"> être </w:t>
      </w:r>
      <w:r w:rsidR="00DB7CD3" w:rsidRPr="00C23C04">
        <w:rPr>
          <w:lang w:val="fr-FR"/>
        </w:rPr>
        <w:t xml:space="preserve">également </w:t>
      </w:r>
      <w:r w:rsidR="00B42AE5" w:rsidRPr="00C23C04">
        <w:rPr>
          <w:lang w:val="fr-FR"/>
        </w:rPr>
        <w:t>consultée sur le site</w:t>
      </w:r>
      <w:r w:rsidR="00524CEB" w:rsidRPr="00C23C04">
        <w:rPr>
          <w:lang w:val="fr-FR"/>
        </w:rPr>
        <w:t> </w:t>
      </w:r>
      <w:r w:rsidR="00B42AE5" w:rsidRPr="00C23C04">
        <w:rPr>
          <w:lang w:val="fr-FR"/>
        </w:rPr>
        <w:t xml:space="preserve">Web de </w:t>
      </w:r>
      <w:r w:rsidR="00DB7CD3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DB7CD3" w:rsidRPr="00C23C04">
        <w:rPr>
          <w:lang w:val="fr-FR"/>
        </w:rPr>
        <w:t>Organisation</w:t>
      </w:r>
      <w:r w:rsidR="00B42AE5" w:rsidRPr="00C23C04">
        <w:rPr>
          <w:lang w:val="fr-FR"/>
        </w:rPr>
        <w:t>.</w:t>
      </w:r>
    </w:p>
    <w:p w:rsidR="00617D81" w:rsidRPr="00C23C04" w:rsidRDefault="00DD18AA" w:rsidP="00225898">
      <w:pPr>
        <w:pStyle w:val="ONUMFS"/>
        <w:spacing w:after="120"/>
        <w:rPr>
          <w:lang w:val="fr-FR"/>
        </w:rPr>
      </w:pPr>
      <w:r w:rsidRPr="00C23C04">
        <w:rPr>
          <w:lang w:val="fr-FR"/>
        </w:rPr>
        <w:t>Un grand nombre de participants a estimé que les normes suivantes étaient obsolètes, alors que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autres offices de propriété intellectuelle les appliqu</w:t>
      </w:r>
      <w:r w:rsidR="00CF3095" w:rsidRPr="00C23C04">
        <w:rPr>
          <w:lang w:val="fr-FR"/>
        </w:rPr>
        <w:t>aient intégraleme</w:t>
      </w:r>
      <w:r w:rsidRPr="00C23C04">
        <w:rPr>
          <w:lang w:val="fr-FR"/>
        </w:rPr>
        <w:t>nt</w:t>
      </w:r>
      <w:r w:rsidR="00C4766A" w:rsidRPr="00C23C04">
        <w:rPr>
          <w:lang w:val="fr-FR"/>
        </w:rPr>
        <w:t> :</w:t>
      </w:r>
    </w:p>
    <w:p w:rsidR="00617D81" w:rsidRPr="00C23C04" w:rsidRDefault="00DD18AA" w:rsidP="00465553">
      <w:pPr>
        <w:pStyle w:val="ONUMFS"/>
        <w:numPr>
          <w:ilvl w:val="0"/>
          <w:numId w:val="12"/>
        </w:numPr>
        <w:spacing w:after="60"/>
        <w:ind w:left="993" w:hanging="426"/>
        <w:rPr>
          <w:lang w:val="fr-FR"/>
        </w:rPr>
      </w:pPr>
      <w:r w:rsidRPr="00C23C04">
        <w:rPr>
          <w:lang w:val="fr-FR"/>
        </w:rPr>
        <w:t>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</w:t>
      </w:r>
      <w:r w:rsidR="00CF3095" w:rsidRPr="00C23C04">
        <w:rPr>
          <w:lang w:val="fr-FR"/>
        </w:rPr>
        <w:t>applicables aux</w:t>
      </w:r>
      <w:r w:rsidR="006C1E5A" w:rsidRPr="00C23C04">
        <w:rPr>
          <w:lang w:val="fr-FR"/>
        </w:rPr>
        <w:t xml:space="preserve"> publication</w:t>
      </w:r>
      <w:r w:rsidR="00CF3095" w:rsidRPr="00C23C04">
        <w:rPr>
          <w:lang w:val="fr-FR"/>
        </w:rPr>
        <w:t>s</w:t>
      </w:r>
      <w:r w:rsidR="006C1E5A" w:rsidRPr="00C23C04">
        <w:rPr>
          <w:lang w:val="fr-FR"/>
        </w:rPr>
        <w:t xml:space="preserve"> sur papier</w:t>
      </w:r>
      <w:r w:rsidR="00C4766A" w:rsidRPr="00C23C04">
        <w:rPr>
          <w:lang w:val="fr-FR"/>
        </w:rPr>
        <w:t> :</w:t>
      </w:r>
      <w:r w:rsidRPr="00C23C04">
        <w:rPr>
          <w:lang w:val="fr-FR"/>
        </w:rPr>
        <w:t xml:space="preserve"> ST.10/D, ST.12/C, ST.18, ST.19, ST.20 et ST.21</w:t>
      </w:r>
      <w:r w:rsidR="008E2D4E">
        <w:rPr>
          <w:lang w:val="fr-FR"/>
        </w:rPr>
        <w:t xml:space="preserve"> </w:t>
      </w:r>
      <w:r w:rsidRPr="00C23C04">
        <w:rPr>
          <w:lang w:val="fr-FR"/>
        </w:rPr>
        <w:t>;</w:t>
      </w:r>
      <w:r w:rsidR="00524CEB" w:rsidRPr="00C23C04">
        <w:rPr>
          <w:lang w:val="fr-FR"/>
        </w:rPr>
        <w:t xml:space="preserve"> </w:t>
      </w:r>
      <w:r w:rsidRPr="00C23C04">
        <w:rPr>
          <w:lang w:val="fr-FR"/>
        </w:rPr>
        <w:t>et</w:t>
      </w:r>
    </w:p>
    <w:p w:rsidR="00617D81" w:rsidRPr="00C23C04" w:rsidRDefault="00DD18AA" w:rsidP="00465553">
      <w:pPr>
        <w:pStyle w:val="ONUMFS"/>
        <w:numPr>
          <w:ilvl w:val="0"/>
          <w:numId w:val="12"/>
        </w:numPr>
        <w:ind w:left="993" w:hanging="426"/>
        <w:rPr>
          <w:lang w:val="fr-FR"/>
        </w:rPr>
      </w:pPr>
      <w:r w:rsidRPr="00C23C04">
        <w:rPr>
          <w:lang w:val="fr-FR"/>
        </w:rPr>
        <w:t>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relatives </w:t>
      </w:r>
      <w:r w:rsidR="00CF3095" w:rsidRPr="00C23C04">
        <w:rPr>
          <w:lang w:val="fr-FR"/>
        </w:rPr>
        <w:t>à des</w:t>
      </w:r>
      <w:r w:rsidRPr="00C23C04">
        <w:rPr>
          <w:lang w:val="fr-FR"/>
        </w:rPr>
        <w:t xml:space="preserve"> technologies obsolètes</w:t>
      </w:r>
      <w:r w:rsidR="00C4766A" w:rsidRPr="00C23C04">
        <w:rPr>
          <w:lang w:val="fr-FR"/>
        </w:rPr>
        <w:t> :</w:t>
      </w:r>
      <w:r w:rsidRPr="00C23C04">
        <w:rPr>
          <w:lang w:val="fr-FR"/>
        </w:rPr>
        <w:t xml:space="preserve"> ST.31 (jeux de caractères), ST.32 (SGML), ST.33 (fac</w:t>
      </w:r>
      <w:r w:rsidR="006544E4" w:rsidRPr="00C23C04">
        <w:rPr>
          <w:lang w:val="fr-FR"/>
        </w:rPr>
        <w:noBreakHyphen/>
      </w:r>
      <w:r w:rsidR="00153E10" w:rsidRPr="00C23C04">
        <w:rPr>
          <w:lang w:val="fr-FR"/>
        </w:rPr>
        <w:t>s</w:t>
      </w:r>
      <w:r w:rsidRPr="00C23C04">
        <w:rPr>
          <w:lang w:val="fr-FR"/>
        </w:rPr>
        <w:t xml:space="preserve">imilés), ST.34 (enregistrement des numéros de demandes), ST.35 (mode mixte) </w:t>
      </w:r>
      <w:r w:rsidR="00B42AE5" w:rsidRPr="00C23C04">
        <w:rPr>
          <w:lang w:val="fr-FR"/>
        </w:rPr>
        <w:t>et</w:t>
      </w:r>
      <w:r w:rsidRPr="00C23C04">
        <w:rPr>
          <w:lang w:val="fr-FR"/>
        </w:rPr>
        <w:t xml:space="preserve"> ST.40 (fac</w:t>
      </w:r>
      <w:r w:rsidR="006544E4" w:rsidRPr="00C23C04">
        <w:rPr>
          <w:lang w:val="fr-FR"/>
        </w:rPr>
        <w:noBreakHyphen/>
      </w:r>
      <w:r w:rsidR="00153E10" w:rsidRPr="00C23C04">
        <w:rPr>
          <w:lang w:val="fr-FR"/>
        </w:rPr>
        <w:t>s</w:t>
      </w:r>
      <w:r w:rsidRPr="00C23C04">
        <w:rPr>
          <w:lang w:val="fr-FR"/>
        </w:rPr>
        <w:t>imilés sur disques compacts ROM).</w:t>
      </w:r>
    </w:p>
    <w:p w:rsidR="00C4766A" w:rsidRPr="00C23C04" w:rsidRDefault="00491FB2" w:rsidP="00225898">
      <w:pPr>
        <w:pStyle w:val="ONUMFS"/>
        <w:rPr>
          <w:lang w:val="fr-FR"/>
        </w:rPr>
      </w:pPr>
      <w:r w:rsidRPr="00C23C04">
        <w:rPr>
          <w:lang w:val="fr-FR"/>
        </w:rPr>
        <w:t xml:space="preserve">Le CWS est invité à </w:t>
      </w:r>
      <w:r w:rsidR="00CF3095" w:rsidRPr="00C23C04">
        <w:rPr>
          <w:lang w:val="fr-FR"/>
        </w:rPr>
        <w:t>déter</w:t>
      </w:r>
      <w:r w:rsidRPr="00C23C04">
        <w:rPr>
          <w:lang w:val="fr-FR"/>
        </w:rPr>
        <w:t>miner s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il convient de </w:t>
      </w:r>
      <w:r w:rsidR="00903439" w:rsidRPr="00C23C04">
        <w:rPr>
          <w:lang w:val="fr-FR"/>
        </w:rPr>
        <w:t>conserv</w:t>
      </w:r>
      <w:r w:rsidRPr="00C23C04">
        <w:rPr>
          <w:lang w:val="fr-FR"/>
        </w:rPr>
        <w:t>er dans le Manuel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les normes indiquées au </w:t>
      </w:r>
      <w:r w:rsidR="00C4766A" w:rsidRPr="00C23C04">
        <w:rPr>
          <w:lang w:val="fr-FR"/>
        </w:rPr>
        <w:t>paragraphe 1</w:t>
      </w:r>
      <w:r w:rsidRPr="00C23C04">
        <w:rPr>
          <w:lang w:val="fr-FR"/>
        </w:rPr>
        <w:t>0 ou de les transférer dans la section</w:t>
      </w:r>
      <w:r w:rsidR="00B42AE5" w:rsidRPr="00C23C04">
        <w:rPr>
          <w:lang w:val="fr-FR"/>
        </w:rPr>
        <w:t xml:space="preserve"> </w:t>
      </w:r>
      <w:r w:rsidR="00524CEB" w:rsidRPr="00C23C04">
        <w:rPr>
          <w:lang w:val="fr-FR"/>
        </w:rPr>
        <w:t>“</w:t>
      </w:r>
      <w:r w:rsidR="00B42AE5" w:rsidRPr="00C23C04">
        <w:rPr>
          <w:lang w:val="fr-FR"/>
        </w:rPr>
        <w:t>Archives</w:t>
      </w:r>
      <w:r w:rsidR="00524CEB" w:rsidRPr="00C23C04">
        <w:rPr>
          <w:lang w:val="fr-FR"/>
        </w:rPr>
        <w:t>”</w:t>
      </w:r>
      <w:r w:rsidR="00B42AE5" w:rsidRPr="00C23C04">
        <w:rPr>
          <w:lang w:val="fr-FR"/>
        </w:rPr>
        <w:t xml:space="preserve">, </w:t>
      </w:r>
      <w:r w:rsidR="00903439" w:rsidRPr="00C23C04">
        <w:rPr>
          <w:lang w:val="fr-FR"/>
        </w:rPr>
        <w:t>c’est</w:t>
      </w:r>
      <w:r w:rsidR="00903439" w:rsidRPr="00C23C04">
        <w:rPr>
          <w:lang w:val="fr-FR"/>
        </w:rPr>
        <w:noBreakHyphen/>
        <w:t>à</w:t>
      </w:r>
      <w:r w:rsidR="00903439" w:rsidRPr="00C23C04">
        <w:rPr>
          <w:lang w:val="fr-FR"/>
        </w:rPr>
        <w:noBreakHyphen/>
        <w:t>dire</w:t>
      </w:r>
      <w:r w:rsidR="00B42AE5" w:rsidRPr="00C23C04">
        <w:rPr>
          <w:lang w:val="fr-FR"/>
        </w:rPr>
        <w:t xml:space="preserve"> </w:t>
      </w:r>
      <w:r w:rsidRPr="00C23C04">
        <w:rPr>
          <w:lang w:val="fr-FR"/>
        </w:rPr>
        <w:t>s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il est </w:t>
      </w:r>
      <w:r w:rsidR="00903439" w:rsidRPr="00C23C04">
        <w:rPr>
          <w:lang w:val="fr-FR"/>
        </w:rPr>
        <w:t>toujours souhaitable</w:t>
      </w:r>
      <w:r w:rsidRPr="00C23C04">
        <w:rPr>
          <w:lang w:val="fr-FR"/>
        </w:rPr>
        <w:t xml:space="preserve"> que les offices </w:t>
      </w:r>
      <w:r w:rsidR="00B42AE5" w:rsidRPr="00C23C04">
        <w:rPr>
          <w:lang w:val="fr-FR"/>
        </w:rPr>
        <w:t xml:space="preserve">de propriété intellectuelle </w:t>
      </w:r>
      <w:r w:rsidRPr="00C23C04">
        <w:rPr>
          <w:lang w:val="fr-FR"/>
        </w:rPr>
        <w:t>qui n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appliqu</w:t>
      </w:r>
      <w:r w:rsidR="00903439" w:rsidRPr="00C23C04">
        <w:rPr>
          <w:lang w:val="fr-FR"/>
        </w:rPr>
        <w:t>ent</w:t>
      </w:r>
      <w:r w:rsidRPr="00C23C04">
        <w:rPr>
          <w:lang w:val="fr-FR"/>
        </w:rPr>
        <w:t xml:space="preserve"> </w:t>
      </w:r>
      <w:r w:rsidR="00903439" w:rsidRPr="00C23C04">
        <w:rPr>
          <w:lang w:val="fr-FR"/>
        </w:rPr>
        <w:t xml:space="preserve">pas </w:t>
      </w:r>
      <w:r w:rsidRPr="00C23C04">
        <w:rPr>
          <w:lang w:val="fr-FR"/>
        </w:rPr>
        <w:t>ces normes le fassent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avenir.</w:t>
      </w:r>
    </w:p>
    <w:p w:rsidR="00617D81" w:rsidRPr="00C23C04" w:rsidRDefault="004E48FC" w:rsidP="00225898">
      <w:pPr>
        <w:pStyle w:val="ONUMFS"/>
        <w:rPr>
          <w:lang w:val="fr-FR"/>
        </w:rPr>
      </w:pPr>
      <w:r w:rsidRPr="00C23C04">
        <w:rPr>
          <w:lang w:val="fr-FR"/>
        </w:rPr>
        <w:t>Les difficultés indiquées au sous</w:t>
      </w:r>
      <w:r w:rsidR="006544E4" w:rsidRPr="00C23C04">
        <w:rPr>
          <w:lang w:val="fr-FR"/>
        </w:rPr>
        <w:noBreakHyphen/>
      </w:r>
      <w:r w:rsidR="00C4766A" w:rsidRPr="00C23C04">
        <w:rPr>
          <w:lang w:val="fr-FR"/>
        </w:rPr>
        <w:t>paragraphe 8</w:t>
      </w:r>
      <w:r w:rsidRPr="00C23C04">
        <w:rPr>
          <w:lang w:val="fr-FR"/>
        </w:rPr>
        <w:t>.b) sont imputables à des raisons qui ne peuvent être abordées dans le cadre</w:t>
      </w:r>
      <w:r w:rsidR="00C4766A" w:rsidRPr="00C23C04">
        <w:rPr>
          <w:lang w:val="fr-FR"/>
        </w:rPr>
        <w:t xml:space="preserve"> du CWS</w:t>
      </w:r>
      <w:r w:rsidRPr="00C23C04">
        <w:rPr>
          <w:lang w:val="fr-FR"/>
        </w:rPr>
        <w:t>.</w:t>
      </w:r>
    </w:p>
    <w:p w:rsidR="00617D81" w:rsidRPr="00C23C04" w:rsidRDefault="004E48FC" w:rsidP="00225898">
      <w:pPr>
        <w:pStyle w:val="ONUMFS"/>
        <w:rPr>
          <w:lang w:val="fr-FR"/>
        </w:rPr>
      </w:pPr>
      <w:r w:rsidRPr="00C23C04">
        <w:rPr>
          <w:lang w:val="fr-FR"/>
        </w:rPr>
        <w:t xml:space="preserve">En ce qui concerne les difficultés </w:t>
      </w:r>
      <w:r w:rsidR="00B42AE5" w:rsidRPr="00C23C04">
        <w:rPr>
          <w:lang w:val="fr-FR"/>
        </w:rPr>
        <w:t>indiquées au sous</w:t>
      </w:r>
      <w:r w:rsidR="006544E4" w:rsidRPr="00C23C04">
        <w:rPr>
          <w:lang w:val="fr-FR"/>
        </w:rPr>
        <w:noBreakHyphen/>
      </w:r>
      <w:r w:rsidR="00C4766A" w:rsidRPr="00C23C04">
        <w:rPr>
          <w:lang w:val="fr-FR"/>
        </w:rPr>
        <w:t>paragraphe 8</w:t>
      </w:r>
      <w:r w:rsidR="00B42AE5" w:rsidRPr="00C23C04">
        <w:rPr>
          <w:lang w:val="fr-FR"/>
        </w:rPr>
        <w:t>.c</w:t>
      </w:r>
      <w:r w:rsidRPr="00C23C04">
        <w:rPr>
          <w:lang w:val="fr-FR"/>
        </w:rPr>
        <w:t>), le Bureau international s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efforcera de continuer à fournir des services consultatifs et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assistance technique </w:t>
      </w:r>
      <w:r w:rsidR="00C33401" w:rsidRPr="00C23C04">
        <w:rPr>
          <w:lang w:val="fr-FR"/>
        </w:rPr>
        <w:t>en vue</w:t>
      </w:r>
      <w:r w:rsidRPr="00C23C04">
        <w:rPr>
          <w:lang w:val="fr-FR"/>
        </w:rPr>
        <w:t xml:space="preserve"> </w:t>
      </w:r>
      <w:r w:rsidR="00B42AE5" w:rsidRPr="00C23C04">
        <w:rPr>
          <w:lang w:val="fr-FR"/>
        </w:rPr>
        <w:t>de renforcer l</w:t>
      </w:r>
      <w:r w:rsidRPr="00C23C04">
        <w:rPr>
          <w:lang w:val="fr-FR"/>
        </w:rPr>
        <w:t xml:space="preserve">es capacités </w:t>
      </w:r>
      <w:r w:rsidR="00B42AE5" w:rsidRPr="00C23C04">
        <w:rPr>
          <w:lang w:val="fr-FR"/>
        </w:rPr>
        <w:t>des</w:t>
      </w:r>
      <w:r w:rsidRPr="00C23C04">
        <w:rPr>
          <w:lang w:val="fr-FR"/>
        </w:rPr>
        <w:t xml:space="preserve"> offi</w:t>
      </w:r>
      <w:r w:rsidR="00B42AE5" w:rsidRPr="00C23C04">
        <w:rPr>
          <w:lang w:val="fr-FR"/>
        </w:rPr>
        <w:t>ces de propriété intellectuelle</w:t>
      </w:r>
      <w:r w:rsidRPr="00C23C04">
        <w:rPr>
          <w:lang w:val="fr-FR"/>
        </w:rPr>
        <w:t xml:space="preserve"> </w:t>
      </w:r>
      <w:r w:rsidR="00B42AE5" w:rsidRPr="00C23C04">
        <w:rPr>
          <w:lang w:val="fr-FR"/>
        </w:rPr>
        <w:t>et il assurera</w:t>
      </w:r>
      <w:r w:rsidRPr="00C23C04">
        <w:rPr>
          <w:lang w:val="fr-FR"/>
        </w:rPr>
        <w:t xml:space="preserve">, sur demande des offices intéressés, le suivi des </w:t>
      </w:r>
      <w:r w:rsidR="00B42AE5" w:rsidRPr="00C23C04">
        <w:rPr>
          <w:lang w:val="fr-FR"/>
        </w:rPr>
        <w:t xml:space="preserve">problèmes </w:t>
      </w:r>
      <w:r w:rsidR="00C33401" w:rsidRPr="00C23C04">
        <w:rPr>
          <w:lang w:val="fr-FR"/>
        </w:rPr>
        <w:t xml:space="preserve">soulevés </w:t>
      </w:r>
      <w:r w:rsidR="006C1E5A" w:rsidRPr="00C23C04">
        <w:rPr>
          <w:lang w:val="fr-FR"/>
        </w:rPr>
        <w:t>dans</w:t>
      </w:r>
      <w:r w:rsidRPr="00C23C04">
        <w:rPr>
          <w:lang w:val="fr-FR"/>
        </w:rPr>
        <w:t xml:space="preserve"> les réponses à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enquête.</w:t>
      </w:r>
    </w:p>
    <w:p w:rsidR="00617D81" w:rsidRPr="00C23C04" w:rsidRDefault="009021B9" w:rsidP="00225898">
      <w:pPr>
        <w:pStyle w:val="ONUMFS"/>
        <w:rPr>
          <w:lang w:val="fr-FR"/>
        </w:rPr>
      </w:pPr>
      <w:r w:rsidRPr="00C23C04">
        <w:rPr>
          <w:lang w:val="fr-FR"/>
        </w:rPr>
        <w:t>Comme il a été signalé que</w:t>
      </w:r>
      <w:r w:rsidR="00A0741C" w:rsidRPr="00C23C04">
        <w:rPr>
          <w:lang w:val="fr-FR"/>
        </w:rPr>
        <w:t xml:space="preserve"> certaines</w:t>
      </w:r>
      <w:r w:rsidRPr="00C23C04">
        <w:rPr>
          <w:lang w:val="fr-FR"/>
        </w:rPr>
        <w:t xml:space="preserve">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</w:t>
      </w:r>
      <w:r w:rsidR="00A0741C" w:rsidRPr="00C23C04">
        <w:rPr>
          <w:lang w:val="fr-FR"/>
        </w:rPr>
        <w:t xml:space="preserve">ont été appliquées </w:t>
      </w:r>
      <w:r w:rsidRPr="00C23C04">
        <w:rPr>
          <w:lang w:val="fr-FR"/>
        </w:rPr>
        <w:t xml:space="preserve">au moyen des solutions logicielles </w:t>
      </w:r>
      <w:r w:rsidR="00A0741C" w:rsidRPr="00C23C04">
        <w:rPr>
          <w:lang w:val="fr-FR"/>
        </w:rPr>
        <w:t>que</w:t>
      </w:r>
      <w:r w:rsidRPr="00C23C04">
        <w:rPr>
          <w:lang w:val="fr-FR"/>
        </w:rPr>
        <w:t xml:space="preserve">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</w:t>
      </w:r>
      <w:r w:rsidR="00A0741C" w:rsidRPr="00C23C04">
        <w:rPr>
          <w:lang w:val="fr-FR"/>
        </w:rPr>
        <w:t>propose aux</w:t>
      </w:r>
      <w:r w:rsidRPr="00C23C04">
        <w:rPr>
          <w:lang w:val="fr-FR"/>
        </w:rPr>
        <w:t xml:space="preserve"> offices de propriété intellectuelle, les normes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>ST.9, ST.36, ST.60 et ST.80</w:t>
      </w:r>
      <w:r w:rsidR="006C1E5A" w:rsidRPr="00C23C04">
        <w:rPr>
          <w:lang w:val="fr-FR"/>
        </w:rPr>
        <w:t>,</w:t>
      </w:r>
      <w:r w:rsidR="00A0741C" w:rsidRPr="00C23C04">
        <w:rPr>
          <w:lang w:val="fr-FR"/>
        </w:rPr>
        <w:t xml:space="preserve"> </w:t>
      </w:r>
      <w:r w:rsidR="006C1E5A" w:rsidRPr="00C23C04">
        <w:rPr>
          <w:lang w:val="fr-FR"/>
        </w:rPr>
        <w:t>par exemple, peuvent</w:t>
      </w:r>
      <w:r w:rsidRPr="00C23C04">
        <w:rPr>
          <w:lang w:val="fr-FR"/>
        </w:rPr>
        <w:t xml:space="preserve"> être </w:t>
      </w:r>
      <w:r w:rsidR="00A0741C" w:rsidRPr="00C23C04">
        <w:rPr>
          <w:lang w:val="fr-FR"/>
        </w:rPr>
        <w:t>appliquées</w:t>
      </w:r>
      <w:r w:rsidRPr="00C23C04">
        <w:rPr>
          <w:lang w:val="fr-FR"/>
        </w:rPr>
        <w:t xml:space="preserve"> automatiquement en utilisant le système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automatisation de la propriété industrielle (IPAS). Le Bureau international continuera de fournir </w:t>
      </w:r>
      <w:r w:rsidR="00A0741C" w:rsidRPr="00C23C04">
        <w:rPr>
          <w:lang w:val="fr-FR"/>
        </w:rPr>
        <w:t>une assistance</w:t>
      </w:r>
      <w:r w:rsidRPr="00C23C04">
        <w:rPr>
          <w:lang w:val="fr-FR"/>
        </w:rPr>
        <w:t xml:space="preserve"> pour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application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</w:t>
      </w:r>
      <w:r w:rsidR="00903439" w:rsidRPr="00C23C04">
        <w:rPr>
          <w:lang w:val="fr-FR"/>
        </w:rPr>
        <w:t>grâce aux</w:t>
      </w:r>
      <w:r w:rsidRPr="00C23C04">
        <w:rPr>
          <w:lang w:val="fr-FR"/>
        </w:rPr>
        <w:t xml:space="preserve"> solutions logicielles de </w:t>
      </w:r>
      <w:r w:rsidR="006603CD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6603CD" w:rsidRPr="00C23C04">
        <w:rPr>
          <w:lang w:val="fr-FR"/>
        </w:rPr>
        <w:t>Organisation</w:t>
      </w:r>
      <w:r w:rsidRPr="00C23C04">
        <w:rPr>
          <w:lang w:val="fr-FR"/>
        </w:rPr>
        <w:t>.</w:t>
      </w:r>
    </w:p>
    <w:p w:rsidR="00617D81" w:rsidRPr="00C23C04" w:rsidRDefault="00E66CD8" w:rsidP="00225898">
      <w:pPr>
        <w:pStyle w:val="ONUMFS"/>
        <w:rPr>
          <w:lang w:val="fr-FR"/>
        </w:rPr>
      </w:pPr>
      <w:r w:rsidRPr="00C23C04">
        <w:rPr>
          <w:lang w:val="fr-FR"/>
        </w:rPr>
        <w:t>Le Bureau international s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est efforcé </w:t>
      </w:r>
      <w:r w:rsidR="00903439" w:rsidRPr="00C23C04">
        <w:rPr>
          <w:lang w:val="fr-FR"/>
        </w:rPr>
        <w:t>de mieux faire connaître les</w:t>
      </w:r>
      <w:r w:rsidRPr="00C23C04">
        <w:rPr>
          <w:lang w:val="fr-FR"/>
        </w:rPr>
        <w:t xml:space="preserve">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</w:t>
      </w:r>
      <w:r w:rsidR="00903439" w:rsidRPr="00C23C04">
        <w:rPr>
          <w:lang w:val="fr-FR"/>
        </w:rPr>
        <w:t xml:space="preserve">, par exemple </w:t>
      </w:r>
      <w:r w:rsidRPr="00C23C04">
        <w:rPr>
          <w:lang w:val="fr-FR"/>
        </w:rPr>
        <w:t xml:space="preserve">en offrant une formation aux offices de propriété intellectuelle, en mettant à jour la </w:t>
      </w:r>
      <w:r w:rsidR="00A0741C" w:rsidRPr="00C23C04">
        <w:rPr>
          <w:lang w:val="fr-FR"/>
        </w:rPr>
        <w:t>page sur les</w:t>
      </w:r>
      <w:r w:rsidRPr="00C23C04">
        <w:rPr>
          <w:lang w:val="fr-FR"/>
        </w:rPr>
        <w:t xml:space="preserve"> normes </w:t>
      </w:r>
      <w:r w:rsidR="00A0741C" w:rsidRPr="00C23C04">
        <w:rPr>
          <w:lang w:val="fr-FR"/>
        </w:rPr>
        <w:t>du</w:t>
      </w:r>
      <w:r w:rsidRPr="00C23C04">
        <w:rPr>
          <w:lang w:val="fr-FR"/>
        </w:rPr>
        <w:t xml:space="preserve"> site</w:t>
      </w:r>
      <w:r w:rsidR="00524CEB" w:rsidRPr="00C23C04">
        <w:rPr>
          <w:lang w:val="fr-FR"/>
        </w:rPr>
        <w:t> </w:t>
      </w:r>
      <w:r w:rsidRPr="00C23C04">
        <w:rPr>
          <w:lang w:val="fr-FR"/>
        </w:rPr>
        <w:t xml:space="preserve">Web de </w:t>
      </w:r>
      <w:r w:rsidR="006C1E5A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6C1E5A" w:rsidRPr="00C23C04">
        <w:rPr>
          <w:lang w:val="fr-FR"/>
        </w:rPr>
        <w:t>Organisation</w:t>
      </w:r>
      <w:r w:rsidRPr="00C23C04">
        <w:rPr>
          <w:lang w:val="fr-FR"/>
        </w:rPr>
        <w:t xml:space="preserve"> et en publiant une brochure sur le sujet (voir </w:t>
      </w:r>
      <w:hyperlink r:id="rId18" w:history="1">
        <w:r w:rsidRPr="00225898">
          <w:rPr>
            <w:rStyle w:val="Hyperlink"/>
            <w:lang w:val="fr-FR"/>
          </w:rPr>
          <w:t>http://www.wipo.int/export/sites/www/standards/en/pdf/standards</w:t>
        </w:r>
        <w:r w:rsidR="006544E4" w:rsidRPr="00225898">
          <w:rPr>
            <w:rStyle w:val="Hyperlink"/>
            <w:lang w:val="fr-FR"/>
          </w:rPr>
          <w:noBreakHyphen/>
        </w:r>
        <w:r w:rsidRPr="00225898">
          <w:rPr>
            <w:rStyle w:val="Hyperlink"/>
            <w:lang w:val="fr-FR"/>
          </w:rPr>
          <w:t>brochure</w:t>
        </w:r>
        <w:r w:rsidR="006544E4" w:rsidRPr="00225898">
          <w:rPr>
            <w:rStyle w:val="Hyperlink"/>
            <w:lang w:val="fr-FR"/>
          </w:rPr>
          <w:noBreakHyphen/>
        </w:r>
        <w:r w:rsidRPr="00225898">
          <w:rPr>
            <w:rStyle w:val="Hyperlink"/>
            <w:lang w:val="fr-FR"/>
          </w:rPr>
          <w:t>web.pdf</w:t>
        </w:r>
      </w:hyperlink>
      <w:r w:rsidRPr="00C23C04">
        <w:rPr>
          <w:lang w:val="fr-FR"/>
        </w:rPr>
        <w:t>).</w:t>
      </w:r>
      <w:r w:rsidR="008E2D4E">
        <w:rPr>
          <w:lang w:val="fr-FR"/>
        </w:rPr>
        <w:t xml:space="preserve"> </w:t>
      </w:r>
      <w:r w:rsidRPr="00C23C04">
        <w:rPr>
          <w:lang w:val="fr-FR"/>
        </w:rPr>
        <w:t xml:space="preserve">Le Bureau international poursuivra ses efforts de </w:t>
      </w:r>
      <w:r w:rsidR="00903439" w:rsidRPr="00C23C04">
        <w:rPr>
          <w:lang w:val="fr-FR"/>
        </w:rPr>
        <w:t>diffusion d</w:t>
      </w:r>
      <w:r w:rsidRPr="00C23C04">
        <w:rPr>
          <w:lang w:val="fr-FR"/>
        </w:rPr>
        <w:t>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OMPI.</w:t>
      </w:r>
    </w:p>
    <w:p w:rsidR="00F24288" w:rsidRDefault="00815385" w:rsidP="00225898">
      <w:pPr>
        <w:pStyle w:val="ONUMFS"/>
        <w:rPr>
          <w:lang w:val="fr-FR"/>
        </w:rPr>
      </w:pPr>
      <w:r w:rsidRPr="00C23C04">
        <w:rPr>
          <w:lang w:val="fr-FR"/>
        </w:rPr>
        <w:t xml:space="preserve">En outre, pour </w:t>
      </w:r>
      <w:r w:rsidR="00A0741C" w:rsidRPr="00C23C04">
        <w:rPr>
          <w:lang w:val="fr-FR"/>
        </w:rPr>
        <w:t>aider les offices de propriété intellectuelle à appliquer les normes de l</w:t>
      </w:r>
      <w:r w:rsidR="00C4766A" w:rsidRPr="00C23C04">
        <w:rPr>
          <w:lang w:val="fr-FR"/>
        </w:rPr>
        <w:t>’</w:t>
      </w:r>
      <w:r w:rsidR="00A0741C" w:rsidRPr="00C23C04">
        <w:rPr>
          <w:lang w:val="fr-FR"/>
        </w:rPr>
        <w:t>OMPI,</w:t>
      </w:r>
      <w:r w:rsidRPr="00C23C04">
        <w:rPr>
          <w:lang w:val="fr-FR"/>
        </w:rPr>
        <w:t xml:space="preserve"> les normes </w:t>
      </w:r>
      <w:r w:rsidR="00EB3C81" w:rsidRPr="00C23C04">
        <w:rPr>
          <w:lang w:val="fr-FR"/>
        </w:rPr>
        <w:t xml:space="preserve">récentes et </w:t>
      </w:r>
      <w:r w:rsidRPr="00C23C04">
        <w:rPr>
          <w:lang w:val="fr-FR"/>
        </w:rPr>
        <w:t xml:space="preserve">nouvelles sont accompagnées </w:t>
      </w:r>
      <w:r w:rsidR="006603CD" w:rsidRPr="00C23C04">
        <w:rPr>
          <w:lang w:val="fr-FR"/>
        </w:rPr>
        <w:t>d</w:t>
      </w:r>
      <w:r w:rsidR="00C4766A" w:rsidRPr="00C23C04">
        <w:rPr>
          <w:lang w:val="fr-FR"/>
        </w:rPr>
        <w:t>’</w:t>
      </w:r>
      <w:r w:rsidR="006603CD" w:rsidRPr="00C23C04">
        <w:rPr>
          <w:lang w:val="fr-FR"/>
        </w:rPr>
        <w:t>un guide d</w:t>
      </w:r>
      <w:r w:rsidR="00C4766A" w:rsidRPr="00C23C04">
        <w:rPr>
          <w:lang w:val="fr-FR"/>
        </w:rPr>
        <w:t>’</w:t>
      </w:r>
      <w:r w:rsidR="006603CD" w:rsidRPr="00C23C04">
        <w:rPr>
          <w:lang w:val="fr-FR"/>
        </w:rPr>
        <w:t>application</w:t>
      </w:r>
      <w:r w:rsidR="00903439" w:rsidRPr="00C23C04">
        <w:rPr>
          <w:lang w:val="fr-FR"/>
        </w:rPr>
        <w:t xml:space="preserve"> qui en fait partie intégrante</w:t>
      </w:r>
      <w:r w:rsidRPr="00C23C04">
        <w:rPr>
          <w:lang w:val="fr-FR"/>
        </w:rPr>
        <w:t>.</w:t>
      </w:r>
    </w:p>
    <w:p w:rsidR="00F24288" w:rsidRDefault="00F24288">
      <w:pPr>
        <w:rPr>
          <w:lang w:val="fr-FR"/>
        </w:rPr>
      </w:pPr>
      <w:r>
        <w:rPr>
          <w:lang w:val="fr-FR"/>
        </w:rPr>
        <w:br w:type="page"/>
      </w:r>
    </w:p>
    <w:p w:rsidR="00617D81" w:rsidRPr="00225898" w:rsidRDefault="00225898" w:rsidP="00225898">
      <w:pPr>
        <w:pStyle w:val="Heading2"/>
        <w:spacing w:before="0"/>
        <w:rPr>
          <w:caps w:val="0"/>
          <w:lang w:val="fr-FR"/>
        </w:rPr>
      </w:pPr>
      <w:r w:rsidRPr="00225898">
        <w:rPr>
          <w:caps w:val="0"/>
          <w:lang w:val="fr-FR"/>
        </w:rPr>
        <w:lastRenderedPageBreak/>
        <w:t>CONCLUSIONS</w:t>
      </w:r>
    </w:p>
    <w:p w:rsidR="00617D81" w:rsidRPr="00C23C04" w:rsidRDefault="00494E5B" w:rsidP="00F24288">
      <w:pPr>
        <w:pStyle w:val="ONUMFS"/>
        <w:spacing w:after="120"/>
        <w:rPr>
          <w:lang w:val="fr-FR"/>
        </w:rPr>
      </w:pPr>
      <w:r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enquête a </w:t>
      </w:r>
      <w:r w:rsidR="000A5916" w:rsidRPr="00C23C04">
        <w:rPr>
          <w:lang w:val="fr-FR"/>
        </w:rPr>
        <w:t xml:space="preserve">été utile pour </w:t>
      </w:r>
      <w:r w:rsidRPr="00C23C04">
        <w:rPr>
          <w:lang w:val="fr-FR"/>
        </w:rPr>
        <w:t>déterminer l</w:t>
      </w:r>
      <w:r w:rsidR="00903439" w:rsidRPr="00C23C04">
        <w:rPr>
          <w:lang w:val="fr-FR"/>
        </w:rPr>
        <w:t>a situation</w:t>
      </w:r>
      <w:r w:rsidRPr="00C23C04">
        <w:rPr>
          <w:lang w:val="fr-FR"/>
        </w:rPr>
        <w:t xml:space="preserve">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application des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</w:t>
      </w:r>
      <w:r w:rsidR="001B2ADF" w:rsidRPr="00C23C04">
        <w:rPr>
          <w:lang w:val="fr-FR"/>
        </w:rPr>
        <w:t>dans les</w:t>
      </w:r>
      <w:r w:rsidRPr="00C23C04">
        <w:rPr>
          <w:lang w:val="fr-FR"/>
        </w:rPr>
        <w:t xml:space="preserve"> offices de propriété intellectuelle</w:t>
      </w:r>
      <w:r w:rsidR="00903439" w:rsidRPr="00C23C04">
        <w:rPr>
          <w:lang w:val="fr-FR"/>
        </w:rPr>
        <w:t>,</w:t>
      </w:r>
      <w:r w:rsidR="00524CEB" w:rsidRPr="00C23C04">
        <w:rPr>
          <w:lang w:val="fr-FR"/>
        </w:rPr>
        <w:t xml:space="preserve"> </w:t>
      </w:r>
      <w:r w:rsidR="00903439" w:rsidRPr="00C23C04">
        <w:rPr>
          <w:lang w:val="fr-FR"/>
        </w:rPr>
        <w:t>recens</w:t>
      </w:r>
      <w:r w:rsidRPr="00C23C04">
        <w:rPr>
          <w:lang w:val="fr-FR"/>
        </w:rPr>
        <w:t>er les problèmes liés à leur application et leurs causes</w:t>
      </w:r>
      <w:r w:rsidR="00903439" w:rsidRPr="00C23C04">
        <w:rPr>
          <w:lang w:val="fr-FR"/>
        </w:rPr>
        <w:t>,</w:t>
      </w:r>
      <w:r w:rsidR="00524CEB" w:rsidRPr="00C23C04">
        <w:rPr>
          <w:lang w:val="fr-FR"/>
        </w:rPr>
        <w:t xml:space="preserve"> </w:t>
      </w:r>
      <w:r w:rsidR="00903439" w:rsidRPr="00C23C04">
        <w:rPr>
          <w:lang w:val="fr-FR"/>
        </w:rPr>
        <w:t>sensibi</w:t>
      </w:r>
      <w:r w:rsidRPr="00C23C04">
        <w:rPr>
          <w:lang w:val="fr-FR"/>
        </w:rPr>
        <w:t>lis</w:t>
      </w:r>
      <w:r w:rsidR="00903439" w:rsidRPr="00C23C04">
        <w:rPr>
          <w:lang w:val="fr-FR"/>
        </w:rPr>
        <w:t>er les parties prenantes</w:t>
      </w:r>
      <w:r w:rsidRPr="00C23C04">
        <w:rPr>
          <w:lang w:val="fr-FR"/>
        </w:rPr>
        <w:t xml:space="preserve"> aux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OMPI</w:t>
      </w:r>
      <w:r w:rsidR="00903439" w:rsidRPr="00C23C04">
        <w:rPr>
          <w:lang w:val="fr-FR"/>
        </w:rPr>
        <w:t xml:space="preserve"> et </w:t>
      </w:r>
      <w:r w:rsidR="001B2ADF" w:rsidRPr="00C23C04">
        <w:rPr>
          <w:lang w:val="fr-FR"/>
        </w:rPr>
        <w:t>déterminer</w:t>
      </w:r>
      <w:r w:rsidRPr="00C23C04">
        <w:rPr>
          <w:lang w:val="fr-FR"/>
        </w:rPr>
        <w:t xml:space="preserve"> les besoins des offices </w:t>
      </w:r>
      <w:r w:rsidR="00903439" w:rsidRPr="00C23C04">
        <w:rPr>
          <w:lang w:val="fr-FR"/>
        </w:rPr>
        <w:t>concernant la poursuite</w:t>
      </w:r>
      <w:r w:rsidRPr="00C23C04">
        <w:rPr>
          <w:lang w:val="fr-FR"/>
        </w:rPr>
        <w:t xml:space="preserve"> de la normalisation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information en matière de propriété intellectuelle et </w:t>
      </w:r>
      <w:r w:rsidR="00903439" w:rsidRPr="00C23C04">
        <w:rPr>
          <w:lang w:val="fr-FR"/>
        </w:rPr>
        <w:t>de</w:t>
      </w:r>
      <w:r w:rsidRPr="00C23C04">
        <w:rPr>
          <w:lang w:val="fr-FR"/>
        </w:rPr>
        <w:t xml:space="preserve">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assistance technique dans ce domaine.</w:t>
      </w:r>
    </w:p>
    <w:p w:rsidR="00225898" w:rsidRDefault="00494E5B" w:rsidP="00F24288">
      <w:pPr>
        <w:pStyle w:val="ONUMFS"/>
        <w:spacing w:after="120"/>
        <w:rPr>
          <w:lang w:val="fr-FR"/>
        </w:rPr>
      </w:pPr>
      <w:r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enquête montre que, malgré les </w:t>
      </w:r>
      <w:r w:rsidR="001B2ADF" w:rsidRPr="00C23C04">
        <w:rPr>
          <w:lang w:val="fr-FR"/>
        </w:rPr>
        <w:t xml:space="preserve">différences qui existent dans leur </w:t>
      </w:r>
      <w:r w:rsidRPr="00C23C04">
        <w:rPr>
          <w:lang w:val="fr-FR"/>
        </w:rPr>
        <w:t>application par les offices de propriété intellectuelle, les normes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OMPI demeurent un outil </w:t>
      </w:r>
      <w:r w:rsidR="00903439" w:rsidRPr="00C23C04">
        <w:rPr>
          <w:lang w:val="fr-FR"/>
        </w:rPr>
        <w:t>précieux</w:t>
      </w:r>
      <w:r w:rsidRPr="00C23C04">
        <w:rPr>
          <w:lang w:val="fr-FR"/>
        </w:rPr>
        <w:t xml:space="preserve"> pour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échange international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informations et de documents </w:t>
      </w:r>
      <w:r w:rsidR="00903439" w:rsidRPr="00C23C04">
        <w:rPr>
          <w:lang w:val="fr-FR"/>
        </w:rPr>
        <w:t>en matière de</w:t>
      </w:r>
      <w:r w:rsidRPr="00C23C04">
        <w:rPr>
          <w:lang w:val="fr-FR"/>
        </w:rPr>
        <w:t xml:space="preserve"> propriété intellectuelle.</w:t>
      </w:r>
    </w:p>
    <w:p w:rsidR="00617D81" w:rsidRPr="00C23C04" w:rsidRDefault="00CD0C28" w:rsidP="00A2788C">
      <w:pPr>
        <w:pStyle w:val="ONUMFS"/>
        <w:spacing w:after="0"/>
        <w:rPr>
          <w:lang w:val="fr-FR"/>
        </w:rPr>
      </w:pPr>
      <w:r w:rsidRPr="00C23C04">
        <w:rPr>
          <w:lang w:val="fr-FR"/>
        </w:rPr>
        <w:t>Les réponses fournies par les office</w:t>
      </w:r>
      <w:r w:rsidR="001B2ADF" w:rsidRPr="00C23C04">
        <w:rPr>
          <w:lang w:val="fr-FR"/>
        </w:rPr>
        <w:t xml:space="preserve">s de propriété intellectuelle, </w:t>
      </w:r>
      <w:r w:rsidRPr="00C23C04">
        <w:rPr>
          <w:lang w:val="fr-FR"/>
        </w:rPr>
        <w:t xml:space="preserve">en particulier celles concernant </w:t>
      </w:r>
      <w:r w:rsidR="001B2ADF" w:rsidRPr="00C23C04">
        <w:rPr>
          <w:lang w:val="fr-FR"/>
        </w:rPr>
        <w:t>l</w:t>
      </w:r>
      <w:r w:rsidR="00903439" w:rsidRPr="00C23C04">
        <w:rPr>
          <w:lang w:val="fr-FR"/>
        </w:rPr>
        <w:t>’</w:t>
      </w:r>
      <w:r w:rsidR="001B2ADF" w:rsidRPr="00C23C04">
        <w:rPr>
          <w:lang w:val="fr-FR"/>
        </w:rPr>
        <w:t>application ou non des</w:t>
      </w:r>
      <w:r w:rsidRPr="00C23C04">
        <w:rPr>
          <w:lang w:val="fr-FR"/>
        </w:rPr>
        <w:t xml:space="preserve"> normes de </w:t>
      </w:r>
      <w:r w:rsidR="001B2ADF" w:rsidRPr="00C23C04">
        <w:rPr>
          <w:lang w:val="fr-FR"/>
        </w:rPr>
        <w:t>l</w:t>
      </w:r>
      <w:r w:rsidR="00C4766A" w:rsidRPr="00C23C04">
        <w:rPr>
          <w:lang w:val="fr-FR"/>
        </w:rPr>
        <w:t>’</w:t>
      </w:r>
      <w:r w:rsidR="001B2ADF" w:rsidRPr="00C23C04">
        <w:rPr>
          <w:lang w:val="fr-FR"/>
        </w:rPr>
        <w:t>OMPI, peuvent aider les utilisateurs de</w:t>
      </w:r>
      <w:r w:rsidR="00903439" w:rsidRPr="00C23C04">
        <w:rPr>
          <w:lang w:val="fr-FR"/>
        </w:rPr>
        <w:t xml:space="preserve"> l’</w:t>
      </w:r>
      <w:r w:rsidRPr="00C23C04">
        <w:rPr>
          <w:lang w:val="fr-FR"/>
        </w:rPr>
        <w:t xml:space="preserve">information en matière de propriété intellectuelle à analyser les documents </w:t>
      </w:r>
      <w:r w:rsidR="001B2ADF" w:rsidRPr="00C23C04">
        <w:rPr>
          <w:lang w:val="fr-FR"/>
        </w:rPr>
        <w:t>sur le sujet</w:t>
      </w:r>
      <w:r w:rsidR="008E2D4E">
        <w:rPr>
          <w:lang w:val="fr-FR"/>
        </w:rPr>
        <w:t xml:space="preserve"> </w:t>
      </w:r>
      <w:r w:rsidRPr="00C23C04">
        <w:rPr>
          <w:lang w:val="fr-FR"/>
        </w:rPr>
        <w:t>; pour d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 xml:space="preserve">autres offices, elles constituent une précieuse </w:t>
      </w:r>
      <w:r w:rsidR="00903439" w:rsidRPr="00C23C04">
        <w:rPr>
          <w:lang w:val="fr-FR"/>
        </w:rPr>
        <w:t xml:space="preserve">source </w:t>
      </w:r>
      <w:r w:rsidR="001B2ADF" w:rsidRPr="00C23C04">
        <w:rPr>
          <w:lang w:val="fr-FR"/>
        </w:rPr>
        <w:t>d</w:t>
      </w:r>
      <w:r w:rsidR="00C4766A" w:rsidRPr="00C23C04">
        <w:rPr>
          <w:lang w:val="fr-FR"/>
        </w:rPr>
        <w:t>’</w:t>
      </w:r>
      <w:r w:rsidR="001B2ADF" w:rsidRPr="00C23C04">
        <w:rPr>
          <w:lang w:val="fr-FR"/>
        </w:rPr>
        <w:t>informations sur les</w:t>
      </w:r>
      <w:r w:rsidRPr="00C23C04">
        <w:rPr>
          <w:lang w:val="fr-FR"/>
        </w:rPr>
        <w:t xml:space="preserve"> pratiques existantes dans le domaine de l</w:t>
      </w:r>
      <w:r w:rsidR="00C4766A" w:rsidRPr="00C23C04">
        <w:rPr>
          <w:lang w:val="fr-FR"/>
        </w:rPr>
        <w:t>’</w:t>
      </w:r>
      <w:r w:rsidRPr="00C23C04">
        <w:rPr>
          <w:lang w:val="fr-FR"/>
        </w:rPr>
        <w:t>information et de la documen</w:t>
      </w:r>
      <w:r w:rsidR="001B2ADF" w:rsidRPr="00C23C04">
        <w:rPr>
          <w:lang w:val="fr-FR"/>
        </w:rPr>
        <w:t>ta</w:t>
      </w:r>
      <w:r w:rsidRPr="00C23C04">
        <w:rPr>
          <w:lang w:val="fr-FR"/>
        </w:rPr>
        <w:t>tion en matière de propriété intellectuelle.</w:t>
      </w:r>
    </w:p>
    <w:p w:rsidR="00617D81" w:rsidRPr="00C23C04" w:rsidRDefault="00CD0C28" w:rsidP="00225898">
      <w:pPr>
        <w:pStyle w:val="ONUMFS"/>
        <w:ind w:left="5533"/>
        <w:rPr>
          <w:i/>
          <w:lang w:val="fr-FR"/>
        </w:rPr>
      </w:pPr>
      <w:r w:rsidRPr="00C23C04">
        <w:rPr>
          <w:i/>
          <w:lang w:val="fr-FR"/>
        </w:rPr>
        <w:t>Le CWS est invité</w:t>
      </w:r>
    </w:p>
    <w:p w:rsidR="00617D81" w:rsidRPr="00C23C04" w:rsidRDefault="00CD0C28" w:rsidP="00F24288">
      <w:pPr>
        <w:pStyle w:val="ONUMFS"/>
        <w:numPr>
          <w:ilvl w:val="1"/>
          <w:numId w:val="6"/>
        </w:numPr>
        <w:spacing w:after="120"/>
        <w:ind w:left="5534" w:firstLine="703"/>
        <w:rPr>
          <w:i/>
          <w:lang w:val="fr-FR"/>
        </w:rPr>
      </w:pPr>
      <w:r w:rsidRPr="00C23C04">
        <w:rPr>
          <w:i/>
          <w:lang w:val="fr-FR"/>
        </w:rPr>
        <w:t>à prendre note du contenu du présent document,</w:t>
      </w:r>
    </w:p>
    <w:p w:rsidR="00617D81" w:rsidRPr="00C23C04" w:rsidRDefault="00CD0C28" w:rsidP="00F24288">
      <w:pPr>
        <w:pStyle w:val="ONUMFS"/>
        <w:numPr>
          <w:ilvl w:val="1"/>
          <w:numId w:val="6"/>
        </w:numPr>
        <w:spacing w:after="120"/>
        <w:ind w:left="5534" w:firstLine="703"/>
        <w:rPr>
          <w:i/>
          <w:lang w:val="fr-FR"/>
        </w:rPr>
      </w:pPr>
      <w:r w:rsidRPr="00C23C04">
        <w:rPr>
          <w:i/>
          <w:lang w:val="fr-FR"/>
        </w:rPr>
        <w:t>à examiner la question de la publication des résultats de l</w:t>
      </w:r>
      <w:r w:rsidR="00C4766A" w:rsidRPr="00C23C04">
        <w:rPr>
          <w:i/>
          <w:lang w:val="fr-FR"/>
        </w:rPr>
        <w:t>’</w:t>
      </w:r>
      <w:r w:rsidRPr="00C23C04">
        <w:rPr>
          <w:i/>
          <w:lang w:val="fr-FR"/>
        </w:rPr>
        <w:t>enquête et à décider s</w:t>
      </w:r>
      <w:r w:rsidR="00C4766A" w:rsidRPr="00C23C04">
        <w:rPr>
          <w:i/>
          <w:lang w:val="fr-FR"/>
        </w:rPr>
        <w:t>’</w:t>
      </w:r>
      <w:r w:rsidRPr="00C23C04">
        <w:rPr>
          <w:i/>
          <w:lang w:val="fr-FR"/>
        </w:rPr>
        <w:t>ils devraient être publiés en tant que partie</w:t>
      </w:r>
      <w:r w:rsidR="00153E10" w:rsidRPr="00C23C04">
        <w:rPr>
          <w:i/>
          <w:lang w:val="fr-FR"/>
        </w:rPr>
        <w:t> </w:t>
      </w:r>
      <w:r w:rsidRPr="00C23C04">
        <w:rPr>
          <w:i/>
          <w:lang w:val="fr-FR"/>
        </w:rPr>
        <w:t>7.12 du Manuel de l</w:t>
      </w:r>
      <w:r w:rsidR="00C4766A" w:rsidRPr="00C23C04">
        <w:rPr>
          <w:i/>
          <w:lang w:val="fr-FR"/>
        </w:rPr>
        <w:t>’</w:t>
      </w:r>
      <w:r w:rsidRPr="00C23C04">
        <w:rPr>
          <w:i/>
          <w:lang w:val="fr-FR"/>
        </w:rPr>
        <w:t xml:space="preserve">OMPI, comme indiqué au </w:t>
      </w:r>
      <w:r w:rsidR="00C4766A" w:rsidRPr="00C23C04">
        <w:rPr>
          <w:i/>
          <w:lang w:val="fr-FR"/>
        </w:rPr>
        <w:t>paragraphe 1</w:t>
      </w:r>
      <w:r w:rsidRPr="00C23C04">
        <w:rPr>
          <w:i/>
          <w:lang w:val="fr-FR"/>
        </w:rPr>
        <w:t>.c),</w:t>
      </w:r>
    </w:p>
    <w:p w:rsidR="00617D81" w:rsidRPr="00C23C04" w:rsidRDefault="00CD0C28" w:rsidP="00F24288">
      <w:pPr>
        <w:pStyle w:val="ONUMFS"/>
        <w:numPr>
          <w:ilvl w:val="1"/>
          <w:numId w:val="6"/>
        </w:numPr>
        <w:spacing w:after="120"/>
        <w:ind w:left="5534" w:firstLine="703"/>
        <w:rPr>
          <w:i/>
          <w:lang w:val="fr-FR"/>
        </w:rPr>
      </w:pPr>
      <w:r w:rsidRPr="00C23C04">
        <w:rPr>
          <w:i/>
          <w:lang w:val="fr-FR"/>
        </w:rPr>
        <w:t xml:space="preserve">à encourager les offices de propriété intellectuelle qui </w:t>
      </w:r>
      <w:r w:rsidR="006603CD" w:rsidRPr="00C23C04">
        <w:rPr>
          <w:i/>
          <w:lang w:val="fr-FR"/>
        </w:rPr>
        <w:t>ne l</w:t>
      </w:r>
      <w:r w:rsidR="00C4766A" w:rsidRPr="00C23C04">
        <w:rPr>
          <w:i/>
          <w:lang w:val="fr-FR"/>
        </w:rPr>
        <w:t>’</w:t>
      </w:r>
      <w:r w:rsidR="006603CD" w:rsidRPr="00C23C04">
        <w:rPr>
          <w:i/>
          <w:lang w:val="fr-FR"/>
        </w:rPr>
        <w:t>ont pas encore fait à répondre à l</w:t>
      </w:r>
      <w:r w:rsidR="00C4766A" w:rsidRPr="00C23C04">
        <w:rPr>
          <w:i/>
          <w:lang w:val="fr-FR"/>
        </w:rPr>
        <w:t>’</w:t>
      </w:r>
      <w:r w:rsidR="006603CD" w:rsidRPr="00C23C04">
        <w:rPr>
          <w:i/>
          <w:lang w:val="fr-FR"/>
        </w:rPr>
        <w:t>enquête</w:t>
      </w:r>
      <w:r w:rsidRPr="00C23C04">
        <w:rPr>
          <w:i/>
          <w:lang w:val="fr-FR"/>
        </w:rPr>
        <w:t xml:space="preserve">, comme indiqué au </w:t>
      </w:r>
      <w:r w:rsidR="00C4766A" w:rsidRPr="00C23C04">
        <w:rPr>
          <w:i/>
          <w:lang w:val="fr-FR"/>
        </w:rPr>
        <w:t>paragraphe 5</w:t>
      </w:r>
      <w:r w:rsidRPr="00C23C04">
        <w:rPr>
          <w:i/>
          <w:lang w:val="fr-FR"/>
        </w:rPr>
        <w:t>,</w:t>
      </w:r>
    </w:p>
    <w:p w:rsidR="00617D81" w:rsidRPr="00C23C04" w:rsidRDefault="00595122" w:rsidP="00F24288">
      <w:pPr>
        <w:pStyle w:val="ONUMFS"/>
        <w:numPr>
          <w:ilvl w:val="1"/>
          <w:numId w:val="6"/>
        </w:numPr>
        <w:spacing w:after="120"/>
        <w:ind w:left="5534" w:firstLine="703"/>
        <w:rPr>
          <w:i/>
          <w:lang w:val="fr-FR"/>
        </w:rPr>
      </w:pPr>
      <w:r w:rsidRPr="00C23C04">
        <w:rPr>
          <w:i/>
          <w:lang w:val="fr-FR"/>
        </w:rPr>
        <w:t>à examiner la question du transfert des normes</w:t>
      </w:r>
      <w:r w:rsidR="00524CEB" w:rsidRPr="00C23C04">
        <w:rPr>
          <w:i/>
          <w:lang w:val="fr-FR"/>
        </w:rPr>
        <w:t> </w:t>
      </w:r>
      <w:r w:rsidRPr="00C23C04">
        <w:rPr>
          <w:i/>
          <w:lang w:val="fr-FR"/>
        </w:rPr>
        <w:t xml:space="preserve">ST.7 </w:t>
      </w:r>
      <w:r w:rsidR="001B2ADF" w:rsidRPr="00C23C04">
        <w:rPr>
          <w:i/>
          <w:lang w:val="fr-FR"/>
        </w:rPr>
        <w:t xml:space="preserve">à </w:t>
      </w:r>
      <w:r w:rsidRPr="00C23C04">
        <w:rPr>
          <w:i/>
          <w:lang w:val="fr-FR"/>
        </w:rPr>
        <w:t>ST.7/</w:t>
      </w:r>
      <w:r w:rsidR="001B2ADF" w:rsidRPr="00C23C04">
        <w:rPr>
          <w:i/>
          <w:lang w:val="fr-FR"/>
        </w:rPr>
        <w:t>F</w:t>
      </w:r>
      <w:r w:rsidRPr="00C23C04">
        <w:rPr>
          <w:i/>
          <w:lang w:val="fr-FR"/>
        </w:rPr>
        <w:t xml:space="preserve"> et </w:t>
      </w:r>
      <w:r w:rsidR="001B2ADF" w:rsidRPr="00C23C04">
        <w:rPr>
          <w:i/>
          <w:lang w:val="fr-FR"/>
        </w:rPr>
        <w:t>de la norme</w:t>
      </w:r>
      <w:r w:rsidR="00524CEB" w:rsidRPr="00C23C04">
        <w:rPr>
          <w:i/>
          <w:lang w:val="fr-FR"/>
        </w:rPr>
        <w:t> </w:t>
      </w:r>
      <w:r w:rsidRPr="00C23C04">
        <w:rPr>
          <w:i/>
          <w:lang w:val="fr-FR"/>
        </w:rPr>
        <w:t>ST.30</w:t>
      </w:r>
      <w:r w:rsidR="001B2ADF" w:rsidRPr="00C23C04">
        <w:rPr>
          <w:i/>
          <w:lang w:val="fr-FR"/>
        </w:rPr>
        <w:t xml:space="preserve"> </w:t>
      </w:r>
      <w:r w:rsidRPr="00C23C04">
        <w:rPr>
          <w:i/>
          <w:lang w:val="fr-FR"/>
        </w:rPr>
        <w:t>du Manuel de l</w:t>
      </w:r>
      <w:r w:rsidR="00C4766A" w:rsidRPr="00C23C04">
        <w:rPr>
          <w:i/>
          <w:lang w:val="fr-FR"/>
        </w:rPr>
        <w:t>’</w:t>
      </w:r>
      <w:r w:rsidRPr="00C23C04">
        <w:rPr>
          <w:i/>
          <w:lang w:val="fr-FR"/>
        </w:rPr>
        <w:t xml:space="preserve">OMPI à la section </w:t>
      </w:r>
      <w:r w:rsidR="00524CEB" w:rsidRPr="00C23C04">
        <w:rPr>
          <w:i/>
          <w:lang w:val="fr-FR"/>
        </w:rPr>
        <w:t>“</w:t>
      </w:r>
      <w:r w:rsidRPr="00C23C04">
        <w:rPr>
          <w:i/>
          <w:lang w:val="fr-FR"/>
        </w:rPr>
        <w:t>Archives</w:t>
      </w:r>
      <w:r w:rsidR="00524CEB" w:rsidRPr="00C23C04">
        <w:rPr>
          <w:i/>
          <w:lang w:val="fr-FR"/>
        </w:rPr>
        <w:t>”</w:t>
      </w:r>
      <w:r w:rsidRPr="00C23C04">
        <w:rPr>
          <w:i/>
          <w:lang w:val="fr-FR"/>
        </w:rPr>
        <w:t xml:space="preserve"> et à se prononcer à cet égard, comme indiqué au </w:t>
      </w:r>
      <w:r w:rsidR="00C4766A" w:rsidRPr="00C23C04">
        <w:rPr>
          <w:i/>
          <w:lang w:val="fr-FR"/>
        </w:rPr>
        <w:t>paragraphe 9</w:t>
      </w:r>
      <w:r w:rsidRPr="00C23C04">
        <w:rPr>
          <w:i/>
          <w:lang w:val="fr-FR"/>
        </w:rPr>
        <w:t>,</w:t>
      </w:r>
    </w:p>
    <w:p w:rsidR="00617D81" w:rsidRPr="00C23C04" w:rsidRDefault="00F83B80" w:rsidP="00F24288">
      <w:pPr>
        <w:pStyle w:val="ONUMFS"/>
        <w:numPr>
          <w:ilvl w:val="1"/>
          <w:numId w:val="6"/>
        </w:numPr>
        <w:spacing w:after="120"/>
        <w:ind w:left="5534" w:firstLine="703"/>
        <w:rPr>
          <w:i/>
          <w:lang w:val="fr-FR"/>
        </w:rPr>
      </w:pPr>
      <w:r w:rsidRPr="00C23C04">
        <w:rPr>
          <w:i/>
          <w:lang w:val="fr-FR"/>
        </w:rPr>
        <w:t>à f</w:t>
      </w:r>
      <w:r w:rsidR="00903439" w:rsidRPr="00C23C04">
        <w:rPr>
          <w:i/>
          <w:lang w:val="fr-FR"/>
        </w:rPr>
        <w:t>aire part de son avis</w:t>
      </w:r>
      <w:r w:rsidR="00595122" w:rsidRPr="00C23C04">
        <w:rPr>
          <w:i/>
          <w:lang w:val="fr-FR"/>
        </w:rPr>
        <w:t xml:space="preserve"> quant </w:t>
      </w:r>
      <w:r w:rsidRPr="00C23C04">
        <w:rPr>
          <w:i/>
          <w:lang w:val="fr-FR"/>
        </w:rPr>
        <w:t>aux</w:t>
      </w:r>
      <w:r w:rsidR="00595122" w:rsidRPr="00C23C04">
        <w:rPr>
          <w:i/>
          <w:lang w:val="fr-FR"/>
        </w:rPr>
        <w:t xml:space="preserve"> normes de l</w:t>
      </w:r>
      <w:r w:rsidR="00C4766A" w:rsidRPr="00C23C04">
        <w:rPr>
          <w:i/>
          <w:lang w:val="fr-FR"/>
        </w:rPr>
        <w:t>’</w:t>
      </w:r>
      <w:r w:rsidR="00595122" w:rsidRPr="00C23C04">
        <w:rPr>
          <w:i/>
          <w:lang w:val="fr-FR"/>
        </w:rPr>
        <w:t xml:space="preserve">OMPI indiquées aux </w:t>
      </w:r>
      <w:r w:rsidR="00C4766A" w:rsidRPr="00C23C04">
        <w:rPr>
          <w:i/>
          <w:lang w:val="fr-FR"/>
        </w:rPr>
        <w:t>paragraphes 1</w:t>
      </w:r>
      <w:r w:rsidR="00595122" w:rsidRPr="00C23C04">
        <w:rPr>
          <w:i/>
          <w:lang w:val="fr-FR"/>
        </w:rPr>
        <w:t>0 et 11</w:t>
      </w:r>
      <w:r w:rsidR="006544E4" w:rsidRPr="00C23C04">
        <w:rPr>
          <w:i/>
          <w:lang w:val="fr-FR"/>
        </w:rPr>
        <w:t xml:space="preserve"> et</w:t>
      </w:r>
    </w:p>
    <w:p w:rsidR="00617D81" w:rsidRPr="00C23C04" w:rsidRDefault="003130C3" w:rsidP="00465553">
      <w:pPr>
        <w:pStyle w:val="ONUMFS"/>
        <w:numPr>
          <w:ilvl w:val="1"/>
          <w:numId w:val="6"/>
        </w:numPr>
        <w:tabs>
          <w:tab w:val="left" w:pos="6237"/>
        </w:tabs>
        <w:spacing w:after="0"/>
        <w:ind w:left="5533" w:firstLine="704"/>
        <w:rPr>
          <w:i/>
          <w:lang w:val="fr-FR"/>
        </w:rPr>
      </w:pPr>
      <w:r w:rsidRPr="00C23C04">
        <w:rPr>
          <w:i/>
          <w:lang w:val="fr-FR"/>
        </w:rPr>
        <w:t>à demander au Bureau international d</w:t>
      </w:r>
      <w:r w:rsidR="00C4766A" w:rsidRPr="00C23C04">
        <w:rPr>
          <w:i/>
          <w:lang w:val="fr-FR"/>
        </w:rPr>
        <w:t>’</w:t>
      </w:r>
      <w:r w:rsidRPr="00C23C04">
        <w:rPr>
          <w:i/>
          <w:lang w:val="fr-FR"/>
        </w:rPr>
        <w:t>assurer le suiv</w:t>
      </w:r>
      <w:r w:rsidR="004A1EB0" w:rsidRPr="00C23C04">
        <w:rPr>
          <w:i/>
          <w:lang w:val="fr-FR"/>
        </w:rPr>
        <w:t>i des s</w:t>
      </w:r>
      <w:r w:rsidR="00903439" w:rsidRPr="00C23C04">
        <w:rPr>
          <w:i/>
          <w:lang w:val="fr-FR"/>
        </w:rPr>
        <w:t>ituations</w:t>
      </w:r>
      <w:r w:rsidR="004A1EB0" w:rsidRPr="00C23C04">
        <w:rPr>
          <w:i/>
          <w:lang w:val="fr-FR"/>
        </w:rPr>
        <w:t xml:space="preserve"> visé</w:t>
      </w:r>
      <w:r w:rsidR="00903439" w:rsidRPr="00C23C04">
        <w:rPr>
          <w:i/>
          <w:lang w:val="fr-FR"/>
        </w:rPr>
        <w:t>e</w:t>
      </w:r>
      <w:r w:rsidR="004A1EB0" w:rsidRPr="00C23C04">
        <w:rPr>
          <w:i/>
          <w:lang w:val="fr-FR"/>
        </w:rPr>
        <w:t xml:space="preserve">s au </w:t>
      </w:r>
      <w:r w:rsidR="00C4766A" w:rsidRPr="00C23C04">
        <w:rPr>
          <w:i/>
          <w:lang w:val="fr-FR"/>
        </w:rPr>
        <w:t>paragraphe 8</w:t>
      </w:r>
      <w:r w:rsidR="004A1EB0" w:rsidRPr="00C23C04">
        <w:rPr>
          <w:i/>
          <w:lang w:val="fr-FR"/>
        </w:rPr>
        <w:t>.</w:t>
      </w:r>
      <w:r w:rsidRPr="00C23C04">
        <w:rPr>
          <w:i/>
          <w:lang w:val="fr-FR"/>
        </w:rPr>
        <w:t xml:space="preserve">c) </w:t>
      </w:r>
      <w:r w:rsidR="004A1EB0" w:rsidRPr="00C23C04">
        <w:rPr>
          <w:i/>
          <w:lang w:val="fr-FR"/>
        </w:rPr>
        <w:t>et</w:t>
      </w:r>
      <w:r w:rsidRPr="00C23C04">
        <w:rPr>
          <w:i/>
          <w:lang w:val="fr-FR"/>
        </w:rPr>
        <w:t xml:space="preserve"> d</w:t>
      </w:r>
      <w:r w:rsidR="00C4766A" w:rsidRPr="00C23C04">
        <w:rPr>
          <w:i/>
          <w:lang w:val="fr-FR"/>
        </w:rPr>
        <w:t>’</w:t>
      </w:r>
      <w:r w:rsidRPr="00C23C04">
        <w:rPr>
          <w:i/>
          <w:lang w:val="fr-FR"/>
        </w:rPr>
        <w:t>autres s</w:t>
      </w:r>
      <w:r w:rsidR="00903439" w:rsidRPr="00C23C04">
        <w:rPr>
          <w:i/>
          <w:lang w:val="fr-FR"/>
        </w:rPr>
        <w:t>ituations appelant des efforts</w:t>
      </w:r>
      <w:r w:rsidRPr="00C23C04">
        <w:rPr>
          <w:i/>
          <w:lang w:val="fr-FR"/>
        </w:rPr>
        <w:t xml:space="preserve"> de sensibilisation et </w:t>
      </w:r>
      <w:r w:rsidR="00903439" w:rsidRPr="00C23C04">
        <w:rPr>
          <w:i/>
          <w:lang w:val="fr-FR"/>
        </w:rPr>
        <w:t>d’</w:t>
      </w:r>
      <w:r w:rsidRPr="00C23C04">
        <w:rPr>
          <w:i/>
          <w:lang w:val="fr-FR"/>
        </w:rPr>
        <w:t xml:space="preserve">assistance technique, </w:t>
      </w:r>
      <w:r w:rsidR="00903439" w:rsidRPr="00C23C04">
        <w:rPr>
          <w:i/>
          <w:lang w:val="fr-FR"/>
        </w:rPr>
        <w:t>à</w:t>
      </w:r>
      <w:r w:rsidRPr="00C23C04">
        <w:rPr>
          <w:i/>
          <w:lang w:val="fr-FR"/>
        </w:rPr>
        <w:t xml:space="preserve"> fournir une </w:t>
      </w:r>
      <w:r w:rsidR="004A1EB0" w:rsidRPr="00C23C04">
        <w:rPr>
          <w:i/>
          <w:lang w:val="fr-FR"/>
        </w:rPr>
        <w:t xml:space="preserve">assistance le cas échéant, et </w:t>
      </w:r>
      <w:r w:rsidR="00903439" w:rsidRPr="00C23C04">
        <w:rPr>
          <w:i/>
          <w:lang w:val="fr-FR"/>
        </w:rPr>
        <w:t xml:space="preserve">à </w:t>
      </w:r>
      <w:r w:rsidRPr="00C23C04">
        <w:rPr>
          <w:i/>
          <w:lang w:val="fr-FR"/>
        </w:rPr>
        <w:t xml:space="preserve">inclure les résultats dans le </w:t>
      </w:r>
      <w:r w:rsidR="00EF52E5" w:rsidRPr="00C23C04">
        <w:rPr>
          <w:i/>
          <w:lang w:val="fr-FR"/>
        </w:rPr>
        <w:t xml:space="preserve">Rapport présenté </w:t>
      </w:r>
      <w:r w:rsidR="00903439" w:rsidRPr="00C23C04">
        <w:rPr>
          <w:i/>
          <w:lang w:val="fr-FR"/>
        </w:rPr>
        <w:t xml:space="preserve">au CWS </w:t>
      </w:r>
      <w:r w:rsidR="00EF52E5" w:rsidRPr="00C23C04">
        <w:rPr>
          <w:i/>
          <w:lang w:val="fr-FR"/>
        </w:rPr>
        <w:t>par le Bureau international sur la prestation de services consultatifs et d</w:t>
      </w:r>
      <w:r w:rsidR="00C4766A" w:rsidRPr="00C23C04">
        <w:rPr>
          <w:i/>
          <w:lang w:val="fr-FR"/>
        </w:rPr>
        <w:t>’</w:t>
      </w:r>
      <w:r w:rsidR="00EF52E5" w:rsidRPr="00C23C04">
        <w:rPr>
          <w:i/>
          <w:lang w:val="fr-FR"/>
        </w:rPr>
        <w:t>assistance technique aux fins du renforcement des capacités des offices de propriété industrielle</w:t>
      </w:r>
      <w:r w:rsidRPr="00C23C04">
        <w:rPr>
          <w:i/>
          <w:lang w:val="fr-FR"/>
        </w:rPr>
        <w:t>.</w:t>
      </w:r>
    </w:p>
    <w:p w:rsidR="00617D81" w:rsidRPr="00C23C04" w:rsidRDefault="00617D81" w:rsidP="00225898">
      <w:pPr>
        <w:pStyle w:val="Endofdocument-Annex"/>
        <w:rPr>
          <w:lang w:val="fr-FR"/>
        </w:rPr>
      </w:pPr>
    </w:p>
    <w:p w:rsidR="00617D81" w:rsidRPr="00C23C04" w:rsidRDefault="00617D81" w:rsidP="00225898">
      <w:pPr>
        <w:pStyle w:val="Endofdocument-Annex"/>
        <w:rPr>
          <w:lang w:val="fr-FR"/>
        </w:rPr>
      </w:pPr>
    </w:p>
    <w:p w:rsidR="00961922" w:rsidRPr="00C23C04" w:rsidRDefault="003130C3" w:rsidP="00225898">
      <w:pPr>
        <w:pStyle w:val="Endofdocument-Annex"/>
        <w:rPr>
          <w:lang w:val="fr-FR"/>
        </w:rPr>
      </w:pPr>
      <w:r w:rsidRPr="00C23C04">
        <w:rPr>
          <w:lang w:val="fr-FR"/>
        </w:rPr>
        <w:t>[Fin du document]</w:t>
      </w:r>
    </w:p>
    <w:sectPr w:rsidR="00961922" w:rsidRPr="00C23C04" w:rsidSect="00F24288">
      <w:headerReference w:type="default" r:id="rId1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99" w:rsidRDefault="00595E99">
      <w:r>
        <w:separator/>
      </w:r>
    </w:p>
  </w:endnote>
  <w:endnote w:type="continuationSeparator" w:id="0">
    <w:p w:rsidR="00595E99" w:rsidRDefault="00595E99" w:rsidP="003B38C1">
      <w:r>
        <w:separator/>
      </w:r>
    </w:p>
    <w:p w:rsidR="00595E99" w:rsidRPr="003B38C1" w:rsidRDefault="00595E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5E99" w:rsidRPr="003B38C1" w:rsidRDefault="00595E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99" w:rsidRDefault="00595E99">
      <w:r>
        <w:separator/>
      </w:r>
    </w:p>
  </w:footnote>
  <w:footnote w:type="continuationSeparator" w:id="0">
    <w:p w:rsidR="00595E99" w:rsidRDefault="00595E99" w:rsidP="008B60B2">
      <w:r>
        <w:separator/>
      </w:r>
    </w:p>
    <w:p w:rsidR="00595E99" w:rsidRPr="00ED77FB" w:rsidRDefault="00595E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5E99" w:rsidRPr="00ED77FB" w:rsidRDefault="00595E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47" w:rsidRDefault="00CB0147" w:rsidP="00CB0147">
    <w:pPr>
      <w:pStyle w:val="Header"/>
      <w:jc w:val="right"/>
    </w:pPr>
    <w:r>
      <w:t>CWS/5/2</w:t>
    </w:r>
  </w:p>
  <w:p w:rsidR="00CB0147" w:rsidRDefault="00CB0147" w:rsidP="000D2CAB">
    <w:pPr>
      <w:pStyle w:val="Header"/>
      <w:jc w:val="right"/>
    </w:pPr>
    <w:proofErr w:type="gramStart"/>
    <w:r>
      <w:t>p</w:t>
    </w:r>
    <w:r w:rsidRPr="000D2CAB">
      <w:t>age</w:t>
    </w:r>
    <w:proofErr w:type="gramEnd"/>
    <w:r w:rsidRPr="000D2CAB">
      <w:t> </w:t>
    </w:r>
    <w:r w:rsidRPr="000D2CAB">
      <w:fldChar w:fldCharType="begin"/>
    </w:r>
    <w:r w:rsidRPr="000D2CAB">
      <w:instrText>PAGE   \* MERGEFORMAT</w:instrText>
    </w:r>
    <w:r w:rsidRPr="000D2CAB">
      <w:fldChar w:fldCharType="separate"/>
    </w:r>
    <w:r w:rsidR="001047A2">
      <w:rPr>
        <w:noProof/>
      </w:rPr>
      <w:t>3</w:t>
    </w:r>
    <w:r w:rsidRPr="000D2CAB">
      <w:fldChar w:fldCharType="end"/>
    </w:r>
  </w:p>
  <w:p w:rsidR="00CB0147" w:rsidRPr="000D2CAB" w:rsidRDefault="00CB0147" w:rsidP="000D2C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BA56F96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1C5354"/>
    <w:multiLevelType w:val="multilevel"/>
    <w:tmpl w:val="6B40E8C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3B4E60"/>
    <w:multiLevelType w:val="multilevel"/>
    <w:tmpl w:val="1670402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595E99"/>
    <w:rsid w:val="00003417"/>
    <w:rsid w:val="000259DA"/>
    <w:rsid w:val="00041B58"/>
    <w:rsid w:val="00043CAA"/>
    <w:rsid w:val="00075432"/>
    <w:rsid w:val="000968ED"/>
    <w:rsid w:val="000A5916"/>
    <w:rsid w:val="000F5E56"/>
    <w:rsid w:val="001047A2"/>
    <w:rsid w:val="001362EE"/>
    <w:rsid w:val="00145A40"/>
    <w:rsid w:val="00153E10"/>
    <w:rsid w:val="001647D5"/>
    <w:rsid w:val="001717EA"/>
    <w:rsid w:val="001832A6"/>
    <w:rsid w:val="00192518"/>
    <w:rsid w:val="001B0C67"/>
    <w:rsid w:val="001B2ADF"/>
    <w:rsid w:val="001D79B1"/>
    <w:rsid w:val="001E6D50"/>
    <w:rsid w:val="0021217E"/>
    <w:rsid w:val="00225898"/>
    <w:rsid w:val="002634C4"/>
    <w:rsid w:val="00263D3E"/>
    <w:rsid w:val="002854A2"/>
    <w:rsid w:val="00285AC8"/>
    <w:rsid w:val="002928D3"/>
    <w:rsid w:val="002B2B8F"/>
    <w:rsid w:val="002E13CC"/>
    <w:rsid w:val="002F1FE6"/>
    <w:rsid w:val="002F4E68"/>
    <w:rsid w:val="003055D0"/>
    <w:rsid w:val="00312F7F"/>
    <w:rsid w:val="003130C3"/>
    <w:rsid w:val="0032561A"/>
    <w:rsid w:val="003569F0"/>
    <w:rsid w:val="00361450"/>
    <w:rsid w:val="003673CF"/>
    <w:rsid w:val="003845C1"/>
    <w:rsid w:val="003A6F89"/>
    <w:rsid w:val="003B38C1"/>
    <w:rsid w:val="003C50F6"/>
    <w:rsid w:val="003E1376"/>
    <w:rsid w:val="003E2331"/>
    <w:rsid w:val="00423E3E"/>
    <w:rsid w:val="00427AF4"/>
    <w:rsid w:val="00444E82"/>
    <w:rsid w:val="004647DA"/>
    <w:rsid w:val="00465553"/>
    <w:rsid w:val="00474062"/>
    <w:rsid w:val="00477D6B"/>
    <w:rsid w:val="00491FB2"/>
    <w:rsid w:val="00494E5B"/>
    <w:rsid w:val="004A1EB0"/>
    <w:rsid w:val="004D1CBC"/>
    <w:rsid w:val="004D4E26"/>
    <w:rsid w:val="004E48FC"/>
    <w:rsid w:val="005019FF"/>
    <w:rsid w:val="005121B6"/>
    <w:rsid w:val="00524CEB"/>
    <w:rsid w:val="0053057A"/>
    <w:rsid w:val="00543DF1"/>
    <w:rsid w:val="0054421D"/>
    <w:rsid w:val="00560245"/>
    <w:rsid w:val="00560A29"/>
    <w:rsid w:val="005652B1"/>
    <w:rsid w:val="0056639B"/>
    <w:rsid w:val="005938AB"/>
    <w:rsid w:val="005938F5"/>
    <w:rsid w:val="00595122"/>
    <w:rsid w:val="00595E99"/>
    <w:rsid w:val="005B54F8"/>
    <w:rsid w:val="005C2361"/>
    <w:rsid w:val="005C6649"/>
    <w:rsid w:val="00605827"/>
    <w:rsid w:val="00610089"/>
    <w:rsid w:val="0061082F"/>
    <w:rsid w:val="006162F1"/>
    <w:rsid w:val="00617D81"/>
    <w:rsid w:val="00646050"/>
    <w:rsid w:val="006544E4"/>
    <w:rsid w:val="006603CD"/>
    <w:rsid w:val="006713CA"/>
    <w:rsid w:val="00676C5C"/>
    <w:rsid w:val="006C1E5A"/>
    <w:rsid w:val="006E0F16"/>
    <w:rsid w:val="006F28D6"/>
    <w:rsid w:val="00710D3F"/>
    <w:rsid w:val="007D1613"/>
    <w:rsid w:val="007D2CDC"/>
    <w:rsid w:val="007D48EB"/>
    <w:rsid w:val="007E4C0E"/>
    <w:rsid w:val="00810E3E"/>
    <w:rsid w:val="00815385"/>
    <w:rsid w:val="0089013F"/>
    <w:rsid w:val="008B2CC1"/>
    <w:rsid w:val="008B60B2"/>
    <w:rsid w:val="008B66FE"/>
    <w:rsid w:val="008E2D4E"/>
    <w:rsid w:val="009021B9"/>
    <w:rsid w:val="00903439"/>
    <w:rsid w:val="0090731E"/>
    <w:rsid w:val="00911B10"/>
    <w:rsid w:val="00916EE2"/>
    <w:rsid w:val="00961922"/>
    <w:rsid w:val="00966A22"/>
    <w:rsid w:val="0096722F"/>
    <w:rsid w:val="00980843"/>
    <w:rsid w:val="009B75B0"/>
    <w:rsid w:val="009C6315"/>
    <w:rsid w:val="009D1B49"/>
    <w:rsid w:val="009E2791"/>
    <w:rsid w:val="009E3F6F"/>
    <w:rsid w:val="009E77D7"/>
    <w:rsid w:val="009F499F"/>
    <w:rsid w:val="00A0741C"/>
    <w:rsid w:val="00A2788C"/>
    <w:rsid w:val="00A42DAF"/>
    <w:rsid w:val="00A45BD8"/>
    <w:rsid w:val="00A70105"/>
    <w:rsid w:val="00A8699D"/>
    <w:rsid w:val="00A869B7"/>
    <w:rsid w:val="00AC205C"/>
    <w:rsid w:val="00AF0A6B"/>
    <w:rsid w:val="00B05A69"/>
    <w:rsid w:val="00B42AE5"/>
    <w:rsid w:val="00B727CB"/>
    <w:rsid w:val="00B9734B"/>
    <w:rsid w:val="00BA30E2"/>
    <w:rsid w:val="00BB2CEE"/>
    <w:rsid w:val="00BB7828"/>
    <w:rsid w:val="00BC1670"/>
    <w:rsid w:val="00BF5583"/>
    <w:rsid w:val="00C11BFE"/>
    <w:rsid w:val="00C23C04"/>
    <w:rsid w:val="00C33401"/>
    <w:rsid w:val="00C34A78"/>
    <w:rsid w:val="00C45DA8"/>
    <w:rsid w:val="00C4766A"/>
    <w:rsid w:val="00C5068F"/>
    <w:rsid w:val="00C86D74"/>
    <w:rsid w:val="00CB0147"/>
    <w:rsid w:val="00CD04F1"/>
    <w:rsid w:val="00CD0C28"/>
    <w:rsid w:val="00CF3095"/>
    <w:rsid w:val="00D147EA"/>
    <w:rsid w:val="00D45252"/>
    <w:rsid w:val="00D63E32"/>
    <w:rsid w:val="00D71B4D"/>
    <w:rsid w:val="00D93D55"/>
    <w:rsid w:val="00DB7CD3"/>
    <w:rsid w:val="00DD18AA"/>
    <w:rsid w:val="00DE148E"/>
    <w:rsid w:val="00E10E9D"/>
    <w:rsid w:val="00E15015"/>
    <w:rsid w:val="00E24EC0"/>
    <w:rsid w:val="00E335FE"/>
    <w:rsid w:val="00E66CD8"/>
    <w:rsid w:val="00E6779B"/>
    <w:rsid w:val="00EB3C81"/>
    <w:rsid w:val="00EB7CD5"/>
    <w:rsid w:val="00EC4E49"/>
    <w:rsid w:val="00ED4DD2"/>
    <w:rsid w:val="00ED77FB"/>
    <w:rsid w:val="00EE45FA"/>
    <w:rsid w:val="00EF408D"/>
    <w:rsid w:val="00EF52E5"/>
    <w:rsid w:val="00F17F11"/>
    <w:rsid w:val="00F24288"/>
    <w:rsid w:val="00F52E71"/>
    <w:rsid w:val="00F66152"/>
    <w:rsid w:val="00F83B80"/>
    <w:rsid w:val="00F8569B"/>
    <w:rsid w:val="00F959F4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B014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B014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3.wipo.int/confluence/x/MALDB" TargetMode="External"/><Relationship Id="rId18" Type="http://schemas.openxmlformats.org/officeDocument/2006/relationships/hyperlink" Target="http://www.wipo.int/export/sites/www/standards/en/pdf/standards-brochure-web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ws.surveys@wipo.int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confluence/x/OALDB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www3.wipo.int/confluence/x/OADDB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Sheet1!$A$3:$A$5</c:f>
              <c:strCache>
                <c:ptCount val="3"/>
                <c:pt idx="0">
                  <c:v>Standards related to outdated technologies (sub-paragraph 8(a))</c:v>
                </c:pt>
                <c:pt idx="1">
                  <c:v>Administrative constraints (sub-paragraph 8(b))</c:v>
                </c:pt>
                <c:pt idx="2">
                  <c:v>Awareness and technical assistance required (sub-paragraph 8(c))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20</c:v>
                </c:pt>
                <c:pt idx="1">
                  <c:v>23</c:v>
                </c:pt>
                <c:pt idx="2">
                  <c:v>4</c:v>
                </c:pt>
              </c:numCache>
            </c:numRef>
          </c:val>
        </c:ser>
        <c:dLbls>
          <c:dLblPos val="ctr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A1FA-6C7C-4E47-8222-4E327A87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 (in French)</dc:title>
  <dc:subject>Report on the Survey on the Use of WIPO Standards</dc:subject>
  <dc:creator/>
  <cp:keywords>CWS</cp:keywords>
  <cp:lastModifiedBy/>
  <cp:revision>1</cp:revision>
  <dcterms:created xsi:type="dcterms:W3CDTF">2017-04-28T09:28:00Z</dcterms:created>
  <dcterms:modified xsi:type="dcterms:W3CDTF">2017-04-28T10:02:00Z</dcterms:modified>
</cp:coreProperties>
</file>