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71E" w:rsidRPr="00804849" w:rsidRDefault="00804849" w:rsidP="00804849">
      <w:pPr>
        <w:pStyle w:val="Heading1"/>
        <w:rPr>
          <w:lang w:val="fr-FR"/>
        </w:rPr>
      </w:pPr>
      <w:bookmarkStart w:id="0" w:name="_GoBack"/>
      <w:bookmarkEnd w:id="0"/>
      <w:r w:rsidRPr="00804849">
        <w:rPr>
          <w:lang w:val="fr-FR"/>
        </w:rPr>
        <w:t>ordre du jour</w:t>
      </w:r>
    </w:p>
    <w:p w:rsidR="00E1471E" w:rsidRPr="00804849" w:rsidRDefault="00E1471E" w:rsidP="00E1471E">
      <w:pPr>
        <w:rPr>
          <w:lang w:val="fr-FR"/>
        </w:rPr>
      </w:pPr>
    </w:p>
    <w:p w:rsidR="001751C9" w:rsidRPr="00804849" w:rsidRDefault="001751C9" w:rsidP="001751C9">
      <w:pPr>
        <w:pStyle w:val="ONUMFS"/>
        <w:ind w:left="567" w:hanging="567"/>
        <w:rPr>
          <w:lang w:val="fr-FR"/>
        </w:rPr>
      </w:pPr>
      <w:r w:rsidRPr="00804849">
        <w:rPr>
          <w:lang w:val="fr-FR"/>
        </w:rPr>
        <w:t>Ouverture de la reprise de la session</w:t>
      </w:r>
    </w:p>
    <w:p w:rsidR="001751C9" w:rsidRPr="00804849" w:rsidRDefault="001751C9" w:rsidP="001751C9">
      <w:pPr>
        <w:pStyle w:val="ONUMFS"/>
        <w:ind w:left="567" w:hanging="567"/>
        <w:rPr>
          <w:lang w:val="fr-FR"/>
        </w:rPr>
      </w:pPr>
      <w:r w:rsidRPr="00804849">
        <w:rPr>
          <w:lang w:val="fr-FR"/>
        </w:rPr>
        <w:t>Élection d’un président et de deux vice</w:t>
      </w:r>
      <w:r w:rsidRPr="00804849">
        <w:rPr>
          <w:lang w:val="fr-FR"/>
        </w:rPr>
        <w:noBreakHyphen/>
        <w:t>présidents</w:t>
      </w:r>
    </w:p>
    <w:p w:rsidR="005427CB" w:rsidRPr="00804849" w:rsidRDefault="001751C9" w:rsidP="001751C9">
      <w:pPr>
        <w:pStyle w:val="ONUMFS"/>
        <w:ind w:left="567" w:hanging="567"/>
        <w:rPr>
          <w:lang w:val="fr-FR"/>
        </w:rPr>
      </w:pPr>
      <w:r w:rsidRPr="00804849">
        <w:rPr>
          <w:lang w:val="fr-FR"/>
        </w:rPr>
        <w:t>Adoption de l’ordre du jour</w:t>
      </w:r>
    </w:p>
    <w:p w:rsidR="001751C9" w:rsidRPr="00804849" w:rsidRDefault="001751C9" w:rsidP="001751C9">
      <w:pPr>
        <w:pStyle w:val="ONUMFS"/>
        <w:ind w:left="567" w:hanging="567"/>
        <w:rPr>
          <w:lang w:val="fr-FR"/>
        </w:rPr>
      </w:pPr>
      <w:r w:rsidRPr="00804849">
        <w:rPr>
          <w:color w:val="000000"/>
          <w:lang w:val="fr-FR"/>
        </w:rPr>
        <w:t xml:space="preserve">Décisions de la </w:t>
      </w:r>
      <w:r w:rsidRPr="00804849">
        <w:rPr>
          <w:lang w:val="fr-FR"/>
        </w:rPr>
        <w:t>quarante</w:t>
      </w:r>
      <w:r w:rsidRPr="00804849">
        <w:rPr>
          <w:lang w:val="fr-FR"/>
        </w:rPr>
        <w:noBreakHyphen/>
        <w:t>septième session</w:t>
      </w:r>
      <w:r w:rsidRPr="00804849">
        <w:rPr>
          <w:color w:val="000000"/>
          <w:lang w:val="fr-FR"/>
        </w:rPr>
        <w:t xml:space="preserve"> de l’Assemblée générale concernant le CWS, y compris les affaires relatives au </w:t>
      </w:r>
      <w:r w:rsidRPr="00804849">
        <w:rPr>
          <w:lang w:val="fr-FR"/>
        </w:rPr>
        <w:t>Plan d’action pour le développement</w:t>
      </w:r>
      <w:r w:rsidRPr="00804849">
        <w:rPr>
          <w:rStyle w:val="FootnoteReference"/>
          <w:lang w:val="fr-FR"/>
        </w:rPr>
        <w:footnoteReference w:id="2"/>
      </w:r>
      <w:r w:rsidRPr="00804849">
        <w:rPr>
          <w:rStyle w:val="FootnoteReference"/>
          <w:lang w:val="fr-FR"/>
        </w:rPr>
        <w:t xml:space="preserve"> </w:t>
      </w:r>
      <w:r w:rsidRPr="00804849">
        <w:rPr>
          <w:color w:val="000000"/>
          <w:lang w:val="fr-FR"/>
        </w:rPr>
        <w:br/>
      </w:r>
      <w:r w:rsidRPr="00804849">
        <w:rPr>
          <w:color w:val="000000"/>
          <w:lang w:val="fr-FR"/>
        </w:rPr>
        <w:tab/>
        <w:t>Voir le document CWS/4BIS/2.</w:t>
      </w:r>
    </w:p>
    <w:p w:rsidR="001751C9" w:rsidRPr="00804849" w:rsidRDefault="001751C9" w:rsidP="001751C9">
      <w:pPr>
        <w:pStyle w:val="ONUMFS"/>
        <w:ind w:left="567" w:hanging="567"/>
        <w:rPr>
          <w:lang w:val="fr-FR"/>
        </w:rPr>
      </w:pPr>
      <w:r w:rsidRPr="00804849">
        <w:rPr>
          <w:color w:val="000000"/>
          <w:lang w:val="fr-FR"/>
        </w:rPr>
        <w:t>Proposition d’extension des activités du CWS au droit d’auteur dans le cadre de la norme ST.96 de l’OMPI</w:t>
      </w:r>
      <w:r w:rsidRPr="00804849">
        <w:rPr>
          <w:color w:val="000000"/>
          <w:lang w:val="fr-FR"/>
        </w:rPr>
        <w:br/>
      </w:r>
      <w:r w:rsidRPr="00804849">
        <w:rPr>
          <w:color w:val="000000"/>
          <w:lang w:val="fr-FR"/>
        </w:rPr>
        <w:tab/>
        <w:t>Voir le document CWS/4/3.</w:t>
      </w:r>
    </w:p>
    <w:p w:rsidR="001751C9" w:rsidRPr="00804849" w:rsidRDefault="001751C9" w:rsidP="001751C9">
      <w:pPr>
        <w:pStyle w:val="ONUMFS"/>
        <w:ind w:left="567" w:hanging="567"/>
        <w:rPr>
          <w:lang w:val="fr-FR"/>
        </w:rPr>
      </w:pPr>
      <w:r w:rsidRPr="00804849">
        <w:rPr>
          <w:color w:val="000000"/>
          <w:lang w:val="fr-FR"/>
        </w:rPr>
        <w:t>Questionnaire sur les systèmes de numérotation des demandes et des demandes établissant une priorité utilisés auparavant par les offices de propriété industrielle</w:t>
      </w:r>
      <w:r w:rsidRPr="00804849">
        <w:rPr>
          <w:color w:val="000000"/>
          <w:lang w:val="fr-FR"/>
        </w:rPr>
        <w:br/>
      </w:r>
      <w:r w:rsidRPr="00804849">
        <w:rPr>
          <w:color w:val="000000"/>
          <w:lang w:val="fr-FR"/>
        </w:rPr>
        <w:tab/>
        <w:t>Voir le document CWS/4/4.</w:t>
      </w:r>
    </w:p>
    <w:p w:rsidR="001751C9" w:rsidRPr="00804849" w:rsidRDefault="001751C9" w:rsidP="001751C9">
      <w:pPr>
        <w:pStyle w:val="ONUMFS"/>
        <w:ind w:left="567" w:hanging="567"/>
        <w:rPr>
          <w:lang w:val="fr-FR"/>
        </w:rPr>
      </w:pPr>
      <w:r w:rsidRPr="00804849">
        <w:rPr>
          <w:lang w:val="fr-FR"/>
        </w:rPr>
        <w:t>Révision de la norme ST.14 de l’OMPI</w:t>
      </w:r>
      <w:r w:rsidRPr="00804849">
        <w:rPr>
          <w:color w:val="000000"/>
          <w:lang w:val="fr-FR"/>
        </w:rPr>
        <w:br/>
      </w:r>
      <w:r w:rsidRPr="00804849">
        <w:rPr>
          <w:color w:val="000000"/>
          <w:lang w:val="fr-FR"/>
        </w:rPr>
        <w:tab/>
        <w:t>V</w:t>
      </w:r>
      <w:r w:rsidRPr="00804849">
        <w:rPr>
          <w:lang w:val="fr-FR"/>
        </w:rPr>
        <w:t>oir les documents CWS/4/5 et CWS/4BIS/3.</w:t>
      </w:r>
    </w:p>
    <w:p w:rsidR="001751C9" w:rsidRPr="00804849" w:rsidRDefault="001751C9" w:rsidP="001751C9">
      <w:pPr>
        <w:pStyle w:val="ONUMFS"/>
        <w:ind w:left="567" w:hanging="567"/>
        <w:rPr>
          <w:lang w:val="fr-FR"/>
        </w:rPr>
      </w:pPr>
      <w:r w:rsidRPr="00804849">
        <w:rPr>
          <w:lang w:val="fr-FR"/>
        </w:rPr>
        <w:t>Rapport sur l’état d’avancement de l’élaboration des annexes V et VI et de la révision de la norme ST.96 de l’OMPI</w:t>
      </w:r>
      <w:r w:rsidRPr="00804849">
        <w:rPr>
          <w:color w:val="000000"/>
          <w:lang w:val="fr-FR"/>
        </w:rPr>
        <w:br/>
      </w:r>
      <w:r w:rsidRPr="00804849">
        <w:rPr>
          <w:color w:val="000000"/>
          <w:lang w:val="fr-FR"/>
        </w:rPr>
        <w:tab/>
        <w:t>V</w:t>
      </w:r>
      <w:r w:rsidRPr="00804849">
        <w:rPr>
          <w:lang w:val="fr-FR"/>
        </w:rPr>
        <w:t>oir les documents CWS/4/6 et CWS/4BIS/4.</w:t>
      </w:r>
    </w:p>
    <w:p w:rsidR="001751C9" w:rsidRPr="00804849" w:rsidRDefault="001751C9" w:rsidP="001751C9">
      <w:pPr>
        <w:pStyle w:val="ONUMFS"/>
        <w:ind w:left="567" w:hanging="567"/>
        <w:rPr>
          <w:lang w:val="fr-FR"/>
        </w:rPr>
      </w:pPr>
      <w:r w:rsidRPr="00804849">
        <w:rPr>
          <w:color w:val="000000"/>
          <w:lang w:val="fr-FR"/>
        </w:rPr>
        <w:t>Nouvelle norme relative à la présentation du listage des séquences de nucléotides et d’acides aminés en langage XML (</w:t>
      </w:r>
      <w:proofErr w:type="spellStart"/>
      <w:r w:rsidRPr="00804849">
        <w:rPr>
          <w:color w:val="000000"/>
          <w:lang w:val="fr-FR"/>
        </w:rPr>
        <w:t>eXtensible</w:t>
      </w:r>
      <w:proofErr w:type="spellEnd"/>
      <w:r w:rsidRPr="00804849">
        <w:rPr>
          <w:color w:val="000000"/>
          <w:lang w:val="fr-FR"/>
        </w:rPr>
        <w:t xml:space="preserve"> </w:t>
      </w:r>
      <w:proofErr w:type="spellStart"/>
      <w:r w:rsidRPr="00804849">
        <w:rPr>
          <w:color w:val="000000"/>
          <w:lang w:val="fr-FR"/>
        </w:rPr>
        <w:t>Markup</w:t>
      </w:r>
      <w:proofErr w:type="spellEnd"/>
      <w:r w:rsidRPr="00804849">
        <w:rPr>
          <w:color w:val="000000"/>
          <w:lang w:val="fr-FR"/>
        </w:rPr>
        <w:t xml:space="preserve"> </w:t>
      </w:r>
      <w:proofErr w:type="spellStart"/>
      <w:r w:rsidRPr="00804849">
        <w:rPr>
          <w:color w:val="000000"/>
          <w:lang w:val="fr-FR"/>
        </w:rPr>
        <w:t>Language</w:t>
      </w:r>
      <w:proofErr w:type="spellEnd"/>
      <w:r w:rsidRPr="00804849">
        <w:rPr>
          <w:color w:val="000000"/>
          <w:lang w:val="fr-FR"/>
        </w:rPr>
        <w:t xml:space="preserve">) </w:t>
      </w:r>
      <w:r w:rsidRPr="00804849">
        <w:rPr>
          <w:color w:val="000000"/>
          <w:lang w:val="fr-FR"/>
        </w:rPr>
        <w:br/>
      </w:r>
      <w:r w:rsidRPr="00804849">
        <w:rPr>
          <w:color w:val="000000"/>
          <w:lang w:val="fr-FR"/>
        </w:rPr>
        <w:tab/>
        <w:t>Voir les documents CWS/4/7 et CWS/4/7 </w:t>
      </w:r>
      <w:proofErr w:type="spellStart"/>
      <w:r w:rsidRPr="00804849">
        <w:rPr>
          <w:color w:val="000000"/>
          <w:lang w:val="fr-FR"/>
        </w:rPr>
        <w:t>Add</w:t>
      </w:r>
      <w:proofErr w:type="spellEnd"/>
      <w:r w:rsidRPr="00804849">
        <w:rPr>
          <w:color w:val="000000"/>
          <w:lang w:val="fr-FR"/>
        </w:rPr>
        <w:t>.</w:t>
      </w:r>
    </w:p>
    <w:p w:rsidR="001751C9" w:rsidRPr="00804849" w:rsidRDefault="001751C9" w:rsidP="001751C9">
      <w:pPr>
        <w:pStyle w:val="ONUMFS"/>
        <w:ind w:left="567" w:hanging="567"/>
        <w:rPr>
          <w:lang w:val="fr-FR"/>
        </w:rPr>
      </w:pPr>
      <w:r w:rsidRPr="00804849">
        <w:rPr>
          <w:color w:val="000000"/>
          <w:lang w:val="fr-FR"/>
        </w:rPr>
        <w:t>Rapport sur l’état d’avancement de l’élaboration d’une proposition d’établissement d’une nouvelle norme de l’OMPI concernant l’échange de données sur la situation juridique des brevets par les offices de propriété industrielle</w:t>
      </w:r>
      <w:r w:rsidRPr="00804849">
        <w:rPr>
          <w:color w:val="000000"/>
          <w:lang w:val="fr-FR"/>
        </w:rPr>
        <w:br/>
      </w:r>
      <w:r w:rsidRPr="00804849">
        <w:rPr>
          <w:color w:val="000000"/>
          <w:lang w:val="fr-FR"/>
        </w:rPr>
        <w:tab/>
        <w:t>Voir les documents CWS/4/8 et CWS/4BIS/5.</w:t>
      </w:r>
    </w:p>
    <w:p w:rsidR="001751C9" w:rsidRPr="00804849" w:rsidRDefault="001751C9" w:rsidP="001751C9">
      <w:pPr>
        <w:pStyle w:val="ONUMFS"/>
        <w:ind w:left="567" w:hanging="567"/>
        <w:rPr>
          <w:lang w:val="fr-FR"/>
        </w:rPr>
      </w:pPr>
      <w:r w:rsidRPr="00804849">
        <w:rPr>
          <w:color w:val="000000"/>
          <w:lang w:val="fr-FR"/>
        </w:rPr>
        <w:t>Proposition de révision de la norme ST.60 de l’OMPI</w:t>
      </w:r>
      <w:r w:rsidRPr="00804849">
        <w:rPr>
          <w:color w:val="000000"/>
          <w:lang w:val="fr-FR"/>
        </w:rPr>
        <w:br/>
      </w:r>
      <w:r w:rsidRPr="00804849">
        <w:rPr>
          <w:color w:val="000000"/>
          <w:lang w:val="fr-FR"/>
        </w:rPr>
        <w:tab/>
        <w:t>Voir le document CWS/4/9.</w:t>
      </w:r>
    </w:p>
    <w:p w:rsidR="001751C9" w:rsidRPr="00804849" w:rsidRDefault="001751C9" w:rsidP="001751C9">
      <w:pPr>
        <w:pStyle w:val="ONUMFS"/>
        <w:ind w:left="567" w:hanging="567"/>
        <w:rPr>
          <w:lang w:val="fr-FR"/>
        </w:rPr>
      </w:pPr>
      <w:r w:rsidRPr="00804849">
        <w:rPr>
          <w:color w:val="000000"/>
          <w:lang w:val="fr-FR"/>
        </w:rPr>
        <w:t>Rapport sur l’état d’avancement de l’élaboration de recommandations concernant la gestion électronique :</w:t>
      </w:r>
    </w:p>
    <w:p w:rsidR="001751C9" w:rsidRPr="00804849" w:rsidRDefault="001751C9" w:rsidP="001751C9">
      <w:pPr>
        <w:pStyle w:val="ONUMFS"/>
        <w:numPr>
          <w:ilvl w:val="1"/>
          <w:numId w:val="6"/>
        </w:numPr>
        <w:ind w:left="1134" w:hanging="567"/>
        <w:rPr>
          <w:lang w:val="fr-FR"/>
        </w:rPr>
      </w:pPr>
      <w:r w:rsidRPr="00804849">
        <w:rPr>
          <w:color w:val="000000"/>
          <w:lang w:val="fr-FR"/>
        </w:rPr>
        <w:t>des marques sonores en vue de son adoption en tant que norme de l’OMPI;  et</w:t>
      </w:r>
    </w:p>
    <w:p w:rsidR="001751C9" w:rsidRPr="00804849" w:rsidRDefault="001751C9" w:rsidP="001751C9">
      <w:pPr>
        <w:pStyle w:val="ONUMFS"/>
        <w:numPr>
          <w:ilvl w:val="1"/>
          <w:numId w:val="6"/>
        </w:numPr>
        <w:ind w:left="1134" w:hanging="567"/>
        <w:rPr>
          <w:lang w:val="fr-FR"/>
        </w:rPr>
      </w:pPr>
      <w:r w:rsidRPr="00804849">
        <w:rPr>
          <w:color w:val="000000"/>
          <w:lang w:val="fr-FR"/>
        </w:rPr>
        <w:t>des marques de mouvement ou multimédias en vue de son adoption en tant que norme de l’OMPI.</w:t>
      </w:r>
      <w:r w:rsidRPr="00804849">
        <w:rPr>
          <w:color w:val="000000"/>
          <w:lang w:val="fr-FR"/>
        </w:rPr>
        <w:br/>
        <w:t>Voir le document CWS/4/10.</w:t>
      </w:r>
    </w:p>
    <w:p w:rsidR="001751C9" w:rsidRPr="00804849" w:rsidRDefault="001751C9" w:rsidP="001751C9">
      <w:pPr>
        <w:pStyle w:val="ONUMFS"/>
        <w:ind w:left="567" w:hanging="567"/>
        <w:rPr>
          <w:lang w:val="fr-FR"/>
        </w:rPr>
      </w:pPr>
      <w:r w:rsidRPr="00804849">
        <w:rPr>
          <w:color w:val="000000"/>
          <w:lang w:val="fr-FR"/>
        </w:rPr>
        <w:t xml:space="preserve">Tenue et mise à jour des études publiées dans le </w:t>
      </w:r>
      <w:r w:rsidRPr="00804849">
        <w:rPr>
          <w:i/>
          <w:color w:val="000000"/>
          <w:lang w:val="fr-FR"/>
        </w:rPr>
        <w:t>Manuel de l’OMPI sur l’information et la documentation en matière de propriété intellectuelle</w:t>
      </w:r>
      <w:r w:rsidRPr="00804849">
        <w:rPr>
          <w:color w:val="000000"/>
          <w:lang w:val="fr-FR"/>
        </w:rPr>
        <w:br/>
      </w:r>
      <w:r w:rsidRPr="00804849">
        <w:rPr>
          <w:color w:val="000000"/>
          <w:lang w:val="fr-FR"/>
        </w:rPr>
        <w:tab/>
        <w:t>Voir le document CWS/4BIS/6.</w:t>
      </w:r>
    </w:p>
    <w:p w:rsidR="001751C9" w:rsidRPr="00804849" w:rsidRDefault="001751C9" w:rsidP="001751C9">
      <w:pPr>
        <w:pStyle w:val="ONUMFS"/>
        <w:ind w:left="567" w:hanging="567"/>
        <w:rPr>
          <w:lang w:val="fr-FR"/>
        </w:rPr>
      </w:pPr>
      <w:r w:rsidRPr="00804849">
        <w:rPr>
          <w:lang w:val="fr-FR"/>
        </w:rPr>
        <w:lastRenderedPageBreak/>
        <w:t xml:space="preserve">Informations concernant l’entrée dans la phase nationale (régionale) des demandes internationales selon le PCT publiées </w:t>
      </w:r>
      <w:r w:rsidRPr="00804849">
        <w:rPr>
          <w:color w:val="000000"/>
          <w:lang w:val="fr-FR"/>
        </w:rPr>
        <w:br/>
      </w:r>
      <w:r w:rsidRPr="00804849">
        <w:rPr>
          <w:color w:val="000000"/>
          <w:lang w:val="fr-FR"/>
        </w:rPr>
        <w:tab/>
        <w:t>V</w:t>
      </w:r>
      <w:r w:rsidRPr="00804849">
        <w:rPr>
          <w:lang w:val="fr-FR"/>
        </w:rPr>
        <w:t>oir les documents CWS/4/12, CWS/4/12 </w:t>
      </w:r>
      <w:proofErr w:type="spellStart"/>
      <w:r w:rsidRPr="00804849">
        <w:rPr>
          <w:lang w:val="fr-FR"/>
        </w:rPr>
        <w:t>Add</w:t>
      </w:r>
      <w:proofErr w:type="spellEnd"/>
      <w:r w:rsidRPr="00804849">
        <w:rPr>
          <w:lang w:val="fr-FR"/>
        </w:rPr>
        <w:t>. et CWS/4BIS/7.</w:t>
      </w:r>
    </w:p>
    <w:p w:rsidR="001751C9" w:rsidRPr="00804849" w:rsidRDefault="001751C9" w:rsidP="001751C9">
      <w:pPr>
        <w:pStyle w:val="ONUMFS"/>
        <w:ind w:left="567" w:hanging="567"/>
        <w:rPr>
          <w:lang w:val="fr-FR"/>
        </w:rPr>
      </w:pPr>
      <w:r w:rsidRPr="00804849">
        <w:rPr>
          <w:lang w:val="fr-FR"/>
        </w:rPr>
        <w:t>Rapport présenté par le Bureau international sur la prestation de services consultatifs et d’assistance technique aux fins du renforcement des capacités des offices de propriété industrielle en rapport avec le mandat du CWS</w:t>
      </w:r>
      <w:r w:rsidRPr="00804849">
        <w:rPr>
          <w:color w:val="000000"/>
          <w:lang w:val="fr-FR"/>
        </w:rPr>
        <w:br/>
      </w:r>
      <w:r w:rsidRPr="00804849">
        <w:rPr>
          <w:color w:val="000000"/>
          <w:lang w:val="fr-FR"/>
        </w:rPr>
        <w:tab/>
        <w:t>V</w:t>
      </w:r>
      <w:r w:rsidRPr="00804849">
        <w:rPr>
          <w:lang w:val="fr-FR"/>
        </w:rPr>
        <w:t>oir le document CWS/4/13 et les paragraphes 17 à 22 du document WO/GA/47/13.</w:t>
      </w:r>
    </w:p>
    <w:p w:rsidR="001751C9" w:rsidRPr="00804849" w:rsidRDefault="001751C9" w:rsidP="001751C9">
      <w:pPr>
        <w:pStyle w:val="ONUMFS"/>
        <w:tabs>
          <w:tab w:val="clear" w:pos="567"/>
          <w:tab w:val="num" w:pos="1134"/>
        </w:tabs>
        <w:ind w:left="567" w:hanging="567"/>
        <w:rPr>
          <w:lang w:val="fr-FR"/>
        </w:rPr>
      </w:pPr>
      <w:r w:rsidRPr="00804849">
        <w:rPr>
          <w:color w:val="000000"/>
          <w:lang w:val="fr-FR"/>
        </w:rPr>
        <w:t>Rapport sur l’état d’avancement de la tâche n° 44 établi par l’équipe d’experts SEQL</w:t>
      </w:r>
      <w:r w:rsidRPr="00804849">
        <w:rPr>
          <w:color w:val="000000"/>
          <w:lang w:val="fr-FR"/>
        </w:rPr>
        <w:br/>
        <w:t xml:space="preserve"> </w:t>
      </w:r>
      <w:r w:rsidRPr="00804849">
        <w:rPr>
          <w:color w:val="000000"/>
          <w:lang w:val="fr-FR"/>
        </w:rPr>
        <w:tab/>
        <w:t xml:space="preserve">Voir le </w:t>
      </w:r>
      <w:r w:rsidRPr="00804849">
        <w:rPr>
          <w:lang w:val="fr-FR"/>
        </w:rPr>
        <w:t>document</w:t>
      </w:r>
      <w:r w:rsidRPr="00804849">
        <w:rPr>
          <w:color w:val="000000"/>
          <w:lang w:val="fr-FR"/>
        </w:rPr>
        <w:t xml:space="preserve"> CWS/4BIS/8.</w:t>
      </w:r>
    </w:p>
    <w:p w:rsidR="001751C9" w:rsidRPr="00804849" w:rsidRDefault="001751C9" w:rsidP="001751C9">
      <w:pPr>
        <w:pStyle w:val="ONUMFS"/>
        <w:tabs>
          <w:tab w:val="left" w:pos="1134"/>
        </w:tabs>
        <w:ind w:left="567" w:hanging="567"/>
        <w:rPr>
          <w:lang w:val="fr-FR"/>
        </w:rPr>
      </w:pPr>
      <w:r w:rsidRPr="00804849">
        <w:rPr>
          <w:color w:val="000000"/>
          <w:lang w:val="fr-FR"/>
        </w:rPr>
        <w:t xml:space="preserve">Nouvelle norme de l’OMPI sur la gestion électronique des marques sonores </w:t>
      </w:r>
      <w:r w:rsidRPr="00804849">
        <w:rPr>
          <w:color w:val="000000"/>
          <w:lang w:val="fr-FR"/>
        </w:rPr>
        <w:br/>
      </w:r>
      <w:r w:rsidRPr="00804849">
        <w:rPr>
          <w:color w:val="000000"/>
          <w:lang w:val="fr-FR"/>
        </w:rPr>
        <w:tab/>
        <w:t xml:space="preserve">Voir le </w:t>
      </w:r>
      <w:r w:rsidRPr="00804849">
        <w:rPr>
          <w:lang w:val="fr-FR"/>
        </w:rPr>
        <w:t>document</w:t>
      </w:r>
      <w:r w:rsidRPr="00804849">
        <w:rPr>
          <w:color w:val="000000"/>
          <w:lang w:val="fr-FR"/>
        </w:rPr>
        <w:t xml:space="preserve"> CWS/4BIS/9.</w:t>
      </w:r>
    </w:p>
    <w:p w:rsidR="001751C9" w:rsidRPr="00804849" w:rsidRDefault="001751C9" w:rsidP="001751C9">
      <w:pPr>
        <w:pStyle w:val="ONUMFS"/>
        <w:ind w:left="567" w:hanging="567"/>
        <w:rPr>
          <w:lang w:val="fr-FR"/>
        </w:rPr>
      </w:pPr>
      <w:r w:rsidRPr="00804849">
        <w:rPr>
          <w:color w:val="000000"/>
          <w:lang w:val="fr-FR"/>
        </w:rPr>
        <w:t>Questionnaire sur l’utilisation des normes de l’OMPI</w:t>
      </w:r>
      <w:r w:rsidRPr="00804849">
        <w:rPr>
          <w:color w:val="000000"/>
          <w:lang w:val="fr-FR"/>
        </w:rPr>
        <w:br/>
      </w:r>
      <w:r w:rsidRPr="00804849">
        <w:rPr>
          <w:color w:val="000000"/>
          <w:lang w:val="fr-FR"/>
        </w:rPr>
        <w:tab/>
        <w:t>Voir le document CWS/4BIS/10.</w:t>
      </w:r>
    </w:p>
    <w:p w:rsidR="001751C9" w:rsidRPr="00804849" w:rsidRDefault="001751C9" w:rsidP="001751C9">
      <w:pPr>
        <w:pStyle w:val="ONUMFS"/>
        <w:ind w:left="567" w:hanging="567"/>
        <w:rPr>
          <w:lang w:val="fr-FR"/>
        </w:rPr>
      </w:pPr>
      <w:r w:rsidRPr="00804849">
        <w:rPr>
          <w:color w:val="000000"/>
          <w:lang w:val="fr-FR"/>
        </w:rPr>
        <w:t xml:space="preserve">Révision de la norme ST.3 de l’OMPI (tâche n° 33/3) </w:t>
      </w:r>
      <w:r w:rsidRPr="00804849">
        <w:rPr>
          <w:color w:val="000000"/>
          <w:lang w:val="fr-FR"/>
        </w:rPr>
        <w:br/>
      </w:r>
      <w:r w:rsidRPr="00804849">
        <w:rPr>
          <w:color w:val="000000"/>
          <w:lang w:val="fr-FR"/>
        </w:rPr>
        <w:tab/>
        <w:t>Voir le document CWS/4BIS/11.</w:t>
      </w:r>
    </w:p>
    <w:p w:rsidR="001751C9" w:rsidRPr="00804849" w:rsidRDefault="001751C9" w:rsidP="001751C9">
      <w:pPr>
        <w:pStyle w:val="ONUMFS"/>
        <w:ind w:left="567" w:hanging="567"/>
        <w:rPr>
          <w:lang w:val="fr-FR"/>
        </w:rPr>
      </w:pPr>
      <w:r w:rsidRPr="00804849">
        <w:rPr>
          <w:color w:val="000000"/>
          <w:lang w:val="fr-FR"/>
        </w:rPr>
        <w:t>Propositions pour les annexes V et VI de la norme ST.96 de l’OMPI</w:t>
      </w:r>
      <w:r w:rsidRPr="00804849">
        <w:rPr>
          <w:color w:val="000000"/>
          <w:lang w:val="fr-FR"/>
        </w:rPr>
        <w:br/>
      </w:r>
      <w:r w:rsidRPr="00804849">
        <w:rPr>
          <w:color w:val="000000"/>
          <w:lang w:val="fr-FR"/>
        </w:rPr>
        <w:tab/>
        <w:t>Voir le document CWS/4BIS/12.</w:t>
      </w:r>
    </w:p>
    <w:p w:rsidR="001751C9" w:rsidRPr="00804849" w:rsidRDefault="001751C9" w:rsidP="001751C9">
      <w:pPr>
        <w:pStyle w:val="ONUMFS"/>
        <w:ind w:left="567" w:hanging="567"/>
        <w:rPr>
          <w:lang w:val="fr-FR"/>
        </w:rPr>
      </w:pPr>
      <w:r w:rsidRPr="00804849">
        <w:rPr>
          <w:color w:val="000000"/>
          <w:lang w:val="fr-FR"/>
        </w:rPr>
        <w:t xml:space="preserve">Création d’une tâche afin d’établir des exigences pour un fichier d’autorité des documents de brevet publiés par un </w:t>
      </w:r>
      <w:r w:rsidRPr="00804849">
        <w:rPr>
          <w:lang w:val="fr-FR"/>
        </w:rPr>
        <w:t xml:space="preserve">office des brevets </w:t>
      </w:r>
      <w:r w:rsidRPr="00804849">
        <w:rPr>
          <w:lang w:val="fr-FR"/>
        </w:rPr>
        <w:br/>
      </w:r>
      <w:r w:rsidRPr="00804849">
        <w:rPr>
          <w:lang w:val="fr-FR"/>
        </w:rPr>
        <w:tab/>
      </w:r>
      <w:r w:rsidRPr="00804849">
        <w:rPr>
          <w:color w:val="000000"/>
          <w:lang w:val="fr-FR"/>
        </w:rPr>
        <w:t>Voir le document CWS/4BIS/13.</w:t>
      </w:r>
    </w:p>
    <w:p w:rsidR="001751C9" w:rsidRPr="00804849" w:rsidRDefault="001751C9" w:rsidP="001751C9">
      <w:pPr>
        <w:pStyle w:val="ONUMFS"/>
        <w:ind w:left="567" w:hanging="567"/>
        <w:rPr>
          <w:color w:val="000000"/>
          <w:lang w:val="fr-FR"/>
        </w:rPr>
      </w:pPr>
      <w:r w:rsidRPr="00804849">
        <w:rPr>
          <w:color w:val="000000"/>
          <w:lang w:val="fr-FR"/>
        </w:rPr>
        <w:t>Rapport verbal sur les rapports techniques annuels</w:t>
      </w:r>
    </w:p>
    <w:p w:rsidR="001751C9" w:rsidRPr="00804849" w:rsidRDefault="001751C9" w:rsidP="001751C9">
      <w:pPr>
        <w:pStyle w:val="ONUMFS"/>
        <w:ind w:left="567" w:hanging="567"/>
        <w:rPr>
          <w:lang w:val="fr-FR"/>
        </w:rPr>
      </w:pPr>
      <w:r w:rsidRPr="00804849">
        <w:rPr>
          <w:color w:val="000000"/>
          <w:lang w:val="fr-FR"/>
        </w:rPr>
        <w:t>Examen du programme de travail et de la liste des tâches du CWS</w:t>
      </w:r>
      <w:r w:rsidRPr="00804849">
        <w:rPr>
          <w:color w:val="000000"/>
          <w:lang w:val="fr-FR"/>
        </w:rPr>
        <w:br/>
      </w:r>
      <w:r w:rsidRPr="00804849">
        <w:rPr>
          <w:color w:val="000000"/>
          <w:lang w:val="fr-FR"/>
        </w:rPr>
        <w:tab/>
        <w:t>Voir le document CWS/4BIS/14.</w:t>
      </w:r>
    </w:p>
    <w:p w:rsidR="001751C9" w:rsidRPr="00804849" w:rsidRDefault="001751C9" w:rsidP="001751C9">
      <w:pPr>
        <w:pStyle w:val="ONUMFS"/>
        <w:ind w:left="567" w:hanging="567"/>
        <w:rPr>
          <w:lang w:val="fr-FR"/>
        </w:rPr>
      </w:pPr>
      <w:r w:rsidRPr="00804849">
        <w:rPr>
          <w:color w:val="000000"/>
          <w:lang w:val="fr-FR"/>
        </w:rPr>
        <w:t xml:space="preserve">Échange d’informations : présentation des activités et des plans des offices de </w:t>
      </w:r>
      <w:r w:rsidRPr="00804849">
        <w:rPr>
          <w:lang w:val="fr-FR"/>
        </w:rPr>
        <w:t>propriété industrielle</w:t>
      </w:r>
      <w:r w:rsidRPr="00804849">
        <w:rPr>
          <w:color w:val="000000"/>
          <w:lang w:val="fr-FR"/>
        </w:rPr>
        <w:t xml:space="preserve"> concernant les normes de l’OMPI relatives au XML</w:t>
      </w:r>
    </w:p>
    <w:p w:rsidR="001751C9" w:rsidRPr="00804849" w:rsidRDefault="001751C9" w:rsidP="001751C9">
      <w:pPr>
        <w:pStyle w:val="ONUMFS"/>
        <w:ind w:left="567" w:hanging="567"/>
        <w:rPr>
          <w:lang w:val="fr-FR"/>
        </w:rPr>
      </w:pPr>
      <w:r w:rsidRPr="00804849">
        <w:rPr>
          <w:color w:val="000000"/>
          <w:lang w:val="fr-FR"/>
        </w:rPr>
        <w:t>Résumé présenté par le président</w:t>
      </w:r>
    </w:p>
    <w:p w:rsidR="004A7ADC" w:rsidRPr="00804849" w:rsidRDefault="001751C9" w:rsidP="001751C9">
      <w:pPr>
        <w:pStyle w:val="ONUMFS"/>
        <w:ind w:left="567" w:hanging="567"/>
        <w:rPr>
          <w:lang w:val="fr-FR"/>
        </w:rPr>
      </w:pPr>
      <w:r w:rsidRPr="00804849">
        <w:rPr>
          <w:lang w:val="fr-FR"/>
        </w:rPr>
        <w:t>Clôture de la session</w:t>
      </w:r>
    </w:p>
    <w:p w:rsidR="004A7ADC" w:rsidRPr="00804849" w:rsidRDefault="004A7ADC" w:rsidP="004A7ADC">
      <w:pPr>
        <w:pStyle w:val="Endofdocument"/>
        <w:rPr>
          <w:rFonts w:cs="Arial"/>
          <w:sz w:val="22"/>
          <w:szCs w:val="22"/>
          <w:lang w:val="fr-FR"/>
        </w:rPr>
      </w:pPr>
    </w:p>
    <w:p w:rsidR="004A7ADC" w:rsidRPr="00804849" w:rsidRDefault="004A7ADC" w:rsidP="004A7ADC">
      <w:pPr>
        <w:pStyle w:val="Endofdocument"/>
        <w:rPr>
          <w:rFonts w:cs="Arial"/>
          <w:sz w:val="22"/>
          <w:szCs w:val="22"/>
          <w:lang w:val="fr-FR"/>
        </w:rPr>
      </w:pPr>
    </w:p>
    <w:p w:rsidR="002928D3" w:rsidRPr="00804849" w:rsidRDefault="00E1471E" w:rsidP="00804849">
      <w:pPr>
        <w:pStyle w:val="Endofdocument"/>
        <w:rPr>
          <w:lang w:val="fr-FR"/>
        </w:rPr>
      </w:pPr>
      <w:r w:rsidRPr="00804849">
        <w:rPr>
          <w:rFonts w:cs="Arial"/>
          <w:sz w:val="22"/>
          <w:szCs w:val="22"/>
          <w:lang w:val="fr-FR"/>
        </w:rPr>
        <w:t>[</w:t>
      </w:r>
      <w:r w:rsidR="001751C9" w:rsidRPr="00804849">
        <w:rPr>
          <w:rFonts w:cs="Arial"/>
          <w:sz w:val="22"/>
          <w:szCs w:val="22"/>
          <w:lang w:val="fr-FR"/>
        </w:rPr>
        <w:t>Fin de l’annexe</w:t>
      </w:r>
      <w:r w:rsidR="00804849" w:rsidRPr="00804849">
        <w:rPr>
          <w:rFonts w:cs="Arial"/>
          <w:sz w:val="22"/>
          <w:szCs w:val="22"/>
          <w:lang w:val="fr-FR"/>
        </w:rPr>
        <w:t> </w:t>
      </w:r>
      <w:r w:rsidR="00047D50" w:rsidRPr="00804849">
        <w:rPr>
          <w:rFonts w:cs="Arial"/>
          <w:sz w:val="22"/>
          <w:szCs w:val="22"/>
          <w:lang w:val="fr-FR"/>
        </w:rPr>
        <w:t>II</w:t>
      </w:r>
      <w:r w:rsidR="001751C9" w:rsidRPr="00804849">
        <w:rPr>
          <w:rFonts w:cs="Arial"/>
          <w:sz w:val="22"/>
          <w:szCs w:val="22"/>
          <w:lang w:val="fr-FR"/>
        </w:rPr>
        <w:t xml:space="preserve"> et du</w:t>
      </w:r>
      <w:r w:rsidR="005E05A9" w:rsidRPr="00804849">
        <w:rPr>
          <w:rFonts w:cs="Arial"/>
          <w:sz w:val="22"/>
          <w:szCs w:val="22"/>
          <w:lang w:val="fr-FR"/>
        </w:rPr>
        <w:t xml:space="preserve"> document</w:t>
      </w:r>
      <w:r w:rsidRPr="00804849">
        <w:rPr>
          <w:rFonts w:cs="Arial"/>
          <w:sz w:val="22"/>
          <w:szCs w:val="22"/>
          <w:lang w:val="fr-FR"/>
        </w:rPr>
        <w:t>]</w:t>
      </w:r>
    </w:p>
    <w:sectPr w:rsidR="002928D3" w:rsidRPr="00804849" w:rsidSect="00206FA3">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71E" w:rsidRDefault="00E1471E">
      <w:r>
        <w:separator/>
      </w:r>
    </w:p>
  </w:endnote>
  <w:endnote w:type="continuationSeparator" w:id="0">
    <w:p w:rsidR="00E1471E" w:rsidRDefault="00E1471E" w:rsidP="003B38C1">
      <w:r>
        <w:separator/>
      </w:r>
    </w:p>
    <w:p w:rsidR="00E1471E" w:rsidRPr="003B38C1" w:rsidRDefault="00E1471E" w:rsidP="003B38C1">
      <w:pPr>
        <w:spacing w:after="60"/>
        <w:rPr>
          <w:sz w:val="17"/>
        </w:rPr>
      </w:pPr>
      <w:r>
        <w:rPr>
          <w:sz w:val="17"/>
        </w:rPr>
        <w:t>[Endnote continued from previous page]</w:t>
      </w:r>
    </w:p>
  </w:endnote>
  <w:endnote w:type="continuationNotice" w:id="1">
    <w:p w:rsidR="00E1471E" w:rsidRPr="003B38C1" w:rsidRDefault="00E1471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71E" w:rsidRDefault="00E1471E">
      <w:r>
        <w:separator/>
      </w:r>
    </w:p>
  </w:footnote>
  <w:footnote w:type="continuationSeparator" w:id="0">
    <w:p w:rsidR="00E1471E" w:rsidRDefault="00E1471E" w:rsidP="008B60B2">
      <w:r>
        <w:separator/>
      </w:r>
    </w:p>
    <w:p w:rsidR="00E1471E" w:rsidRPr="00ED77FB" w:rsidRDefault="00E1471E" w:rsidP="008B60B2">
      <w:pPr>
        <w:spacing w:after="60"/>
        <w:rPr>
          <w:sz w:val="17"/>
          <w:szCs w:val="17"/>
        </w:rPr>
      </w:pPr>
      <w:r w:rsidRPr="00ED77FB">
        <w:rPr>
          <w:sz w:val="17"/>
          <w:szCs w:val="17"/>
        </w:rPr>
        <w:t>[Footnote continued from previous page]</w:t>
      </w:r>
    </w:p>
  </w:footnote>
  <w:footnote w:type="continuationNotice" w:id="1">
    <w:p w:rsidR="00E1471E" w:rsidRPr="00ED77FB" w:rsidRDefault="00E1471E" w:rsidP="008B60B2">
      <w:pPr>
        <w:spacing w:before="60"/>
        <w:jc w:val="right"/>
        <w:rPr>
          <w:sz w:val="17"/>
          <w:szCs w:val="17"/>
        </w:rPr>
      </w:pPr>
      <w:r w:rsidRPr="00ED77FB">
        <w:rPr>
          <w:sz w:val="17"/>
          <w:szCs w:val="17"/>
        </w:rPr>
        <w:t>[Footnote continued on next page]</w:t>
      </w:r>
    </w:p>
  </w:footnote>
  <w:footnote w:id="2">
    <w:p w:rsidR="001751C9" w:rsidRPr="008C3D94" w:rsidRDefault="001751C9" w:rsidP="001751C9">
      <w:pPr>
        <w:pStyle w:val="FootnoteText"/>
        <w:rPr>
          <w:lang w:val="fr-CH"/>
        </w:rPr>
      </w:pPr>
      <w:r w:rsidRPr="00013638">
        <w:rPr>
          <w:rStyle w:val="FootnoteReference"/>
        </w:rPr>
        <w:footnoteRef/>
      </w:r>
      <w:r w:rsidRPr="008C3D94">
        <w:rPr>
          <w:lang w:val="fr-CH"/>
        </w:rPr>
        <w:t xml:space="preserve"> </w:t>
      </w:r>
      <w:r w:rsidRPr="008C3D94">
        <w:rPr>
          <w:lang w:val="fr-CH"/>
        </w:rPr>
        <w:tab/>
        <w:t>Ce point de l’ordre du jour est sans pr</w:t>
      </w:r>
      <w:r>
        <w:rPr>
          <w:lang w:val="fr-CH"/>
        </w:rPr>
        <w:t>é</w:t>
      </w:r>
      <w:r w:rsidRPr="008C3D94">
        <w:rPr>
          <w:lang w:val="fr-CH"/>
        </w:rPr>
        <w:t xml:space="preserve">judice </w:t>
      </w:r>
      <w:r>
        <w:rPr>
          <w:lang w:val="fr-CH"/>
        </w:rPr>
        <w:t>des positions des m</w:t>
      </w:r>
      <w:r w:rsidRPr="008C3D94">
        <w:rPr>
          <w:lang w:val="fr-CH"/>
        </w:rPr>
        <w:t xml:space="preserve">embres </w:t>
      </w:r>
      <w:r>
        <w:rPr>
          <w:lang w:val="fr-CH"/>
        </w:rPr>
        <w:t xml:space="preserve">quant à la question de savoir si le CWS </w:t>
      </w:r>
      <w:r w:rsidR="005427CB">
        <w:rPr>
          <w:lang w:val="fr-CH"/>
        </w:rPr>
        <w:t>est concerné par le</w:t>
      </w:r>
      <w:r>
        <w:rPr>
          <w:lang w:val="fr-CH"/>
        </w:rPr>
        <w:t xml:space="preserve"> mécanisme de coordination du Plan d’action pour le développement.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8A6737" w:rsidRDefault="00E1471E" w:rsidP="00477D6B">
    <w:pPr>
      <w:jc w:val="right"/>
      <w:rPr>
        <w:lang w:val="fr-CH"/>
      </w:rPr>
    </w:pPr>
    <w:r w:rsidRPr="008A6737">
      <w:rPr>
        <w:lang w:val="fr-CH"/>
      </w:rPr>
      <w:t>CWS 4</w:t>
    </w:r>
    <w:r w:rsidR="004A7ADC" w:rsidRPr="008A6737">
      <w:rPr>
        <w:lang w:val="fr-CH"/>
      </w:rPr>
      <w:t>BIS</w:t>
    </w:r>
    <w:r w:rsidR="00BB74B8" w:rsidRPr="008A6737">
      <w:rPr>
        <w:lang w:val="fr-CH"/>
      </w:rPr>
      <w:t>/</w:t>
    </w:r>
    <w:r w:rsidRPr="008A6737">
      <w:rPr>
        <w:lang w:val="fr-CH"/>
      </w:rPr>
      <w:t>16</w:t>
    </w:r>
  </w:p>
  <w:p w:rsidR="00EC4E49" w:rsidRPr="008A6737" w:rsidRDefault="00A65D37" w:rsidP="001751C9">
    <w:pPr>
      <w:jc w:val="right"/>
      <w:rPr>
        <w:lang w:val="fr-CH"/>
      </w:rPr>
    </w:pPr>
    <w:r w:rsidRPr="008A6737">
      <w:rPr>
        <w:lang w:val="fr-CH"/>
      </w:rPr>
      <w:t>Annex</w:t>
    </w:r>
    <w:r w:rsidR="001751C9" w:rsidRPr="008A6737">
      <w:rPr>
        <w:lang w:val="fr-CH"/>
      </w:rPr>
      <w:t>e</w:t>
    </w:r>
    <w:r w:rsidR="00804849" w:rsidRPr="008A6737">
      <w:rPr>
        <w:lang w:val="fr-CH"/>
      </w:rPr>
      <w:t> </w:t>
    </w:r>
    <w:r w:rsidR="00E1471E" w:rsidRPr="008A6737">
      <w:rPr>
        <w:lang w:val="fr-CH"/>
      </w:rPr>
      <w:t>II</w:t>
    </w:r>
    <w:r w:rsidRPr="008A6737">
      <w:rPr>
        <w:lang w:val="fr-CH"/>
      </w:rPr>
      <w:t xml:space="preserve">, </w:t>
    </w:r>
    <w:r w:rsidR="00EC4E49" w:rsidRPr="008A6737">
      <w:rPr>
        <w:lang w:val="fr-CH"/>
      </w:rPr>
      <w:t>page</w:t>
    </w:r>
    <w:r w:rsidR="00804849" w:rsidRPr="008A6737">
      <w:rPr>
        <w:lang w:val="fr-CH"/>
      </w:rPr>
      <w:t> </w:t>
    </w:r>
    <w:r w:rsidR="00EC4E49">
      <w:fldChar w:fldCharType="begin"/>
    </w:r>
    <w:r w:rsidR="00EC4E49" w:rsidRPr="008A6737">
      <w:rPr>
        <w:lang w:val="fr-CH"/>
      </w:rPr>
      <w:instrText xml:space="preserve"> PAGE  \* MERGEFORMAT </w:instrText>
    </w:r>
    <w:r w:rsidR="00EC4E49">
      <w:fldChar w:fldCharType="separate"/>
    </w:r>
    <w:r w:rsidR="008A6737">
      <w:rPr>
        <w:noProof/>
        <w:lang w:val="fr-CH"/>
      </w:rPr>
      <w:t>2</w:t>
    </w:r>
    <w:r w:rsidR="00EC4E49">
      <w:fldChar w:fldCharType="end"/>
    </w:r>
  </w:p>
  <w:p w:rsidR="00BB74B8" w:rsidRPr="008A6737" w:rsidRDefault="00BB74B8" w:rsidP="00477D6B">
    <w:pP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4B8" w:rsidRDefault="005E05A9" w:rsidP="009567DC">
    <w:pPr>
      <w:jc w:val="right"/>
    </w:pPr>
    <w:r>
      <w:t>CWS/</w:t>
    </w:r>
    <w:r w:rsidR="00E1471E">
      <w:t>4</w:t>
    </w:r>
    <w:r w:rsidR="004A7ADC">
      <w:t>BIS</w:t>
    </w:r>
    <w:r w:rsidR="00BB74B8">
      <w:t>/</w:t>
    </w:r>
    <w:r w:rsidR="005427CB">
      <w:t>16</w:t>
    </w:r>
  </w:p>
  <w:p w:rsidR="00BB74B8" w:rsidRDefault="00BB74B8" w:rsidP="00BB74B8">
    <w:pPr>
      <w:jc w:val="right"/>
    </w:pPr>
    <w:r>
      <w:t>ANNEX</w:t>
    </w:r>
    <w:r w:rsidR="001751C9">
      <w:t>E</w:t>
    </w:r>
    <w:r w:rsidR="00804849">
      <w:t> </w:t>
    </w:r>
    <w:r w:rsidR="00E1471E">
      <w:t>II</w:t>
    </w:r>
  </w:p>
  <w:p w:rsidR="00BB74B8" w:rsidRDefault="00BB74B8"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71E"/>
    <w:rsid w:val="00043CAA"/>
    <w:rsid w:val="00047D50"/>
    <w:rsid w:val="00075432"/>
    <w:rsid w:val="00076D20"/>
    <w:rsid w:val="000968ED"/>
    <w:rsid w:val="000B75E0"/>
    <w:rsid w:val="000F5E56"/>
    <w:rsid w:val="001362EE"/>
    <w:rsid w:val="001751C9"/>
    <w:rsid w:val="001832A6"/>
    <w:rsid w:val="001C0176"/>
    <w:rsid w:val="00206FA3"/>
    <w:rsid w:val="00230D89"/>
    <w:rsid w:val="002634C4"/>
    <w:rsid w:val="0026783E"/>
    <w:rsid w:val="002928D3"/>
    <w:rsid w:val="002F1FE6"/>
    <w:rsid w:val="002F4E68"/>
    <w:rsid w:val="00312F7F"/>
    <w:rsid w:val="003228B7"/>
    <w:rsid w:val="003306F8"/>
    <w:rsid w:val="00357F52"/>
    <w:rsid w:val="003673CF"/>
    <w:rsid w:val="003845C1"/>
    <w:rsid w:val="003A6F89"/>
    <w:rsid w:val="003B38C1"/>
    <w:rsid w:val="00423E3E"/>
    <w:rsid w:val="00427AF4"/>
    <w:rsid w:val="004400E2"/>
    <w:rsid w:val="004647DA"/>
    <w:rsid w:val="00474062"/>
    <w:rsid w:val="00477D6B"/>
    <w:rsid w:val="004A7ADC"/>
    <w:rsid w:val="004C5B85"/>
    <w:rsid w:val="0053057A"/>
    <w:rsid w:val="005427CB"/>
    <w:rsid w:val="00560A29"/>
    <w:rsid w:val="005E05A9"/>
    <w:rsid w:val="00605827"/>
    <w:rsid w:val="00646050"/>
    <w:rsid w:val="006713CA"/>
    <w:rsid w:val="00676C5C"/>
    <w:rsid w:val="007058FB"/>
    <w:rsid w:val="007B6A58"/>
    <w:rsid w:val="007D1613"/>
    <w:rsid w:val="007D5C56"/>
    <w:rsid w:val="00804849"/>
    <w:rsid w:val="008A6737"/>
    <w:rsid w:val="008B2CC1"/>
    <w:rsid w:val="008B60B2"/>
    <w:rsid w:val="0090731E"/>
    <w:rsid w:val="00916EE2"/>
    <w:rsid w:val="009567DC"/>
    <w:rsid w:val="00966A22"/>
    <w:rsid w:val="0096722F"/>
    <w:rsid w:val="00980843"/>
    <w:rsid w:val="009E2791"/>
    <w:rsid w:val="009E3F6F"/>
    <w:rsid w:val="009F499F"/>
    <w:rsid w:val="00A42DAF"/>
    <w:rsid w:val="00A45BD8"/>
    <w:rsid w:val="00A65D37"/>
    <w:rsid w:val="00A818D1"/>
    <w:rsid w:val="00A85B8E"/>
    <w:rsid w:val="00AC205C"/>
    <w:rsid w:val="00B05A69"/>
    <w:rsid w:val="00B123E4"/>
    <w:rsid w:val="00B9734B"/>
    <w:rsid w:val="00BB74B8"/>
    <w:rsid w:val="00C11BFE"/>
    <w:rsid w:val="00C44558"/>
    <w:rsid w:val="00C94629"/>
    <w:rsid w:val="00CD28E0"/>
    <w:rsid w:val="00D45252"/>
    <w:rsid w:val="00D71B4D"/>
    <w:rsid w:val="00D93D55"/>
    <w:rsid w:val="00E1471E"/>
    <w:rsid w:val="00E335FE"/>
    <w:rsid w:val="00E5021F"/>
    <w:rsid w:val="00EC4E49"/>
    <w:rsid w:val="00ED77FB"/>
    <w:rsid w:val="00F021A6"/>
    <w:rsid w:val="00F62F4E"/>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E1471E"/>
    <w:pPr>
      <w:spacing w:line="260" w:lineRule="atLeast"/>
      <w:ind w:left="5534"/>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semiHidden/>
    <w:rsid w:val="004A7ADC"/>
    <w:rPr>
      <w:rFonts w:ascii="Arial" w:eastAsia="SimSun" w:hAnsi="Arial" w:cs="Arial"/>
      <w:sz w:val="18"/>
    </w:rPr>
  </w:style>
  <w:style w:type="character" w:styleId="FootnoteReference">
    <w:name w:val="footnote reference"/>
    <w:rsid w:val="004A7A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E1471E"/>
    <w:pPr>
      <w:spacing w:line="260" w:lineRule="atLeast"/>
      <w:ind w:left="5534"/>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semiHidden/>
    <w:rsid w:val="004A7ADC"/>
    <w:rPr>
      <w:rFonts w:ascii="Arial" w:eastAsia="SimSun" w:hAnsi="Arial" w:cs="Arial"/>
      <w:sz w:val="18"/>
    </w:rPr>
  </w:style>
  <w:style w:type="character" w:styleId="FootnoteReference">
    <w:name w:val="footnote reference"/>
    <w:rsid w:val="004A7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7B67B-08CB-4821-B93D-58D38213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CWS/4BIS/16 Prov. Annexe II (en Français)</vt:lpstr>
    </vt:vector>
  </TitlesOfParts>
  <Company>WIPO</Company>
  <LinksUpToDate>false</LinksUpToDate>
  <CharactersWithSpaces>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CWS/4BIS/16 Annexe II (en Français)</dc:title>
  <dc:subject>ORDRE DU JOUR</dc:subject>
  <dc:creator>OMPI</dc:creator>
  <cp:keywords>CWS (in French)</cp:keywords>
  <cp:lastModifiedBy>SCHLESSINGER Caroline</cp:lastModifiedBy>
  <cp:revision>3</cp:revision>
  <cp:lastPrinted>2016-05-24T08:48:00Z</cp:lastPrinted>
  <dcterms:created xsi:type="dcterms:W3CDTF">2016-05-24T12:05:00Z</dcterms:created>
  <dcterms:modified xsi:type="dcterms:W3CDTF">2016-05-24T12:07:00Z</dcterms:modified>
</cp:coreProperties>
</file>