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67" w:rsidRPr="00967B4B" w:rsidRDefault="00472A6E" w:rsidP="006173A5">
      <w:pPr>
        <w:pBdr>
          <w:bottom w:val="single" w:sz="4" w:space="11" w:color="auto"/>
        </w:pBdr>
        <w:spacing w:after="120"/>
        <w:ind w:right="-57"/>
        <w:jc w:val="right"/>
        <w:rPr>
          <w:lang w:val="es-419"/>
        </w:rPr>
      </w:pPr>
      <w:r w:rsidRPr="00967B4B">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95367" w:rsidRPr="00967B4B" w:rsidRDefault="006173A5" w:rsidP="00472A6E">
      <w:pPr>
        <w:jc w:val="right"/>
        <w:rPr>
          <w:rFonts w:ascii="Arial Black" w:hAnsi="Arial Black"/>
          <w:caps/>
          <w:sz w:val="15"/>
          <w:lang w:val="es-419"/>
        </w:rPr>
      </w:pPr>
      <w:r w:rsidRPr="00967B4B">
        <w:rPr>
          <w:rFonts w:ascii="Arial Black" w:hAnsi="Arial Black"/>
          <w:caps/>
          <w:sz w:val="15"/>
          <w:lang w:val="es-419"/>
        </w:rPr>
        <w:t>CWS/9/</w:t>
      </w:r>
      <w:bookmarkStart w:id="0" w:name="Code"/>
      <w:bookmarkEnd w:id="0"/>
      <w:r w:rsidR="00A34594" w:rsidRPr="00967B4B">
        <w:rPr>
          <w:rFonts w:ascii="Arial Black" w:hAnsi="Arial Black"/>
          <w:caps/>
          <w:sz w:val="15"/>
          <w:lang w:val="es-419"/>
        </w:rPr>
        <w:t>7</w:t>
      </w:r>
    </w:p>
    <w:p w:rsidR="00E95367" w:rsidRPr="00967B4B" w:rsidRDefault="00472A6E" w:rsidP="00472A6E">
      <w:pPr>
        <w:jc w:val="right"/>
        <w:rPr>
          <w:lang w:val="es-419"/>
        </w:rPr>
      </w:pPr>
      <w:r w:rsidRPr="00967B4B">
        <w:rPr>
          <w:rFonts w:ascii="Arial Black" w:hAnsi="Arial Black"/>
          <w:caps/>
          <w:sz w:val="15"/>
          <w:lang w:val="es-419"/>
        </w:rPr>
        <w:t xml:space="preserve">ORIGINAL: </w:t>
      </w:r>
      <w:bookmarkStart w:id="1" w:name="Original"/>
      <w:r w:rsidR="00A34594" w:rsidRPr="00967B4B">
        <w:rPr>
          <w:rFonts w:ascii="Arial Black" w:hAnsi="Arial Black"/>
          <w:caps/>
          <w:sz w:val="15"/>
          <w:lang w:val="es-419"/>
        </w:rPr>
        <w:t>inglés</w:t>
      </w:r>
    </w:p>
    <w:bookmarkEnd w:id="1"/>
    <w:p w:rsidR="00E95367" w:rsidRPr="00967B4B" w:rsidRDefault="00472A6E" w:rsidP="00472A6E">
      <w:pPr>
        <w:spacing w:after="1200"/>
        <w:jc w:val="right"/>
        <w:rPr>
          <w:lang w:val="es-419"/>
        </w:rPr>
      </w:pPr>
      <w:r w:rsidRPr="00967B4B">
        <w:rPr>
          <w:rFonts w:ascii="Arial Black" w:hAnsi="Arial Black"/>
          <w:caps/>
          <w:sz w:val="15"/>
          <w:lang w:val="es-419"/>
        </w:rPr>
        <w:t xml:space="preserve">fecha: </w:t>
      </w:r>
      <w:bookmarkStart w:id="2" w:name="Date"/>
      <w:r w:rsidR="00A34594" w:rsidRPr="00967B4B">
        <w:rPr>
          <w:rFonts w:ascii="Arial Black" w:hAnsi="Arial Black"/>
          <w:caps/>
          <w:sz w:val="15"/>
          <w:lang w:val="es-419"/>
        </w:rPr>
        <w:t>5 de octubre de 2021</w:t>
      </w:r>
    </w:p>
    <w:bookmarkEnd w:id="2"/>
    <w:p w:rsidR="00E95367" w:rsidRPr="00967B4B" w:rsidRDefault="00167338" w:rsidP="00472A6E">
      <w:pPr>
        <w:pStyle w:val="Heading1"/>
        <w:spacing w:before="0" w:after="480"/>
        <w:rPr>
          <w:sz w:val="28"/>
          <w:lang w:val="es-419"/>
        </w:rPr>
      </w:pPr>
      <w:r w:rsidRPr="00967B4B">
        <w:rPr>
          <w:caps w:val="0"/>
          <w:sz w:val="28"/>
          <w:szCs w:val="28"/>
          <w:lang w:val="es-419"/>
        </w:rPr>
        <w:t>Comité de Normas Técnicas de la OMPI (CWS)</w:t>
      </w:r>
    </w:p>
    <w:p w:rsidR="00E95367" w:rsidRPr="00967B4B" w:rsidRDefault="006173A5" w:rsidP="005B2EAE">
      <w:pPr>
        <w:outlineLvl w:val="1"/>
        <w:rPr>
          <w:b/>
          <w:sz w:val="24"/>
          <w:szCs w:val="24"/>
          <w:lang w:val="es-419"/>
        </w:rPr>
      </w:pPr>
      <w:r w:rsidRPr="00967B4B">
        <w:rPr>
          <w:b/>
          <w:sz w:val="24"/>
          <w:szCs w:val="24"/>
          <w:lang w:val="es-419"/>
        </w:rPr>
        <w:t>Novena sesión</w:t>
      </w:r>
    </w:p>
    <w:p w:rsidR="00E95367" w:rsidRPr="00967B4B" w:rsidRDefault="00167338" w:rsidP="00472A6E">
      <w:pPr>
        <w:spacing w:after="720"/>
        <w:outlineLvl w:val="1"/>
        <w:rPr>
          <w:b/>
          <w:sz w:val="24"/>
          <w:szCs w:val="24"/>
          <w:lang w:val="es-419"/>
        </w:rPr>
      </w:pPr>
      <w:r w:rsidRPr="00967B4B">
        <w:rPr>
          <w:b/>
          <w:sz w:val="24"/>
          <w:szCs w:val="24"/>
          <w:lang w:val="es-419"/>
        </w:rPr>
        <w:t>Ginebra, 1 a 5 de noviembre de 2021</w:t>
      </w:r>
    </w:p>
    <w:p w:rsidR="00E95367" w:rsidRPr="00967B4B" w:rsidRDefault="00A34594" w:rsidP="00472A6E">
      <w:pPr>
        <w:spacing w:after="360"/>
        <w:rPr>
          <w:caps/>
          <w:sz w:val="24"/>
          <w:szCs w:val="24"/>
          <w:lang w:val="es-419"/>
        </w:rPr>
      </w:pPr>
      <w:bookmarkStart w:id="3" w:name="TitleOfDoc"/>
      <w:r w:rsidRPr="00967B4B">
        <w:rPr>
          <w:caps/>
          <w:sz w:val="24"/>
          <w:lang w:val="es-419"/>
        </w:rPr>
        <w:t xml:space="preserve">Informe del Equipo Técnico sobre la Cadena de </w:t>
      </w:r>
      <w:r w:rsidRPr="00967B4B">
        <w:rPr>
          <w:caps/>
          <w:sz w:val="24"/>
          <w:szCs w:val="24"/>
          <w:lang w:val="es-419"/>
        </w:rPr>
        <w:t>Bloques</w:t>
      </w:r>
      <w:r w:rsidR="00D76FD2" w:rsidRPr="00967B4B">
        <w:rPr>
          <w:caps/>
          <w:sz w:val="24"/>
          <w:szCs w:val="24"/>
          <w:lang w:val="es-419"/>
        </w:rPr>
        <w:t xml:space="preserve"> </w:t>
      </w:r>
      <w:r w:rsidR="00432778" w:rsidRPr="00967B4B">
        <w:rPr>
          <w:rStyle w:val="markedcontent"/>
          <w:sz w:val="24"/>
          <w:szCs w:val="24"/>
          <w:lang w:val="es-419"/>
        </w:rPr>
        <w:t>(TAREA N.º </w:t>
      </w:r>
      <w:r w:rsidR="00665BD2" w:rsidRPr="00967B4B">
        <w:rPr>
          <w:rStyle w:val="markedcontent"/>
          <w:sz w:val="24"/>
          <w:szCs w:val="24"/>
          <w:lang w:val="es-419"/>
        </w:rPr>
        <w:t>59)</w:t>
      </w:r>
    </w:p>
    <w:p w:rsidR="00E95367" w:rsidRPr="00967B4B" w:rsidRDefault="00A34594" w:rsidP="00472A6E">
      <w:pPr>
        <w:spacing w:after="1040"/>
        <w:rPr>
          <w:i/>
          <w:lang w:val="es-419"/>
        </w:rPr>
      </w:pPr>
      <w:bookmarkStart w:id="4" w:name="Prepared"/>
      <w:bookmarkEnd w:id="3"/>
      <w:bookmarkEnd w:id="4"/>
      <w:r w:rsidRPr="00967B4B">
        <w:rPr>
          <w:i/>
          <w:lang w:val="es-419"/>
        </w:rPr>
        <w:t>preparado por los corresponsables del Equipo Técnico sobre la Cadena de Bloques</w:t>
      </w:r>
    </w:p>
    <w:p w:rsidR="00E95367" w:rsidRPr="00967B4B" w:rsidRDefault="00DD7AE4" w:rsidP="00BD72D9">
      <w:pPr>
        <w:pStyle w:val="Heading2"/>
        <w:spacing w:before="0" w:after="120"/>
        <w:rPr>
          <w:lang w:val="es-419"/>
        </w:rPr>
      </w:pPr>
      <w:r w:rsidRPr="00967B4B">
        <w:rPr>
          <w:lang w:val="es-419"/>
        </w:rPr>
        <w:t>INTRODUCCIÓN</w:t>
      </w:r>
    </w:p>
    <w:p w:rsidR="00E95367" w:rsidRPr="00967B4B" w:rsidRDefault="009C0F65" w:rsidP="00DD7AE4">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DD7AE4" w:rsidRPr="00967B4B">
        <w:rPr>
          <w:szCs w:val="22"/>
          <w:lang w:val="es-419"/>
        </w:rPr>
        <w:t xml:space="preserve">En su octava sesión, celebrada en noviembre de 2020, el Comité de Normas Técnicas de la OMPI (CWS) recibió un informe </w:t>
      </w:r>
      <w:r w:rsidR="001C566C" w:rsidRPr="00967B4B">
        <w:rPr>
          <w:szCs w:val="22"/>
          <w:lang w:val="es-419"/>
        </w:rPr>
        <w:t>sobre</w:t>
      </w:r>
      <w:r w:rsidR="00DD7AE4" w:rsidRPr="00967B4B">
        <w:rPr>
          <w:szCs w:val="22"/>
          <w:lang w:val="es-419"/>
        </w:rPr>
        <w:t xml:space="preserve"> </w:t>
      </w:r>
      <w:r w:rsidR="0013593E" w:rsidRPr="00967B4B">
        <w:rPr>
          <w:szCs w:val="22"/>
          <w:lang w:val="es-419"/>
        </w:rPr>
        <w:t>los progresos</w:t>
      </w:r>
      <w:r w:rsidR="00DD7AE4" w:rsidRPr="00967B4B">
        <w:rPr>
          <w:szCs w:val="22"/>
          <w:lang w:val="es-419"/>
        </w:rPr>
        <w:t xml:space="preserve"> de las actividades realizadas por los corresponsa</w:t>
      </w:r>
      <w:r w:rsidR="001577CB" w:rsidRPr="00967B4B">
        <w:rPr>
          <w:szCs w:val="22"/>
          <w:lang w:val="es-419"/>
        </w:rPr>
        <w:t>b</w:t>
      </w:r>
      <w:r w:rsidR="00DD7AE4" w:rsidRPr="00967B4B">
        <w:rPr>
          <w:szCs w:val="22"/>
          <w:lang w:val="es-419"/>
        </w:rPr>
        <w:t>les del Equipo Técnico sobre la Cadena de Bloques, a saber, IP Australia y Rospatent (véase el documento CWS/8/15).</w:t>
      </w:r>
    </w:p>
    <w:p w:rsidR="00E95367" w:rsidRPr="00967B4B" w:rsidRDefault="009C0F65" w:rsidP="00DD7AE4">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DD7AE4" w:rsidRPr="00967B4B">
        <w:rPr>
          <w:szCs w:val="22"/>
          <w:lang w:val="es-419"/>
        </w:rPr>
        <w:t>El CWS alentó a las Oficinas de propiedad intelectual (Oficinas de PI) a participar en los debates del Equipo Técnico sobre la Cadena de Bloques y señaló las ventajas significativas de trabajar en colaboración con el sector privado, las universidades y las organizaciones no gubernamentales (véanse los párrafos 96 a 99 del documento CWS/8/24).</w:t>
      </w:r>
    </w:p>
    <w:p w:rsidR="00E95367" w:rsidRPr="00967B4B" w:rsidRDefault="009C0F65" w:rsidP="00C47841">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C47841" w:rsidRPr="00967B4B">
        <w:rPr>
          <w:szCs w:val="22"/>
          <w:lang w:val="es-419"/>
        </w:rPr>
        <w:t>El Equipo Técnico prosiguió su labor en el marco de la Tarea N.º 59 y de la declaración de alcance acordada para la nueva norma sobre la cadena de bloques en el ámbito de la PI, en los términos siguientes:</w:t>
      </w:r>
    </w:p>
    <w:p w:rsidR="00E95367" w:rsidRPr="00967B4B" w:rsidRDefault="00E95367" w:rsidP="00BD72D9">
      <w:pPr>
        <w:spacing w:after="120"/>
        <w:ind w:firstLine="357"/>
        <w:rPr>
          <w:u w:val="single"/>
          <w:lang w:val="es-419"/>
        </w:rPr>
      </w:pPr>
      <w:r w:rsidRPr="00967B4B">
        <w:rPr>
          <w:color w:val="000000"/>
          <w:u w:val="single"/>
          <w:lang w:val="es-419"/>
        </w:rPr>
        <w:t>Descripción de la Tarea (adoptada en la séptima sesión del CWS):</w:t>
      </w:r>
    </w:p>
    <w:p w:rsidR="00E95367" w:rsidRPr="00967B4B" w:rsidRDefault="00553E61" w:rsidP="004465EF">
      <w:pPr>
        <w:pStyle w:val="ListParagraph"/>
        <w:numPr>
          <w:ilvl w:val="0"/>
          <w:numId w:val="8"/>
        </w:numPr>
        <w:spacing w:after="220"/>
        <w:ind w:left="1166"/>
        <w:rPr>
          <w:szCs w:val="22"/>
          <w:lang w:val="es-419"/>
        </w:rPr>
      </w:pPr>
      <w:r w:rsidRPr="00967B4B">
        <w:rPr>
          <w:szCs w:val="22"/>
          <w:lang w:val="es-419"/>
        </w:rPr>
        <w:t>c</w:t>
      </w:r>
      <w:r w:rsidR="004465EF" w:rsidRPr="00967B4B">
        <w:rPr>
          <w:szCs w:val="22"/>
          <w:lang w:val="es-419"/>
        </w:rPr>
        <w:t>onsiderar la posibilidad de utilizar la tecnología de cadenas de bloques en los procesos relativos a la concesión de protección para los derechos de PI y al tratamiento de la información sobre los objetos de PI y su utilización;</w:t>
      </w:r>
    </w:p>
    <w:p w:rsidR="00E95367" w:rsidRPr="00967B4B" w:rsidRDefault="00553E61" w:rsidP="004465EF">
      <w:pPr>
        <w:pStyle w:val="ListParagraph"/>
        <w:numPr>
          <w:ilvl w:val="0"/>
          <w:numId w:val="8"/>
        </w:numPr>
        <w:spacing w:after="220"/>
        <w:ind w:left="1166"/>
        <w:rPr>
          <w:szCs w:val="22"/>
          <w:lang w:val="es-419"/>
        </w:rPr>
      </w:pPr>
      <w:r w:rsidRPr="00967B4B">
        <w:rPr>
          <w:szCs w:val="22"/>
          <w:lang w:val="es-419"/>
        </w:rPr>
        <w:t>r</w:t>
      </w:r>
      <w:r w:rsidR="004465EF" w:rsidRPr="00967B4B">
        <w:rPr>
          <w:szCs w:val="22"/>
          <w:lang w:val="es-419"/>
        </w:rPr>
        <w:t>ecopilar información sobre los avances de las Oficinas de PI en la utilización de la cadena de bloques y la experiencia obtenida en este ámbito, evaluar las normas técnicas relativas a la cadena de bloques vigentes en el sector y considerar su validez y aplicabilidad en las Oficinas de PI;</w:t>
      </w:r>
    </w:p>
    <w:p w:rsidR="00E95367" w:rsidRPr="00967B4B" w:rsidRDefault="00553E61" w:rsidP="004465EF">
      <w:pPr>
        <w:pStyle w:val="ListParagraph"/>
        <w:numPr>
          <w:ilvl w:val="0"/>
          <w:numId w:val="8"/>
        </w:numPr>
        <w:spacing w:after="220"/>
        <w:ind w:left="1166"/>
        <w:rPr>
          <w:szCs w:val="22"/>
          <w:lang w:val="es-419"/>
        </w:rPr>
      </w:pPr>
      <w:r w:rsidRPr="00967B4B">
        <w:rPr>
          <w:szCs w:val="22"/>
          <w:lang w:val="es-419"/>
        </w:rPr>
        <w:lastRenderedPageBreak/>
        <w:t>e</w:t>
      </w:r>
      <w:r w:rsidR="004465EF" w:rsidRPr="00967B4B">
        <w:rPr>
          <w:szCs w:val="22"/>
          <w:lang w:val="es-419"/>
        </w:rPr>
        <w:t>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rsidR="00E95367" w:rsidRPr="00967B4B" w:rsidRDefault="00553E61" w:rsidP="004465EF">
      <w:pPr>
        <w:pStyle w:val="ListParagraph"/>
        <w:numPr>
          <w:ilvl w:val="0"/>
          <w:numId w:val="8"/>
        </w:numPr>
        <w:spacing w:after="220"/>
        <w:ind w:left="1166"/>
        <w:rPr>
          <w:szCs w:val="22"/>
          <w:lang w:val="es-419"/>
        </w:rPr>
      </w:pPr>
      <w:r w:rsidRPr="00967B4B">
        <w:rPr>
          <w:szCs w:val="22"/>
          <w:lang w:val="es-419"/>
        </w:rPr>
        <w:t>p</w:t>
      </w:r>
      <w:r w:rsidR="004465EF" w:rsidRPr="00967B4B">
        <w:rPr>
          <w:szCs w:val="22"/>
          <w:lang w:val="es-419"/>
        </w:rPr>
        <w:t>reparar una propuesta de nueva norma técnica de la OMPI que apoye la posible aplicación de la tecnología de la cadena de bloques en el ecosistema de la PI.</w:t>
      </w:r>
    </w:p>
    <w:p w:rsidR="00E95367" w:rsidRPr="00967B4B" w:rsidRDefault="006C15A4" w:rsidP="00BD72D9">
      <w:pPr>
        <w:spacing w:after="120"/>
        <w:ind w:firstLine="357"/>
        <w:rPr>
          <w:u w:val="single"/>
          <w:lang w:val="es-419"/>
        </w:rPr>
      </w:pPr>
      <w:r w:rsidRPr="00967B4B">
        <w:rPr>
          <w:u w:val="single"/>
          <w:lang w:val="es-419"/>
        </w:rPr>
        <w:t>Declaración de alcance:</w:t>
      </w:r>
    </w:p>
    <w:p w:rsidR="00E95367" w:rsidRPr="00967B4B" w:rsidRDefault="00042FDA" w:rsidP="00BD72D9">
      <w:pPr>
        <w:spacing w:after="480"/>
        <w:ind w:left="357"/>
        <w:rPr>
          <w:szCs w:val="22"/>
          <w:lang w:val="es-419"/>
        </w:rPr>
      </w:pPr>
      <w:r w:rsidRPr="00967B4B">
        <w:rPr>
          <w:szCs w:val="22"/>
          <w:lang w:val="es-419"/>
        </w:rPr>
        <w:t>“El objetivo de esta n</w:t>
      </w:r>
      <w:r w:rsidR="006C15A4" w:rsidRPr="00967B4B">
        <w:rPr>
          <w:szCs w:val="22"/>
          <w:lang w:val="es-419"/>
        </w:rPr>
        <w:t>orma técnica es proporcionar orientación a las Oficinas de PI y a otras organizaciones que necesitan gestionar, almacenar, procesar, intercambiar y difundir datos de PI mediante la cadena de bloques. Con el uso de esta norma, se pretende simplificar y acelerar la aplicación de la cadena de bloques, dotándola de interoperabilidad en el ecosistema de PI.” (Véase el párrafo 67 del documento CWS/7/29).</w:t>
      </w:r>
    </w:p>
    <w:p w:rsidR="00E95367" w:rsidRPr="00967B4B" w:rsidRDefault="004615BE" w:rsidP="009C0F65">
      <w:pPr>
        <w:pStyle w:val="Heading2"/>
        <w:rPr>
          <w:lang w:val="es-419"/>
        </w:rPr>
      </w:pPr>
      <w:r w:rsidRPr="00967B4B">
        <w:rPr>
          <w:lang w:val="es-419"/>
        </w:rPr>
        <w:t>Informe sobre la marcha de las actividades</w:t>
      </w:r>
    </w:p>
    <w:p w:rsidR="00E95367" w:rsidRPr="00967B4B" w:rsidRDefault="009C0F65" w:rsidP="00BD72D9">
      <w:pPr>
        <w:pStyle w:val="Heading3"/>
        <w:spacing w:after="120"/>
        <w:rPr>
          <w:lang w:val="es-419"/>
        </w:rPr>
      </w:pPr>
      <w:r w:rsidRPr="00967B4B">
        <w:rPr>
          <w:lang w:val="es-419"/>
        </w:rPr>
        <w:t>Ex</w:t>
      </w:r>
      <w:r w:rsidR="004615BE" w:rsidRPr="00967B4B">
        <w:rPr>
          <w:lang w:val="es-419"/>
        </w:rPr>
        <w:t>amen de las posibilidades que ofrece la tecnología de la cadena de bloques</w:t>
      </w:r>
    </w:p>
    <w:p w:rsidR="00A25FF0" w:rsidRPr="00967B4B" w:rsidRDefault="009C0F65" w:rsidP="00BD72D9">
      <w:pPr>
        <w:pStyle w:val="ONUMFS"/>
        <w:numPr>
          <w:ilvl w:val="0"/>
          <w:numId w:val="0"/>
        </w:numPr>
        <w:spacing w:after="360"/>
        <w:rPr>
          <w:lang w:val="es-419"/>
        </w:rPr>
      </w:pPr>
      <w:r w:rsidRPr="00967B4B">
        <w:rPr>
          <w:lang w:val="es-419"/>
        </w:rPr>
        <w:fldChar w:fldCharType="begin"/>
      </w:r>
      <w:r w:rsidRPr="00967B4B">
        <w:rPr>
          <w:lang w:val="es-419"/>
        </w:rPr>
        <w:instrText xml:space="preserve"> AUTONUM  </w:instrText>
      </w:r>
      <w:r w:rsidRPr="00967B4B">
        <w:rPr>
          <w:lang w:val="es-419"/>
        </w:rPr>
        <w:fldChar w:fldCharType="end"/>
      </w:r>
      <w:r w:rsidRPr="00967B4B">
        <w:rPr>
          <w:lang w:val="es-419"/>
        </w:rPr>
        <w:tab/>
      </w:r>
      <w:r w:rsidR="00A25FF0" w:rsidRPr="00967B4B">
        <w:rPr>
          <w:lang w:val="es-419"/>
        </w:rPr>
        <w:t xml:space="preserve">Desde la octava sesión del CWS, la Oficina Internacional ha avanzado en la elaboración de un libro blanco relativo a la cadena de bloques </w:t>
      </w:r>
      <w:r w:rsidR="000A12AA" w:rsidRPr="00967B4B">
        <w:rPr>
          <w:lang w:val="es-419"/>
        </w:rPr>
        <w:t xml:space="preserve">para los ecosistemas de la PI. </w:t>
      </w:r>
      <w:r w:rsidR="00A25FF0" w:rsidRPr="00967B4B">
        <w:rPr>
          <w:lang w:val="es-419"/>
        </w:rPr>
        <w:t xml:space="preserve">El Equipo Técnico señala que este libro es un documento extenso que ofrece un estudio de los ecosistemas de la PI y muchos casos </w:t>
      </w:r>
      <w:r w:rsidR="006F6685" w:rsidRPr="00967B4B">
        <w:rPr>
          <w:lang w:val="es-419"/>
        </w:rPr>
        <w:t>prácticos</w:t>
      </w:r>
      <w:r w:rsidR="00A25FF0" w:rsidRPr="00967B4B">
        <w:rPr>
          <w:lang w:val="es-419"/>
        </w:rPr>
        <w:t>, tanto horizontales (orientados a la tecnología o a las plataformas) como verticales (orientados a los procesos operacionales o a las fu</w:t>
      </w:r>
      <w:r w:rsidR="000A12AA" w:rsidRPr="00967B4B">
        <w:rPr>
          <w:lang w:val="es-419"/>
        </w:rPr>
        <w:t xml:space="preserve">nciones). </w:t>
      </w:r>
      <w:r w:rsidR="00A25FF0" w:rsidRPr="00967B4B">
        <w:rPr>
          <w:lang w:val="es-419"/>
        </w:rPr>
        <w:t>Para ello se tomó como base la amplia investigación lle</w:t>
      </w:r>
      <w:r w:rsidR="000A12AA" w:rsidRPr="00967B4B">
        <w:rPr>
          <w:lang w:val="es-419"/>
        </w:rPr>
        <w:t xml:space="preserve">vada a cabo entre 2019 y 2021. </w:t>
      </w:r>
      <w:r w:rsidR="00A25FF0" w:rsidRPr="00967B4B">
        <w:rPr>
          <w:lang w:val="es-419"/>
        </w:rPr>
        <w:t>El Equipo Técnico examinó los proyectos de documentos y formuló observaciones al respecto.</w:t>
      </w:r>
    </w:p>
    <w:p w:rsidR="00E95367" w:rsidRPr="00967B4B" w:rsidRDefault="00E61DB2" w:rsidP="00BD72D9">
      <w:pPr>
        <w:pStyle w:val="Heading3"/>
        <w:spacing w:after="120"/>
        <w:rPr>
          <w:lang w:val="es-419"/>
        </w:rPr>
      </w:pPr>
      <w:r w:rsidRPr="00967B4B">
        <w:rPr>
          <w:lang w:val="es-419"/>
        </w:rPr>
        <w:t>Recopilación de informació</w:t>
      </w:r>
      <w:r w:rsidR="009C0F65" w:rsidRPr="00967B4B">
        <w:rPr>
          <w:lang w:val="es-419"/>
        </w:rPr>
        <w:t>n</w:t>
      </w:r>
    </w:p>
    <w:p w:rsidR="00192983" w:rsidRPr="00967B4B" w:rsidRDefault="009C0F65" w:rsidP="00192983">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00C80E91" w:rsidRPr="00967B4B">
        <w:rPr>
          <w:szCs w:val="22"/>
          <w:lang w:val="es-419"/>
        </w:rPr>
        <w:tab/>
      </w:r>
      <w:r w:rsidR="00192983" w:rsidRPr="00967B4B">
        <w:rPr>
          <w:szCs w:val="22"/>
          <w:lang w:val="es-419"/>
        </w:rPr>
        <w:t xml:space="preserve">En 2021 el Equipo Técnico sobre la Cadena de Bloques siguió analizando casos </w:t>
      </w:r>
      <w:r w:rsidR="006F6685" w:rsidRPr="00967B4B">
        <w:rPr>
          <w:szCs w:val="22"/>
          <w:lang w:val="es-419"/>
        </w:rPr>
        <w:t>prácticos</w:t>
      </w:r>
      <w:r w:rsidR="00192983" w:rsidRPr="00967B4B">
        <w:rPr>
          <w:szCs w:val="22"/>
          <w:lang w:val="es-419"/>
        </w:rPr>
        <w:t xml:space="preserve"> reales y adelantos</w:t>
      </w:r>
      <w:r w:rsidR="000A12AA" w:rsidRPr="00967B4B">
        <w:rPr>
          <w:szCs w:val="22"/>
          <w:lang w:val="es-419"/>
        </w:rPr>
        <w:t xml:space="preserve"> que están utilizando las OPI. </w:t>
      </w:r>
      <w:r w:rsidR="00192983" w:rsidRPr="00967B4B">
        <w:rPr>
          <w:szCs w:val="22"/>
          <w:lang w:val="es-419"/>
        </w:rPr>
        <w:t>Las dos aplicaciones más destacadas de la tecnología de la cadena de bloques se encuentran en la labor que está realizando la Oficina de Propiedad Intelectual de la Unión Europea (EUIPO) en relación con el desarrollo d</w:t>
      </w:r>
      <w:r w:rsidR="00176035" w:rsidRPr="00967B4B">
        <w:rPr>
          <w:szCs w:val="22"/>
          <w:lang w:val="es-419"/>
        </w:rPr>
        <w:t>el registro de marcas y diseños</w:t>
      </w:r>
      <w:r w:rsidR="00192983" w:rsidRPr="00967B4B">
        <w:rPr>
          <w:szCs w:val="22"/>
          <w:lang w:val="es-419"/>
        </w:rPr>
        <w:t xml:space="preserve"> y en la plataforma digital distribuida de R</w:t>
      </w:r>
      <w:r w:rsidR="001C566C" w:rsidRPr="00967B4B">
        <w:rPr>
          <w:szCs w:val="22"/>
          <w:lang w:val="es-419"/>
        </w:rPr>
        <w:t>ospatent</w:t>
      </w:r>
      <w:r w:rsidR="00192983" w:rsidRPr="00967B4B">
        <w:rPr>
          <w:szCs w:val="22"/>
          <w:lang w:val="es-419"/>
        </w:rPr>
        <w:t xml:space="preserve"> para la gestión de los derechos de PI, que se encuentra en fase de prueba.</w:t>
      </w:r>
    </w:p>
    <w:p w:rsidR="00E95367" w:rsidRPr="00967B4B" w:rsidRDefault="009C0F65" w:rsidP="00DD7AE4">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3C26DD" w:rsidRPr="00967B4B">
        <w:rPr>
          <w:szCs w:val="22"/>
          <w:lang w:val="es-419"/>
        </w:rPr>
        <w:t>Durante el bienio 2020-20</w:t>
      </w:r>
      <w:r w:rsidR="003B564D" w:rsidRPr="00967B4B">
        <w:rPr>
          <w:szCs w:val="22"/>
          <w:lang w:val="es-419"/>
        </w:rPr>
        <w:t xml:space="preserve">21, el Equipo Técnico celebró tres reuniones virtuales, en octubre de 2020, </w:t>
      </w:r>
      <w:r w:rsidR="000A12AA" w:rsidRPr="00967B4B">
        <w:rPr>
          <w:szCs w:val="22"/>
          <w:lang w:val="es-419"/>
        </w:rPr>
        <w:t xml:space="preserve">marzo de 2021 y julio de 2021. </w:t>
      </w:r>
      <w:r w:rsidR="003B564D" w:rsidRPr="00967B4B">
        <w:rPr>
          <w:szCs w:val="22"/>
          <w:lang w:val="es-419"/>
        </w:rPr>
        <w:t>En la reunión de marzo el Equipo Técnico analizó y examinó la idea de establecer cuatro subtareas, a saber:</w:t>
      </w:r>
    </w:p>
    <w:p w:rsidR="00E95367" w:rsidRPr="00967B4B" w:rsidRDefault="003B564D" w:rsidP="003B564D">
      <w:pPr>
        <w:pStyle w:val="ListParagraph"/>
        <w:numPr>
          <w:ilvl w:val="0"/>
          <w:numId w:val="8"/>
        </w:numPr>
        <w:spacing w:after="220"/>
        <w:ind w:left="1166"/>
        <w:rPr>
          <w:szCs w:val="22"/>
          <w:lang w:val="es-419"/>
        </w:rPr>
      </w:pPr>
      <w:r w:rsidRPr="00967B4B">
        <w:rPr>
          <w:szCs w:val="22"/>
          <w:lang w:val="es-419"/>
        </w:rPr>
        <w:t>reglamentación, centrada en estudiar la armonización de los marcos reglamentarios;</w:t>
      </w:r>
    </w:p>
    <w:p w:rsidR="00E95367" w:rsidRPr="00967B4B" w:rsidRDefault="003B564D" w:rsidP="003B564D">
      <w:pPr>
        <w:pStyle w:val="ListParagraph"/>
        <w:numPr>
          <w:ilvl w:val="0"/>
          <w:numId w:val="8"/>
        </w:numPr>
        <w:spacing w:after="220"/>
        <w:ind w:left="1166"/>
        <w:rPr>
          <w:szCs w:val="22"/>
          <w:lang w:val="es-419"/>
        </w:rPr>
      </w:pPr>
      <w:r w:rsidRPr="00967B4B">
        <w:rPr>
          <w:szCs w:val="22"/>
          <w:lang w:val="es-419"/>
        </w:rPr>
        <w:t>gobernanza, centrada en la compatibilidad entre las estructuras de gobernanza de la cadena de bloques a efectos de interoperabilidad entre las soluciones basadas en ella;</w:t>
      </w:r>
    </w:p>
    <w:p w:rsidR="00E95367" w:rsidRPr="00967B4B" w:rsidRDefault="003B564D" w:rsidP="003B564D">
      <w:pPr>
        <w:pStyle w:val="ListParagraph"/>
        <w:numPr>
          <w:ilvl w:val="0"/>
          <w:numId w:val="8"/>
        </w:numPr>
        <w:spacing w:after="220"/>
        <w:ind w:left="1166"/>
        <w:rPr>
          <w:szCs w:val="22"/>
          <w:lang w:val="es-419"/>
        </w:rPr>
      </w:pPr>
      <w:r w:rsidRPr="00967B4B">
        <w:rPr>
          <w:szCs w:val="22"/>
          <w:lang w:val="es-419"/>
        </w:rPr>
        <w:t>normas técnicas, centrada en el establecimiento de normas técnicas comunes, con atención especial a la normalización técnica de la tecnología de la cadena de bloques en el ecosistema de la PI; y</w:t>
      </w:r>
    </w:p>
    <w:p w:rsidR="00E95367" w:rsidRPr="00967B4B" w:rsidRDefault="00990FEC" w:rsidP="003B564D">
      <w:pPr>
        <w:pStyle w:val="ListParagraph"/>
        <w:numPr>
          <w:ilvl w:val="0"/>
          <w:numId w:val="8"/>
        </w:numPr>
        <w:spacing w:after="220"/>
        <w:ind w:left="1166"/>
        <w:rPr>
          <w:szCs w:val="22"/>
          <w:lang w:val="es-419"/>
        </w:rPr>
      </w:pPr>
      <w:r w:rsidRPr="00967B4B">
        <w:rPr>
          <w:szCs w:val="22"/>
          <w:lang w:val="es-419"/>
        </w:rPr>
        <w:t>casos prácti</w:t>
      </w:r>
      <w:r w:rsidR="003B564D" w:rsidRPr="00967B4B">
        <w:rPr>
          <w:szCs w:val="22"/>
          <w:lang w:val="es-419"/>
        </w:rPr>
        <w:t>cos, centrada en recopilar posibles casos prácticos de utilización de la cadena de bloques y describir sus ventajas.</w:t>
      </w:r>
    </w:p>
    <w:p w:rsidR="007E3D98" w:rsidRPr="00967B4B" w:rsidRDefault="009C0F65" w:rsidP="00BD72D9">
      <w:pPr>
        <w:spacing w:after="240"/>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7E3D98" w:rsidRPr="00967B4B">
        <w:rPr>
          <w:szCs w:val="22"/>
          <w:lang w:val="es-419"/>
        </w:rPr>
        <w:t>El Equipo Técnico examinó asimismo los modelos de establecimiento</w:t>
      </w:r>
      <w:r w:rsidR="000A12AA" w:rsidRPr="00967B4B">
        <w:rPr>
          <w:szCs w:val="22"/>
          <w:lang w:val="es-419"/>
        </w:rPr>
        <w:t xml:space="preserve"> de alianzas público-privadas. </w:t>
      </w:r>
      <w:r w:rsidR="007E3D98" w:rsidRPr="00967B4B">
        <w:rPr>
          <w:szCs w:val="22"/>
          <w:lang w:val="es-419"/>
        </w:rPr>
        <w:t xml:space="preserve">Como resultado de ello, el Equipo Técnico sopesa la posibilidad de crear otro foro que estaría destinado a seleccionar el material que se comparte con los observadores del </w:t>
      </w:r>
      <w:r w:rsidR="000A12AA" w:rsidRPr="00967B4B">
        <w:rPr>
          <w:szCs w:val="22"/>
          <w:lang w:val="es-419"/>
        </w:rPr>
        <w:t>sector privado.</w:t>
      </w:r>
      <w:r w:rsidR="007E3D98" w:rsidRPr="00967B4B">
        <w:rPr>
          <w:szCs w:val="22"/>
          <w:lang w:val="es-419"/>
        </w:rPr>
        <w:t xml:space="preserve"> Los responsables del Equipo Técnico también proporcionaron una actualización respecto de la elaboración de la nueva norma de la OMPI sobre la cadena de bloques y celebraron mesas redondas sobre las actividades y los posibles casos prácticos de utilización de la cadena de bloques.</w:t>
      </w:r>
    </w:p>
    <w:p w:rsidR="00E95367" w:rsidRPr="00967B4B" w:rsidRDefault="009C0F65" w:rsidP="00DD7AE4">
      <w:pPr>
        <w:pStyle w:val="ONUMFS"/>
        <w:numPr>
          <w:ilvl w:val="0"/>
          <w:numId w:val="0"/>
        </w:numPr>
        <w:rPr>
          <w:szCs w:val="22"/>
          <w:lang w:val="es-419"/>
        </w:rPr>
      </w:pPr>
      <w:r w:rsidRPr="00967B4B">
        <w:rPr>
          <w:szCs w:val="22"/>
          <w:lang w:val="es-419"/>
        </w:rPr>
        <w:fldChar w:fldCharType="begin"/>
      </w:r>
      <w:r w:rsidRPr="00967B4B">
        <w:rPr>
          <w:szCs w:val="22"/>
          <w:lang w:val="es-419"/>
        </w:rPr>
        <w:instrText xml:space="preserve"> AUTONUM  </w:instrText>
      </w:r>
      <w:r w:rsidRPr="00967B4B">
        <w:rPr>
          <w:szCs w:val="22"/>
          <w:lang w:val="es-419"/>
        </w:rPr>
        <w:fldChar w:fldCharType="end"/>
      </w:r>
      <w:r w:rsidRPr="00967B4B">
        <w:rPr>
          <w:szCs w:val="22"/>
          <w:lang w:val="es-419"/>
        </w:rPr>
        <w:tab/>
      </w:r>
      <w:r w:rsidR="00BF62D4" w:rsidRPr="00967B4B">
        <w:rPr>
          <w:szCs w:val="22"/>
          <w:lang w:val="es-419"/>
        </w:rPr>
        <w:t>En julio de 2021 el Equipo Técnico mantuvo la segunda ronda de deba</w:t>
      </w:r>
      <w:r w:rsidR="001577CB" w:rsidRPr="00967B4B">
        <w:rPr>
          <w:szCs w:val="22"/>
          <w:lang w:val="es-419"/>
        </w:rPr>
        <w:t>tes centrados en el proyecto de</w:t>
      </w:r>
      <w:r w:rsidR="00BF62D4" w:rsidRPr="00967B4B">
        <w:rPr>
          <w:szCs w:val="22"/>
          <w:lang w:val="es-419"/>
        </w:rPr>
        <w:t xml:space="preserve"> libro blanco de la OMPI relativo a la cadena de bloques, el proyecto de norma sobre la cadena de bloques y el plan de trabajo del Equipo Técnico sobre la </w:t>
      </w:r>
      <w:r w:rsidR="00BF4075" w:rsidRPr="00967B4B">
        <w:rPr>
          <w:szCs w:val="22"/>
          <w:lang w:val="es-419"/>
        </w:rPr>
        <w:t>C</w:t>
      </w:r>
      <w:r w:rsidR="00BF62D4" w:rsidRPr="00967B4B">
        <w:rPr>
          <w:szCs w:val="22"/>
          <w:lang w:val="es-419"/>
        </w:rPr>
        <w:t xml:space="preserve">adena de </w:t>
      </w:r>
      <w:r w:rsidR="00BF4075" w:rsidRPr="00967B4B">
        <w:rPr>
          <w:szCs w:val="22"/>
          <w:lang w:val="es-419"/>
        </w:rPr>
        <w:t>B</w:t>
      </w:r>
      <w:r w:rsidR="00BF62D4" w:rsidRPr="00967B4B">
        <w:rPr>
          <w:szCs w:val="22"/>
          <w:lang w:val="es-419"/>
        </w:rPr>
        <w:t>loques, y examinó los planes para la organización de un semina</w:t>
      </w:r>
      <w:r w:rsidR="00BD72D9" w:rsidRPr="00967B4B">
        <w:rPr>
          <w:szCs w:val="22"/>
          <w:lang w:val="es-419"/>
        </w:rPr>
        <w:t>rio web en septiembre de </w:t>
      </w:r>
      <w:r w:rsidR="000A12AA" w:rsidRPr="00967B4B">
        <w:rPr>
          <w:szCs w:val="22"/>
          <w:lang w:val="es-419"/>
        </w:rPr>
        <w:t xml:space="preserve">2021. </w:t>
      </w:r>
      <w:r w:rsidR="00BF62D4" w:rsidRPr="00967B4B">
        <w:rPr>
          <w:szCs w:val="22"/>
          <w:lang w:val="es-419"/>
        </w:rPr>
        <w:t>Los responsables del Equipo Técnico ofrecieron una actualización sobre el estado en que se encuentra el proyecto de norma sobre la cadena de bloques y presentaron casos prácticos pertinentes de aplicación a cargo de las OPI.</w:t>
      </w:r>
    </w:p>
    <w:p w:rsidR="00E95367" w:rsidRPr="00967B4B" w:rsidRDefault="00941293" w:rsidP="00BD72D9">
      <w:pPr>
        <w:pStyle w:val="Heading3"/>
        <w:spacing w:after="120"/>
        <w:rPr>
          <w:lang w:val="es-419"/>
        </w:rPr>
      </w:pPr>
      <w:r w:rsidRPr="00967B4B">
        <w:rPr>
          <w:lang w:val="es-419"/>
        </w:rPr>
        <w:t>Modelo de referencia</w:t>
      </w:r>
    </w:p>
    <w:p w:rsidR="00E95367" w:rsidRPr="00967B4B" w:rsidRDefault="00D61D36" w:rsidP="00DD7AE4">
      <w:pPr>
        <w:pStyle w:val="ONUMFS"/>
        <w:numPr>
          <w:ilvl w:val="0"/>
          <w:numId w:val="0"/>
        </w:numPr>
        <w:rPr>
          <w:szCs w:val="22"/>
          <w:lang w:val="es-419"/>
        </w:rPr>
      </w:pPr>
      <w:r>
        <w:rPr>
          <w:szCs w:val="22"/>
          <w:lang w:val="es-419"/>
        </w:rPr>
        <w:fldChar w:fldCharType="begin"/>
      </w:r>
      <w:r>
        <w:rPr>
          <w:szCs w:val="22"/>
          <w:lang w:val="es-419"/>
        </w:rPr>
        <w:instrText xml:space="preserve"> AUTONUM  </w:instrText>
      </w:r>
      <w:r>
        <w:rPr>
          <w:szCs w:val="22"/>
          <w:lang w:val="es-419"/>
        </w:rPr>
        <w:fldChar w:fldCharType="end"/>
      </w:r>
      <w:r>
        <w:rPr>
          <w:szCs w:val="22"/>
          <w:lang w:val="es-419"/>
        </w:rPr>
        <w:tab/>
      </w:r>
      <w:r w:rsidR="00565A01" w:rsidRPr="00967B4B">
        <w:rPr>
          <w:szCs w:val="22"/>
          <w:lang w:val="es-419"/>
        </w:rPr>
        <w:t>El libro blanco de la Oficina Internacional contiene un texto adjunto sobre la cadena de bloques en todos los ecosistemas de la PI</w:t>
      </w:r>
      <w:r w:rsidR="00D12225" w:rsidRPr="00967B4B">
        <w:rPr>
          <w:szCs w:val="22"/>
          <w:lang w:val="es-419"/>
        </w:rPr>
        <w:t>,</w:t>
      </w:r>
      <w:r w:rsidR="00565A01" w:rsidRPr="00967B4B">
        <w:rPr>
          <w:szCs w:val="22"/>
          <w:lang w:val="es-419"/>
        </w:rPr>
        <w:t xml:space="preserve"> en el que se examinan los ecosistemas y los casos en que las aplicaciones de la cadena</w:t>
      </w:r>
      <w:r w:rsidR="000A12AA" w:rsidRPr="00967B4B">
        <w:rPr>
          <w:szCs w:val="22"/>
          <w:lang w:val="es-419"/>
        </w:rPr>
        <w:t xml:space="preserve"> de bloques pueden ser útiles. </w:t>
      </w:r>
      <w:r w:rsidR="00565A01" w:rsidRPr="00967B4B">
        <w:rPr>
          <w:szCs w:val="22"/>
          <w:lang w:val="es-419"/>
        </w:rPr>
        <w:t>Por ejemplo, las aplicaciones de la cadena de bloques pueden ser útiles como sistema de gestión de la identidad que no esté controlado por una sola jurisdicción o entidad, sino que sea accesibl</w:t>
      </w:r>
      <w:r w:rsidR="00E343D1" w:rsidRPr="00967B4B">
        <w:rPr>
          <w:szCs w:val="22"/>
          <w:lang w:val="es-419"/>
        </w:rPr>
        <w:t xml:space="preserve">e por cualquiera de las partes </w:t>
      </w:r>
      <w:r w:rsidR="00565A01" w:rsidRPr="00967B4B">
        <w:rPr>
          <w:szCs w:val="22"/>
          <w:lang w:val="es-419"/>
        </w:rPr>
        <w:t>que intervienen en los ecosistemas, lo que proporciona una identificación común que pueden utilizar todos los participantes en los ecosistemas.</w:t>
      </w:r>
    </w:p>
    <w:p w:rsidR="00E95367" w:rsidRPr="00967B4B" w:rsidRDefault="00D61D36" w:rsidP="00DD7AE4">
      <w:pPr>
        <w:pStyle w:val="ONUMFS"/>
        <w:numPr>
          <w:ilvl w:val="0"/>
          <w:numId w:val="0"/>
        </w:numPr>
        <w:rPr>
          <w:szCs w:val="22"/>
          <w:lang w:val="es-419"/>
        </w:rPr>
      </w:pPr>
      <w:r>
        <w:rPr>
          <w:szCs w:val="22"/>
          <w:lang w:val="es-419"/>
        </w:rPr>
        <w:fldChar w:fldCharType="begin"/>
      </w:r>
      <w:r>
        <w:rPr>
          <w:szCs w:val="22"/>
          <w:lang w:val="es-419"/>
        </w:rPr>
        <w:instrText xml:space="preserve"> AUTONUM  </w:instrText>
      </w:r>
      <w:r>
        <w:rPr>
          <w:szCs w:val="22"/>
          <w:lang w:val="es-419"/>
        </w:rPr>
        <w:fldChar w:fldCharType="end"/>
      </w:r>
      <w:r>
        <w:rPr>
          <w:szCs w:val="22"/>
          <w:lang w:val="es-419"/>
        </w:rPr>
        <w:tab/>
      </w:r>
      <w:r w:rsidR="00931A3E" w:rsidRPr="00967B4B">
        <w:rPr>
          <w:szCs w:val="22"/>
          <w:lang w:val="es-419"/>
        </w:rPr>
        <w:t>El Equipo Técnico sigue supervisando la labor encaminada a conocer la tecnología y la configuración de sistemas de las aplicaciones de la cadena de bloques. Ante la escasez de ejemplos y la gran variedad de soluciones posibles, sería prematuro empezar a formular recomendaciones detalladas en este momento.</w:t>
      </w:r>
    </w:p>
    <w:p w:rsidR="00E95367" w:rsidRPr="00967B4B" w:rsidRDefault="00990FEC" w:rsidP="00BD72D9">
      <w:pPr>
        <w:pStyle w:val="Heading3"/>
        <w:spacing w:after="120"/>
        <w:rPr>
          <w:lang w:val="es-419"/>
        </w:rPr>
      </w:pPr>
      <w:r w:rsidRPr="00967B4B">
        <w:rPr>
          <w:lang w:val="es-419"/>
        </w:rPr>
        <w:t xml:space="preserve">Propuesta de </w:t>
      </w:r>
      <w:r w:rsidR="00A3412B" w:rsidRPr="00967B4B">
        <w:rPr>
          <w:lang w:val="es-419"/>
        </w:rPr>
        <w:t>nueva norma</w:t>
      </w:r>
    </w:p>
    <w:p w:rsidR="00E95367" w:rsidRPr="00967B4B" w:rsidRDefault="00D61D36" w:rsidP="00DD7AE4">
      <w:pPr>
        <w:pStyle w:val="ONUMFS"/>
        <w:numPr>
          <w:ilvl w:val="0"/>
          <w:numId w:val="0"/>
        </w:numPr>
        <w:rPr>
          <w:szCs w:val="22"/>
          <w:lang w:val="es-419"/>
        </w:rPr>
      </w:pPr>
      <w:r>
        <w:rPr>
          <w:szCs w:val="22"/>
          <w:lang w:val="es-419"/>
        </w:rPr>
        <w:fldChar w:fldCharType="begin"/>
      </w:r>
      <w:r>
        <w:rPr>
          <w:szCs w:val="22"/>
          <w:lang w:val="es-419"/>
        </w:rPr>
        <w:instrText xml:space="preserve"> AUTONUM  </w:instrText>
      </w:r>
      <w:r>
        <w:rPr>
          <w:szCs w:val="22"/>
          <w:lang w:val="es-419"/>
        </w:rPr>
        <w:fldChar w:fldCharType="end"/>
      </w:r>
      <w:r>
        <w:rPr>
          <w:szCs w:val="22"/>
          <w:lang w:val="es-419"/>
        </w:rPr>
        <w:tab/>
      </w:r>
      <w:r w:rsidR="00A3412B" w:rsidRPr="00967B4B">
        <w:rPr>
          <w:szCs w:val="22"/>
          <w:lang w:val="es-419"/>
        </w:rPr>
        <w:t>La labor de elaboración de una nueva norma de la OMPI ha avanzado y se ha distribuido un proyecto de</w:t>
      </w:r>
      <w:r w:rsidR="004818A6" w:rsidRPr="00967B4B">
        <w:rPr>
          <w:szCs w:val="22"/>
          <w:lang w:val="es-419"/>
        </w:rPr>
        <w:t xml:space="preserve"> norma a nivel interno en el </w:t>
      </w:r>
      <w:r w:rsidR="00A3412B" w:rsidRPr="00967B4B">
        <w:rPr>
          <w:szCs w:val="22"/>
          <w:lang w:val="es-419"/>
        </w:rPr>
        <w:t xml:space="preserve">Equipo Técnico para </w:t>
      </w:r>
      <w:r w:rsidR="000A12AA" w:rsidRPr="00967B4B">
        <w:rPr>
          <w:szCs w:val="22"/>
          <w:lang w:val="es-419"/>
        </w:rPr>
        <w:t xml:space="preserve">que se formulen observaciones. </w:t>
      </w:r>
      <w:r w:rsidR="00A3412B" w:rsidRPr="00967B4B">
        <w:rPr>
          <w:szCs w:val="22"/>
          <w:lang w:val="es-419"/>
        </w:rPr>
        <w:t>El objetivo del proyecto de norma sobre la cadena de bloques es proporcionar una terminología y unas definiciones normalizadas, además de ofrecer orientación sobre dificultades relacionadas con la configuración de alto nivel y sobre los ámbitos de desarrollo de la cadena de bloques para que este sistema sea sostenible.</w:t>
      </w:r>
    </w:p>
    <w:p w:rsidR="00E95367" w:rsidRPr="00967B4B" w:rsidRDefault="00CF2847" w:rsidP="00BD72D9">
      <w:pPr>
        <w:pStyle w:val="Heading3"/>
        <w:spacing w:after="120"/>
        <w:rPr>
          <w:lang w:val="es-419"/>
        </w:rPr>
      </w:pPr>
      <w:r w:rsidRPr="00967B4B">
        <w:rPr>
          <w:lang w:val="es-419"/>
        </w:rPr>
        <w:t>Seminario w</w:t>
      </w:r>
      <w:r w:rsidR="009C0F65" w:rsidRPr="00967B4B">
        <w:rPr>
          <w:lang w:val="es-419"/>
        </w:rPr>
        <w:t>eb</w:t>
      </w:r>
    </w:p>
    <w:p w:rsidR="00E95367" w:rsidRPr="00967B4B" w:rsidRDefault="00D61D36" w:rsidP="00DD7AE4">
      <w:pPr>
        <w:pStyle w:val="ONUMFS"/>
        <w:numPr>
          <w:ilvl w:val="0"/>
          <w:numId w:val="0"/>
        </w:numPr>
        <w:rPr>
          <w:szCs w:val="22"/>
          <w:lang w:val="es-419"/>
        </w:rPr>
      </w:pPr>
      <w:r>
        <w:rPr>
          <w:szCs w:val="22"/>
          <w:lang w:val="es-419"/>
        </w:rPr>
        <w:fldChar w:fldCharType="begin"/>
      </w:r>
      <w:r>
        <w:rPr>
          <w:szCs w:val="22"/>
          <w:lang w:val="es-419"/>
        </w:rPr>
        <w:instrText xml:space="preserve"> AUTONUM  </w:instrText>
      </w:r>
      <w:r>
        <w:rPr>
          <w:szCs w:val="22"/>
          <w:lang w:val="es-419"/>
        </w:rPr>
        <w:fldChar w:fldCharType="end"/>
      </w:r>
      <w:r>
        <w:rPr>
          <w:szCs w:val="22"/>
          <w:lang w:val="es-419"/>
        </w:rPr>
        <w:tab/>
      </w:r>
      <w:r w:rsidR="00BF4075" w:rsidRPr="00967B4B">
        <w:rPr>
          <w:szCs w:val="22"/>
          <w:lang w:val="es-419"/>
        </w:rPr>
        <w:t>El Equipo Técnico sobre la C</w:t>
      </w:r>
      <w:r w:rsidR="000848B6" w:rsidRPr="00967B4B">
        <w:rPr>
          <w:szCs w:val="22"/>
          <w:lang w:val="es-419"/>
        </w:rPr>
        <w:t xml:space="preserve">adena de </w:t>
      </w:r>
      <w:r w:rsidR="00BF4075" w:rsidRPr="00967B4B">
        <w:rPr>
          <w:szCs w:val="22"/>
          <w:lang w:val="es-419"/>
        </w:rPr>
        <w:t>B</w:t>
      </w:r>
      <w:r w:rsidR="000848B6" w:rsidRPr="00967B4B">
        <w:rPr>
          <w:szCs w:val="22"/>
          <w:lang w:val="es-419"/>
        </w:rPr>
        <w:t>loques participó en el</w:t>
      </w:r>
      <w:r w:rsidR="009C0F65" w:rsidRPr="00967B4B">
        <w:rPr>
          <w:szCs w:val="22"/>
          <w:lang w:val="es-419"/>
        </w:rPr>
        <w:t xml:space="preserve"> </w:t>
      </w:r>
      <w:hyperlink r:id="rId9" w:history="1">
        <w:r w:rsidR="000848B6" w:rsidRPr="00967B4B">
          <w:rPr>
            <w:rStyle w:val="Hyperlink"/>
            <w:szCs w:val="22"/>
            <w:lang w:val="es-419"/>
          </w:rPr>
          <w:t>seminario web de la OMPI sobre la cadena de bloques</w:t>
        </w:r>
      </w:hyperlink>
      <w:r w:rsidR="009C0F65" w:rsidRPr="00967B4B">
        <w:rPr>
          <w:szCs w:val="22"/>
          <w:lang w:val="es-419"/>
        </w:rPr>
        <w:t xml:space="preserve"> </w:t>
      </w:r>
      <w:r w:rsidR="00421813" w:rsidRPr="00967B4B">
        <w:rPr>
          <w:szCs w:val="22"/>
          <w:lang w:val="es-419"/>
        </w:rPr>
        <w:t>que organizó la Oficina Internacional el 28 de septiembre de 2021</w:t>
      </w:r>
      <w:r w:rsidR="000A12AA" w:rsidRPr="00967B4B">
        <w:rPr>
          <w:szCs w:val="22"/>
          <w:lang w:val="es-419"/>
        </w:rPr>
        <w:t xml:space="preserve">. </w:t>
      </w:r>
      <w:r w:rsidR="00413923" w:rsidRPr="00967B4B">
        <w:rPr>
          <w:szCs w:val="22"/>
          <w:lang w:val="es-419"/>
        </w:rPr>
        <w:t>El seminario web tenía por objeto explicar el contenido y el alcance del libro blanco y examinar los posibles casos prácticos de utilización de la cadena de bloques en el ámbito de la PI que se e</w:t>
      </w:r>
      <w:r w:rsidR="000A12AA" w:rsidRPr="00967B4B">
        <w:rPr>
          <w:szCs w:val="22"/>
          <w:lang w:val="es-419"/>
        </w:rPr>
        <w:t xml:space="preserve">specifican en el libro blanco. </w:t>
      </w:r>
      <w:r w:rsidR="00413923" w:rsidRPr="00967B4B">
        <w:rPr>
          <w:szCs w:val="22"/>
          <w:lang w:val="es-419"/>
        </w:rPr>
        <w:t>En el seminario web también se presentó la nueva norma propuesta con el fin de recabar opiniones y aportaci</w:t>
      </w:r>
      <w:r w:rsidR="000A12AA" w:rsidRPr="00967B4B">
        <w:rPr>
          <w:szCs w:val="22"/>
          <w:lang w:val="es-419"/>
        </w:rPr>
        <w:t xml:space="preserve">ones de un público más amplio. </w:t>
      </w:r>
      <w:r w:rsidR="00413923" w:rsidRPr="00967B4B">
        <w:rPr>
          <w:szCs w:val="22"/>
          <w:lang w:val="es-419"/>
        </w:rPr>
        <w:t>Entre las presentaciones que se realizaron, los miembros del Equipo Técnico procedentes de R</w:t>
      </w:r>
      <w:r w:rsidR="001C566C" w:rsidRPr="00967B4B">
        <w:rPr>
          <w:szCs w:val="22"/>
          <w:lang w:val="es-419"/>
        </w:rPr>
        <w:t>ospatent</w:t>
      </w:r>
      <w:r w:rsidR="00413923" w:rsidRPr="00967B4B">
        <w:rPr>
          <w:szCs w:val="22"/>
          <w:lang w:val="es-419"/>
        </w:rPr>
        <w:t xml:space="preserve"> ofrecieron una sesión muy informativa sobre su nueva plataforma digital distribuida para la gestión de los derechos de PI y la EUIPO hizo lo propio en relación con el desarrollo del registro de marcas y</w:t>
      </w:r>
      <w:r w:rsidR="000A12AA" w:rsidRPr="00967B4B">
        <w:rPr>
          <w:szCs w:val="22"/>
          <w:lang w:val="es-419"/>
        </w:rPr>
        <w:t xml:space="preserve"> diseños para varias oficinas. </w:t>
      </w:r>
      <w:r w:rsidR="00413923" w:rsidRPr="00967B4B">
        <w:rPr>
          <w:szCs w:val="22"/>
          <w:lang w:val="es-419"/>
        </w:rPr>
        <w:t>Asimismo, las OPI presentaron las propuestas de definición de ecosistema de la PI y cadena de valor de la PI para el proyecto.</w:t>
      </w:r>
    </w:p>
    <w:p w:rsidR="00E95367" w:rsidRPr="00967B4B" w:rsidRDefault="000A12AA" w:rsidP="00BD72D9">
      <w:pPr>
        <w:pStyle w:val="Heading2"/>
        <w:spacing w:after="120"/>
        <w:rPr>
          <w:lang w:val="es-419"/>
        </w:rPr>
      </w:pPr>
      <w:r w:rsidRPr="00967B4B">
        <w:rPr>
          <w:lang w:val="es-419"/>
        </w:rPr>
        <w:t>HOJA DE RUTA Y PLAN DE TRABAJO DEL EQUIPO TÉCNICO SOBRE LA CADENA DE BLOQUES</w:t>
      </w:r>
    </w:p>
    <w:p w:rsidR="00E95367" w:rsidRPr="00967B4B" w:rsidRDefault="00D61D36" w:rsidP="00792437">
      <w:pPr>
        <w:pStyle w:val="ONUMFS"/>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9A1911" w:rsidRPr="00967B4B">
        <w:rPr>
          <w:lang w:val="es-419"/>
        </w:rPr>
        <w:t>El Equipo Técnico sobre la Cadena de Bloques estableció su hoja de ruta para preparar la propuesta de nueva norma técnica de la OMPI que apoye la posible aplicación de la tecnología de cadena de bloques en los ecosistemas de la PI. El Equipo Técnico seguirá trabajando en el desarrollo de la nueva norma según se indica a continuación.</w:t>
      </w:r>
    </w:p>
    <w:p w:rsidR="00E95367" w:rsidRPr="00967B4B" w:rsidRDefault="00C43DBB" w:rsidP="009C0F65">
      <w:pPr>
        <w:pStyle w:val="Heading3"/>
        <w:rPr>
          <w:lang w:val="es-419"/>
        </w:rPr>
      </w:pPr>
      <w:r w:rsidRPr="00967B4B">
        <w:rPr>
          <w:lang w:val="es-419"/>
        </w:rPr>
        <w:t>Hoja de ruta del Equipo Técnico sobre la Cadena de Bloques</w:t>
      </w:r>
    </w:p>
    <w:p w:rsidR="00E95367" w:rsidRPr="00967B4B" w:rsidRDefault="00CD6A0B" w:rsidP="009C0F65">
      <w:pPr>
        <w:pStyle w:val="Heading3"/>
        <w:rPr>
          <w:lang w:val="es-419"/>
        </w:rPr>
      </w:pPr>
      <w:r w:rsidRPr="00967B4B">
        <w:rPr>
          <w:noProof/>
          <w:lang w:val="en-US"/>
        </w:rPr>
        <mc:AlternateContent>
          <mc:Choice Requires="wpg">
            <w:drawing>
              <wp:anchor distT="0" distB="0" distL="114300" distR="114300" simplePos="0" relativeHeight="251659264" behindDoc="0" locked="0" layoutInCell="1" allowOverlap="1" wp14:anchorId="3CBC1909" wp14:editId="17193DFF">
                <wp:simplePos x="0" y="0"/>
                <wp:positionH relativeFrom="margin">
                  <wp:posOffset>30903</wp:posOffset>
                </wp:positionH>
                <wp:positionV relativeFrom="paragraph">
                  <wp:posOffset>142875</wp:posOffset>
                </wp:positionV>
                <wp:extent cx="5913120" cy="1676400"/>
                <wp:effectExtent l="0" t="0" r="30480" b="0"/>
                <wp:wrapNone/>
                <wp:docPr id="1" name="Group 1" descr="Hoja de ruta del Equipo Técnico sobre la Cadena de Bloques" title="Gráfico"/>
                <wp:cNvGraphicFramePr/>
                <a:graphic xmlns:a="http://schemas.openxmlformats.org/drawingml/2006/main">
                  <a:graphicData uri="http://schemas.microsoft.com/office/word/2010/wordprocessingGroup">
                    <wpg:wgp>
                      <wpg:cNvGrpSpPr/>
                      <wpg:grpSpPr>
                        <a:xfrm>
                          <a:off x="0" y="0"/>
                          <a:ext cx="5913120" cy="1676400"/>
                          <a:chOff x="-41275" y="44450"/>
                          <a:chExt cx="5913120" cy="1676400"/>
                        </a:xfrm>
                      </wpg:grpSpPr>
                      <pic:pic xmlns:pic="http://schemas.openxmlformats.org/drawingml/2006/picture">
                        <pic:nvPicPr>
                          <pic:cNvPr id="3" name="Рисунок 15"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0166" y="1238250"/>
                            <a:ext cx="476250" cy="476885"/>
                          </a:xfrm>
                          <a:prstGeom prst="rect">
                            <a:avLst/>
                          </a:prstGeom>
                          <a:noFill/>
                          <a:ln>
                            <a:noFill/>
                          </a:ln>
                          <a:effectLst/>
                        </pic:spPr>
                      </pic:pic>
                      <pic:pic xmlns:pic="http://schemas.openxmlformats.org/drawingml/2006/picture">
                        <pic:nvPicPr>
                          <pic:cNvPr id="4" name="Рисунок 14"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8891" y="1244600"/>
                            <a:ext cx="476250" cy="476250"/>
                          </a:xfrm>
                          <a:prstGeom prst="rect">
                            <a:avLst/>
                          </a:prstGeom>
                          <a:noFill/>
                          <a:ln>
                            <a:noFill/>
                          </a:ln>
                          <a:effectLst/>
                        </pic:spPr>
                      </pic:pic>
                      <pic:pic xmlns:pic="http://schemas.openxmlformats.org/drawingml/2006/picture">
                        <pic:nvPicPr>
                          <pic:cNvPr id="5"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225800" y="1244600"/>
                            <a:ext cx="476250" cy="476250"/>
                          </a:xfrm>
                          <a:prstGeom prst="rect">
                            <a:avLst/>
                          </a:prstGeom>
                          <a:noFill/>
                          <a:ln>
                            <a:noFill/>
                          </a:ln>
                          <a:effectLst/>
                        </pic:spPr>
                      </pic:pic>
                      <wps:wsp>
                        <wps:cNvPr id="6"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Rectangle 6" descr="Rectangle 6"/>
                        <wps:cNvSpPr>
                          <a:spLocks/>
                        </wps:cNvSpPr>
                        <wps:spPr bwMode="auto">
                          <a:xfrm>
                            <a:off x="713317" y="680118"/>
                            <a:ext cx="879475" cy="651266"/>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AA690B" w:rsidRDefault="00AA690B" w:rsidP="009C0F65">
                              <w:pPr>
                                <w:pStyle w:val="Body"/>
                                <w:rPr>
                                  <w:rFonts w:ascii="Times New Roman" w:hAnsi="Times New Roman" w:cs="Times New Roman"/>
                                  <w:color w:val="auto"/>
                                  <w:sz w:val="20"/>
                                  <w:szCs w:val="20"/>
                                  <w:lang w:val="es-ES"/>
                                </w:rPr>
                              </w:pPr>
                              <w:r w:rsidRPr="00AA690B">
                                <w:rPr>
                                  <w:rFonts w:ascii="Arial Nova Light" w:eastAsia="Arial Nova Light" w:hAnsi="Arial Nova Light" w:cs="Arial Nova Light"/>
                                  <w:kern w:val="24"/>
                                  <w:sz w:val="20"/>
                                  <w:szCs w:val="20"/>
                                  <w:lang w:val="es-ES"/>
                                </w:rPr>
                                <w:t>Defender el proyecto de libro blanco</w:t>
                              </w:r>
                            </w:p>
                          </w:txbxContent>
                        </wps:txbx>
                        <wps:bodyPr rot="0" vert="horz" wrap="square" lIns="45720" tIns="45720" rIns="45720" bIns="45720" anchor="t" anchorCtr="0" upright="1">
                          <a:noAutofit/>
                        </wps:bodyPr>
                      </wps:wsp>
                      <wps:wsp>
                        <wps:cNvPr id="8" name="Rectangle 11" descr="Rectangle 11"/>
                        <wps:cNvSpPr>
                          <a:spLocks/>
                        </wps:cNvSpPr>
                        <wps:spPr bwMode="auto">
                          <a:xfrm>
                            <a:off x="1707092" y="670985"/>
                            <a:ext cx="1151466" cy="64770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 xml:space="preserve">Reuniones del ET sobre la </w:t>
                              </w:r>
                              <w:r w:rsidR="00BF4075">
                                <w:rPr>
                                  <w:rFonts w:ascii="Arial Nova Light" w:eastAsia="Arial Nova Light" w:hAnsi="Arial Nova Light" w:cs="Arial Nova Light"/>
                                  <w:kern w:val="24"/>
                                  <w:sz w:val="20"/>
                                  <w:szCs w:val="20"/>
                                  <w:lang w:val="es-ES"/>
                                </w:rPr>
                                <w:t>C</w:t>
                              </w:r>
                              <w:r w:rsidRPr="00CD6A0B">
                                <w:rPr>
                                  <w:rFonts w:ascii="Arial Nova Light" w:eastAsia="Arial Nova Light" w:hAnsi="Arial Nova Light" w:cs="Arial Nova Light"/>
                                  <w:kern w:val="24"/>
                                  <w:sz w:val="20"/>
                                  <w:szCs w:val="20"/>
                                  <w:lang w:val="es-ES"/>
                                </w:rPr>
                                <w:t xml:space="preserve">adena de </w:t>
                              </w:r>
                              <w:r w:rsidR="00BF4075">
                                <w:rPr>
                                  <w:rFonts w:ascii="Arial Nova Light" w:eastAsia="Arial Nova Light" w:hAnsi="Arial Nova Light" w:cs="Arial Nova Light"/>
                                  <w:kern w:val="24"/>
                                  <w:sz w:val="20"/>
                                  <w:szCs w:val="20"/>
                                  <w:lang w:val="es-ES"/>
                                </w:rPr>
                                <w:t>B</w:t>
                              </w:r>
                              <w:r w:rsidRPr="00CD6A0B">
                                <w:rPr>
                                  <w:rFonts w:ascii="Arial Nova Light" w:eastAsia="Arial Nova Light" w:hAnsi="Arial Nova Light" w:cs="Arial Nova Light"/>
                                  <w:kern w:val="24"/>
                                  <w:sz w:val="20"/>
                                  <w:szCs w:val="20"/>
                                  <w:lang w:val="es-ES"/>
                                </w:rPr>
                                <w:t>loques</w:t>
                              </w:r>
                            </w:p>
                          </w:txbxContent>
                        </wps:txbx>
                        <wps:bodyPr rot="0" vert="horz" wrap="square" lIns="45720" tIns="45720" rIns="45720" bIns="45720" anchor="t" anchorCtr="0" upright="1">
                          <a:noAutofit/>
                        </wps:bodyPr>
                      </wps:wsp>
                      <wps:wsp>
                        <wps:cNvPr id="9" name="Rectangle 8" descr="Rectangle 12"/>
                        <wps:cNvSpPr>
                          <a:spLocks/>
                        </wps:cNvSpPr>
                        <wps:spPr bwMode="auto">
                          <a:xfrm>
                            <a:off x="-41275" y="680118"/>
                            <a:ext cx="66992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CD6A0B" w:rsidRDefault="009C0F65" w:rsidP="009C0F65">
                              <w:pPr>
                                <w:pStyle w:val="Body"/>
                                <w:rPr>
                                  <w:rFonts w:ascii="Times New Roman" w:hAnsi="Times New Roman" w:cs="Times New Roman"/>
                                  <w:color w:val="auto"/>
                                  <w:sz w:val="20"/>
                                  <w:szCs w:val="20"/>
                                </w:rPr>
                              </w:pPr>
                              <w:r w:rsidRPr="00CD6A0B">
                                <w:rPr>
                                  <w:rFonts w:ascii="Arial Nova Light" w:eastAsia="Arial Nova Light" w:hAnsi="Arial Nova Light" w:cs="Arial Nova Light"/>
                                  <w:kern w:val="24"/>
                                  <w:sz w:val="20"/>
                                  <w:szCs w:val="20"/>
                                  <w:lang w:val="de-DE"/>
                                </w:rPr>
                                <w:t>CWS/8</w:t>
                              </w:r>
                            </w:p>
                          </w:txbxContent>
                        </wps:txbx>
                        <wps:bodyPr rot="0" vert="horz" wrap="square" lIns="45720" tIns="45720" rIns="45720" bIns="45720" anchor="t" anchorCtr="0" upright="1">
                          <a:noAutofit/>
                        </wps:bodyPr>
                      </wps:wsp>
                      <wps:wsp>
                        <wps:cNvPr id="10" name="Rectangle 9" descr="Rectangle 14"/>
                        <wps:cNvSpPr>
                          <a:spLocks/>
                        </wps:cNvSpPr>
                        <wps:spPr bwMode="auto">
                          <a:xfrm>
                            <a:off x="2985559" y="666750"/>
                            <a:ext cx="1202267" cy="626533"/>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P</w:t>
                              </w:r>
                              <w:r>
                                <w:rPr>
                                  <w:rFonts w:ascii="Arial Nova Light" w:eastAsia="Arial Nova Light" w:hAnsi="Arial Nova Light" w:cs="Arial Nova Light"/>
                                  <w:kern w:val="24"/>
                                  <w:sz w:val="20"/>
                                  <w:szCs w:val="20"/>
                                  <w:lang w:val="es-ES"/>
                                </w:rPr>
                                <w:t>royecto</w:t>
                              </w:r>
                              <w:r w:rsidRPr="00CD6A0B">
                                <w:rPr>
                                  <w:rFonts w:ascii="Arial Nova Light" w:eastAsia="Arial Nova Light" w:hAnsi="Arial Nova Light" w:cs="Arial Nova Light"/>
                                  <w:kern w:val="24"/>
                                  <w:sz w:val="20"/>
                                  <w:szCs w:val="20"/>
                                  <w:lang w:val="es-ES"/>
                                </w:rPr>
                                <w:t xml:space="preserve"> de norma sobre la cadena de</w:t>
                              </w:r>
                              <w:r>
                                <w:rPr>
                                  <w:rFonts w:ascii="Arial Nova Light" w:eastAsia="Arial Nova Light" w:hAnsi="Arial Nova Light" w:cs="Arial Nova Light"/>
                                  <w:kern w:val="24"/>
                                  <w:lang w:val="es-ES"/>
                                </w:rPr>
                                <w:t xml:space="preserve"> </w:t>
                              </w:r>
                              <w:r w:rsidRPr="00096B5B">
                                <w:rPr>
                                  <w:rFonts w:ascii="Arial Nova Light" w:eastAsia="Arial Nova Light" w:hAnsi="Arial Nova Light" w:cs="Arial Nova Light"/>
                                  <w:kern w:val="24"/>
                                  <w:sz w:val="20"/>
                                  <w:szCs w:val="20"/>
                                  <w:lang w:val="es-ES"/>
                                </w:rPr>
                                <w:t>bloques</w:t>
                              </w:r>
                            </w:p>
                          </w:txbxContent>
                        </wps:txbx>
                        <wps:bodyPr rot="0" vert="horz" wrap="square" lIns="45720" tIns="45720" rIns="45720" bIns="45720" anchor="t" anchorCtr="0" upright="1">
                          <a:noAutofit/>
                        </wps:bodyPr>
                      </wps:wsp>
                      <wps:wsp>
                        <wps:cNvPr id="11" name="Rectangle 11" descr="Rectangle 12"/>
                        <wps:cNvSpPr>
                          <a:spLocks/>
                        </wps:cNvSpPr>
                        <wps:spPr bwMode="auto">
                          <a:xfrm>
                            <a:off x="4274609" y="666750"/>
                            <a:ext cx="660400" cy="286597"/>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CD6A0B" w:rsidRDefault="009C0F65" w:rsidP="009C0F65">
                              <w:pPr>
                                <w:pStyle w:val="Body"/>
                                <w:rPr>
                                  <w:rFonts w:ascii="Times New Roman" w:hAnsi="Times New Roman" w:cs="Times New Roman"/>
                                  <w:color w:val="auto"/>
                                  <w:sz w:val="20"/>
                                  <w:szCs w:val="20"/>
                                </w:rPr>
                              </w:pPr>
                              <w:r w:rsidRPr="00CD6A0B">
                                <w:rPr>
                                  <w:rFonts w:ascii="Arial Nova Light" w:eastAsia="Arial Nova Light" w:hAnsi="Arial Nova Light" w:cs="Arial Nova Light"/>
                                  <w:kern w:val="24"/>
                                  <w:sz w:val="20"/>
                                  <w:szCs w:val="20"/>
                                </w:rPr>
                                <w:t>CWS/9</w:t>
                              </w:r>
                            </w:p>
                          </w:txbxContent>
                        </wps:txbx>
                        <wps:bodyPr rot="0" vert="horz" wrap="square" lIns="45720" tIns="45720" rIns="45720" bIns="45720" anchor="t" anchorCtr="0" upright="1">
                          <a:noAutofit/>
                        </wps:bodyPr>
                      </wps:wsp>
                      <wps:wsp>
                        <wps:cNvPr id="12" name="Rectangle 1" descr="Rectangle 6"/>
                        <wps:cNvSpPr>
                          <a:spLocks/>
                        </wps:cNvSpPr>
                        <wps:spPr bwMode="auto">
                          <a:xfrm>
                            <a:off x="28575"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wps:txbx>
                        <wps:bodyPr rot="0" vert="horz" wrap="square" lIns="45720" tIns="45720" rIns="45720" bIns="45720" anchor="t" anchorCtr="0" upright="1">
                          <a:noAutofit/>
                        </wps:bodyPr>
                      </wps:wsp>
                      <wps:wsp>
                        <wps:cNvPr id="13" name="Rectangle 2" descr="Rectangle 6"/>
                        <wps:cNvSpPr>
                          <a:spLocks/>
                        </wps:cNvSpPr>
                        <wps:spPr bwMode="auto">
                          <a:xfrm>
                            <a:off x="904875" y="73025"/>
                            <a:ext cx="4127500" cy="307975"/>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s:wsp>
                        <wps:cNvPr id="14" name="Rectangle 3" descr="Rectangle 6"/>
                        <wps:cNvSpPr>
                          <a:spLocks/>
                        </wps:cNvSpPr>
                        <wps:spPr bwMode="auto">
                          <a:xfrm>
                            <a:off x="5216525" y="4445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2022</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BC1909" id="Group 1" o:spid="_x0000_s1026" alt="Title: Gráfico - Description: Hoja de ruta del Equipo Técnico sobre la Cadena de Bloques" style="position:absolute;margin-left:2.45pt;margin-top:11.25pt;width:465.6pt;height:132pt;z-index:251659264;mso-position-horizontal-relative:margin;mso-width-relative:margin;mso-height-relative:margin" coordorigin="-412,444" coordsize="59131,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9101;top:12382;width:4763;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HGxQAAANoAAAAPAAAAZHJzL2Rvd25yZXYueG1sRI9BS8NA&#10;FITvBf/D8gQvpd1oQT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BgzZHGxQAAANoAAAAP&#10;AAAAAAAAAAAAAAAAAAcCAABkcnMvZG93bnJldi54bWxQSwUGAAAAAAMAAwC3AAAA+QIAAAAA&#10;">
                  <v:imagedata r:id="rId11" o:title="Checkmark"/>
                  <v:path arrowok="t"/>
                </v:shape>
                <v:shape id="Рисунок 14" o:spid="_x0000_s1028" type="#_x0000_t75" alt="Checkmark" style="position:absolute;left:21388;top:12446;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myxQAAANoAAAAPAAAAZHJzL2Rvd25yZXYueG1sRI9BS8NA&#10;FITvBf/D8gQvpd0oRT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DvJAmyxQAAANoAAAAP&#10;AAAAAAAAAAAAAAAAAAcCAABkcnMvZG93bnJldi54bWxQSwUGAAAAAAMAAwC3AAAA+QIAAAAA&#10;">
                  <v:imagedata r:id="rId11" o:title="Checkmark"/>
                  <v:path arrowok="t"/>
                </v:shape>
                <v:shape id="Рисунок 13" o:spid="_x0000_s1029" type="#_x0000_t75" alt="Checkmark" style="position:absolute;left:32258;top:12446;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wpxQAAANoAAAAPAAAAZHJzL2Rvd25yZXYueG1sRI9BS8NA&#10;FITvBf/D8gQvpd0oVD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CAaKwpxQAAANoAAAAP&#10;AAAAAAAAAAAAAAAAAAcCAABkcnMvZG93bnJldi54bWxQSwUGAAAAAAMAAwC3AAAA+QIAAAAA&#10;">
                  <v:imagedata r:id="rId11" o:title="Checkmark"/>
                  <v:path arrowok="t"/>
                </v:shape>
                <v:line id="Line 5" o:spid="_x0000_s1030"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" strokecolor="#4472c4" strokeweight="2.25pt"/>
                <v:rect id="Rectangle 6" o:spid="_x0000_s1031" alt="Rectangle 6" style="position:absolute;left:7133;top:6801;width:8794;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rsidR="009C0F65" w:rsidRPr="00AA690B" w:rsidRDefault="00AA690B" w:rsidP="009C0F65">
                        <w:pPr>
                          <w:pStyle w:val="Body"/>
                          <w:rPr>
                            <w:rFonts w:ascii="Times New Roman" w:hAnsi="Times New Roman" w:cs="Times New Roman"/>
                            <w:color w:val="auto"/>
                            <w:sz w:val="20"/>
                            <w:szCs w:val="20"/>
                            <w:lang w:val="es-ES"/>
                          </w:rPr>
                        </w:pPr>
                        <w:r w:rsidRPr="00AA690B">
                          <w:rPr>
                            <w:rFonts w:ascii="Arial Nova Light" w:eastAsia="Arial Nova Light" w:hAnsi="Arial Nova Light" w:cs="Arial Nova Light"/>
                            <w:kern w:val="24"/>
                            <w:sz w:val="20"/>
                            <w:szCs w:val="20"/>
                            <w:lang w:val="es-ES"/>
                          </w:rPr>
                          <w:t>Defender el proyecto de libro blanco</w:t>
                        </w:r>
                      </w:p>
                    </w:txbxContent>
                  </v:textbox>
                </v:rect>
                <v:rect id="Rectangle 11" o:spid="_x0000_s1032" alt="Rectangle 11" style="position:absolute;left:17070;top:6709;width:11515;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 xml:space="preserve">Reuniones del ET sobre la </w:t>
                        </w:r>
                        <w:r w:rsidR="00BF4075">
                          <w:rPr>
                            <w:rFonts w:ascii="Arial Nova Light" w:eastAsia="Arial Nova Light" w:hAnsi="Arial Nova Light" w:cs="Arial Nova Light"/>
                            <w:kern w:val="24"/>
                            <w:sz w:val="20"/>
                            <w:szCs w:val="20"/>
                            <w:lang w:val="es-ES"/>
                          </w:rPr>
                          <w:t>C</w:t>
                        </w:r>
                        <w:r w:rsidRPr="00CD6A0B">
                          <w:rPr>
                            <w:rFonts w:ascii="Arial Nova Light" w:eastAsia="Arial Nova Light" w:hAnsi="Arial Nova Light" w:cs="Arial Nova Light"/>
                            <w:kern w:val="24"/>
                            <w:sz w:val="20"/>
                            <w:szCs w:val="20"/>
                            <w:lang w:val="es-ES"/>
                          </w:rPr>
                          <w:t xml:space="preserve">adena de </w:t>
                        </w:r>
                        <w:r w:rsidR="00BF4075">
                          <w:rPr>
                            <w:rFonts w:ascii="Arial Nova Light" w:eastAsia="Arial Nova Light" w:hAnsi="Arial Nova Light" w:cs="Arial Nova Light"/>
                            <w:kern w:val="24"/>
                            <w:sz w:val="20"/>
                            <w:szCs w:val="20"/>
                            <w:lang w:val="es-ES"/>
                          </w:rPr>
                          <w:t>B</w:t>
                        </w:r>
                        <w:r w:rsidRPr="00CD6A0B">
                          <w:rPr>
                            <w:rFonts w:ascii="Arial Nova Light" w:eastAsia="Arial Nova Light" w:hAnsi="Arial Nova Light" w:cs="Arial Nova Light"/>
                            <w:kern w:val="24"/>
                            <w:sz w:val="20"/>
                            <w:szCs w:val="20"/>
                            <w:lang w:val="es-ES"/>
                          </w:rPr>
                          <w:t>loques</w:t>
                        </w:r>
                      </w:p>
                    </w:txbxContent>
                  </v:textbox>
                </v:rect>
                <v:rect id="Rectangle 8" o:spid="_x0000_s1033" alt="Rectangle 12" style="position:absolute;left:-412;top:6801;width:66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" filled="f" strokecolor="#ffc000" strokeweight="1.75pt">
                  <v:stroke dashstyle="dash"/>
                  <v:path arrowok="t"/>
                  <v:textbox inset="3.6pt,,3.6pt">
                    <w:txbxContent>
                      <w:p w:rsidR="009C0F65" w:rsidRPr="00CD6A0B" w:rsidRDefault="009C0F65" w:rsidP="009C0F65">
                        <w:pPr>
                          <w:pStyle w:val="Body"/>
                          <w:rPr>
                            <w:rFonts w:ascii="Times New Roman" w:hAnsi="Times New Roman" w:cs="Times New Roman"/>
                            <w:color w:val="auto"/>
                            <w:sz w:val="20"/>
                            <w:szCs w:val="20"/>
                          </w:rPr>
                        </w:pPr>
                        <w:r w:rsidRPr="00CD6A0B">
                          <w:rPr>
                            <w:rFonts w:ascii="Arial Nova Light" w:eastAsia="Arial Nova Light" w:hAnsi="Arial Nova Light" w:cs="Arial Nova Light"/>
                            <w:kern w:val="24"/>
                            <w:sz w:val="20"/>
                            <w:szCs w:val="20"/>
                            <w:lang w:val="de-DE"/>
                          </w:rPr>
                          <w:t>CWS/8</w:t>
                        </w:r>
                      </w:p>
                    </w:txbxContent>
                  </v:textbox>
                </v:rect>
                <v:rect id="_x0000_s1034" alt="Rectangle 14" style="position:absolute;left:29855;top:6667;width:12023;height:6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" filled="f" strokecolor="#ffc000" strokeweight="1.75pt">
                  <v:stroke dashstyle="dash"/>
                  <v:path arrowok="t"/>
                  <v:textbox inset="3.6pt,,3.6pt">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P</w:t>
                        </w:r>
                        <w:r>
                          <w:rPr>
                            <w:rFonts w:ascii="Arial Nova Light" w:eastAsia="Arial Nova Light" w:hAnsi="Arial Nova Light" w:cs="Arial Nova Light"/>
                            <w:kern w:val="24"/>
                            <w:sz w:val="20"/>
                            <w:szCs w:val="20"/>
                            <w:lang w:val="es-ES"/>
                          </w:rPr>
                          <w:t>royecto</w:t>
                        </w:r>
                        <w:r w:rsidRPr="00CD6A0B">
                          <w:rPr>
                            <w:rFonts w:ascii="Arial Nova Light" w:eastAsia="Arial Nova Light" w:hAnsi="Arial Nova Light" w:cs="Arial Nova Light"/>
                            <w:kern w:val="24"/>
                            <w:sz w:val="20"/>
                            <w:szCs w:val="20"/>
                            <w:lang w:val="es-ES"/>
                          </w:rPr>
                          <w:t xml:space="preserve"> de norma sobre la cadena de</w:t>
                        </w:r>
                        <w:r>
                          <w:rPr>
                            <w:rFonts w:ascii="Arial Nova Light" w:eastAsia="Arial Nova Light" w:hAnsi="Arial Nova Light" w:cs="Arial Nova Light"/>
                            <w:kern w:val="24"/>
                            <w:lang w:val="es-ES"/>
                          </w:rPr>
                          <w:t xml:space="preserve"> </w:t>
                        </w:r>
                        <w:r w:rsidRPr="00096B5B">
                          <w:rPr>
                            <w:rFonts w:ascii="Arial Nova Light" w:eastAsia="Arial Nova Light" w:hAnsi="Arial Nova Light" w:cs="Arial Nova Light"/>
                            <w:kern w:val="24"/>
                            <w:sz w:val="20"/>
                            <w:szCs w:val="20"/>
                            <w:lang w:val="es-ES"/>
                          </w:rPr>
                          <w:t>bloques</w:t>
                        </w:r>
                      </w:p>
                    </w:txbxContent>
                  </v:textbox>
                </v:rect>
                <v:rect id="Rectangle 11" o:spid="_x0000_s1035" alt="Rectangle 12" style="position:absolute;left:42746;top:6667;width:6604;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" filled="f" strokecolor="#ffc000" strokeweight="1.75pt">
                  <v:stroke dashstyle="dash"/>
                  <v:path arrowok="t"/>
                  <v:textbox inset="3.6pt,,3.6pt">
                    <w:txbxContent>
                      <w:p w:rsidR="009C0F65" w:rsidRPr="00CD6A0B" w:rsidRDefault="009C0F65" w:rsidP="009C0F65">
                        <w:pPr>
                          <w:pStyle w:val="Body"/>
                          <w:rPr>
                            <w:rFonts w:ascii="Times New Roman" w:hAnsi="Times New Roman" w:cs="Times New Roman"/>
                            <w:color w:val="auto"/>
                            <w:sz w:val="20"/>
                            <w:szCs w:val="20"/>
                          </w:rPr>
                        </w:pPr>
                        <w:r w:rsidRPr="00CD6A0B">
                          <w:rPr>
                            <w:rFonts w:ascii="Arial Nova Light" w:eastAsia="Arial Nova Light" w:hAnsi="Arial Nova Light" w:cs="Arial Nova Light"/>
                            <w:kern w:val="24"/>
                            <w:sz w:val="20"/>
                            <w:szCs w:val="20"/>
                          </w:rPr>
                          <w:t>CWS/9</w:t>
                        </w:r>
                      </w:p>
                    </w:txbxContent>
                  </v:textbox>
                </v:rect>
                <v:rect id="Rectangle 1" o:spid="_x0000_s1036" alt="Rectangle 6" style="position:absolute;left:285;top:584;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" filled="f" strokecolor="#203864" strokeweight="1.75pt">
                  <v:stroke dashstyle="dash"/>
                  <v:path arrowok="t"/>
                  <v:textbox inset="3.6pt,,3.6pt">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v:textbox>
                </v:rect>
                <v:rect id="Rectangle 2" o:spid="_x0000_s1037" alt="Rectangle 6" style="position:absolute;left:9048;top:730;width:4127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" filled="f" strokecolor="#203864" strokeweight="1.75pt">
                  <v:stroke dashstyle="dash"/>
                  <v:path arrowok="t"/>
                  <v:textbox inset="3.6pt,,3.6pt">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v:rect id="Rectangle 3" o:spid="_x0000_s1038" alt="Rectangle 6" style="position:absolute;left:52165;top:444;width:5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" filled="f" strokecolor="#203864" strokeweight="1.75pt">
                  <v:stroke dashstyle="dash"/>
                  <v:path arrowok="t"/>
                  <v:textbox inset="3.6pt,,3.6pt">
                    <w:txbxContent>
                      <w:p w:rsidR="009C0F65" w:rsidRDefault="009C0F65" w:rsidP="009C0F65">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2022</w:t>
                        </w:r>
                      </w:p>
                    </w:txbxContent>
                  </v:textbox>
                </v:rect>
                <w10:wrap anchorx="margin"/>
              </v:group>
            </w:pict>
          </mc:Fallback>
        </mc:AlternateContent>
      </w:r>
    </w:p>
    <w:p w:rsidR="00E95367" w:rsidRPr="00967B4B" w:rsidRDefault="00E95367" w:rsidP="009C0F65">
      <w:pPr>
        <w:pStyle w:val="Heading3"/>
        <w:rPr>
          <w:lang w:val="es-419"/>
        </w:rPr>
      </w:pPr>
    </w:p>
    <w:p w:rsidR="00E95367" w:rsidRPr="00967B4B" w:rsidRDefault="009C0F65" w:rsidP="009C0F65">
      <w:pPr>
        <w:pStyle w:val="Heading3"/>
        <w:rPr>
          <w:lang w:val="es-419"/>
        </w:rPr>
      </w:pPr>
      <w:r w:rsidRPr="00967B4B">
        <w:rPr>
          <w:noProof/>
          <w:lang w:val="en-US"/>
        </w:rPr>
        <mc:AlternateContent>
          <mc:Choice Requires="wps">
            <w:drawing>
              <wp:anchor distT="0" distB="0" distL="114300" distR="114300" simplePos="0" relativeHeight="251660288" behindDoc="0" locked="0" layoutInCell="1" allowOverlap="1" wp14:anchorId="3E6C1D4E" wp14:editId="54ACFF9E">
                <wp:simplePos x="0" y="0"/>
                <wp:positionH relativeFrom="column">
                  <wp:posOffset>5081270</wp:posOffset>
                </wp:positionH>
                <wp:positionV relativeFrom="paragraph">
                  <wp:posOffset>126365</wp:posOffset>
                </wp:positionV>
                <wp:extent cx="1202267" cy="704850"/>
                <wp:effectExtent l="0" t="0" r="17145" b="19050"/>
                <wp:wrapNone/>
                <wp:docPr id="15" name="Rectangle 9" descr="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2267"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Examen y actualización de la aplicación de la cadena de bloques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6C1D4E" id="Rectangle 9" o:spid="_x0000_s1039" alt="Rectangle 14" style="position:absolute;margin-left:400.1pt;margin-top:9.95pt;width:94.6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" filled="f" strokecolor="#ffc000" strokeweight="1.75pt">
                <v:stroke dashstyle="dash"/>
                <v:path arrowok="t"/>
                <v:textbox inset="3.6pt,,3.6pt">
                  <w:txbxContent>
                    <w:p w:rsidR="009C0F65" w:rsidRPr="00CD6A0B" w:rsidRDefault="00CD6A0B" w:rsidP="009C0F65">
                      <w:pPr>
                        <w:pStyle w:val="Body"/>
                        <w:rPr>
                          <w:rFonts w:ascii="Times New Roman" w:hAnsi="Times New Roman" w:cs="Times New Roman"/>
                          <w:color w:val="auto"/>
                          <w:sz w:val="20"/>
                          <w:szCs w:val="20"/>
                          <w:lang w:val="es-ES"/>
                        </w:rPr>
                      </w:pPr>
                      <w:r w:rsidRPr="00CD6A0B">
                        <w:rPr>
                          <w:rFonts w:ascii="Arial Nova Light" w:eastAsia="Arial Nova Light" w:hAnsi="Arial Nova Light" w:cs="Arial Nova Light"/>
                          <w:kern w:val="24"/>
                          <w:sz w:val="20"/>
                          <w:szCs w:val="20"/>
                          <w:lang w:val="es-ES"/>
                        </w:rPr>
                        <w:t>Examen y actualización de la aplicación de la cadena de bloques</w:t>
                      </w:r>
                    </w:p>
                  </w:txbxContent>
                </v:textbox>
              </v:rect>
            </w:pict>
          </mc:Fallback>
        </mc:AlternateContent>
      </w:r>
    </w:p>
    <w:p w:rsidR="00E95367" w:rsidRPr="00967B4B" w:rsidRDefault="00E95367" w:rsidP="009C0F65">
      <w:pPr>
        <w:pStyle w:val="Heading3"/>
        <w:rPr>
          <w:lang w:val="es-419"/>
        </w:rPr>
      </w:pPr>
    </w:p>
    <w:p w:rsidR="00E95367" w:rsidRPr="00967B4B" w:rsidRDefault="00E95367" w:rsidP="009C0F65">
      <w:pPr>
        <w:pStyle w:val="Heading3"/>
        <w:rPr>
          <w:lang w:val="es-419"/>
        </w:rPr>
      </w:pPr>
    </w:p>
    <w:p w:rsidR="009C0F65" w:rsidRPr="00967B4B" w:rsidRDefault="00DC250D" w:rsidP="00BD72D9">
      <w:pPr>
        <w:pStyle w:val="Heading3"/>
        <w:spacing w:before="840" w:after="120"/>
        <w:rPr>
          <w:lang w:val="es-419"/>
        </w:rPr>
      </w:pPr>
      <w:r w:rsidRPr="00967B4B">
        <w:rPr>
          <w:lang w:val="es-419"/>
        </w:rPr>
        <w:t>Proyecto de plan de trabajo para 2020-</w:t>
      </w:r>
      <w:r w:rsidR="009C0F65" w:rsidRPr="00967B4B">
        <w:rPr>
          <w:lang w:val="es-419"/>
        </w:rPr>
        <w:t>2021</w:t>
      </w:r>
    </w:p>
    <w:tbl>
      <w:tblPr>
        <w:tblStyle w:val="TableGrid"/>
        <w:tblW w:w="0" w:type="auto"/>
        <w:tblLayout w:type="fixed"/>
        <w:tblLook w:val="04A0" w:firstRow="1" w:lastRow="0" w:firstColumn="1" w:lastColumn="0" w:noHBand="0" w:noVBand="1"/>
        <w:tblCaption w:val="Cuadro (Proyecto de plan de trabajo para 2020-2021)"/>
        <w:tblDescription w:val="Cuadro sobre el proyecto de plan de trabajo para 2020-2021 con 5 columnas: (ronda, medida, fecha de finalización prevista, finalizada y propuesta)"/>
      </w:tblPr>
      <w:tblGrid>
        <w:gridCol w:w="1452"/>
        <w:gridCol w:w="3210"/>
        <w:gridCol w:w="1993"/>
        <w:gridCol w:w="1350"/>
        <w:gridCol w:w="1340"/>
      </w:tblGrid>
      <w:tr w:rsidR="00E40D7A" w:rsidRPr="00967B4B" w:rsidTr="00A36E70">
        <w:trPr>
          <w:tblHeader/>
        </w:trPr>
        <w:tc>
          <w:tcPr>
            <w:tcW w:w="1452" w:type="dxa"/>
            <w:vAlign w:val="center"/>
          </w:tcPr>
          <w:p w:rsidR="009C0F65" w:rsidRPr="00967B4B" w:rsidRDefault="009C0F65" w:rsidP="003C26DD">
            <w:pPr>
              <w:pStyle w:val="Body"/>
              <w:spacing w:after="60"/>
              <w:jc w:val="center"/>
              <w:rPr>
                <w:rFonts w:ascii="Arial" w:hAnsi="Arial" w:cs="Arial"/>
                <w:lang w:val="es-419"/>
              </w:rPr>
            </w:pPr>
            <w:r w:rsidRPr="00967B4B">
              <w:rPr>
                <w:rFonts w:ascii="Arial" w:hAnsi="Arial" w:cs="Arial"/>
                <w:lang w:val="es-419"/>
              </w:rPr>
              <w:t>Ro</w:t>
            </w:r>
            <w:r w:rsidR="003C26DD" w:rsidRPr="00967B4B">
              <w:rPr>
                <w:rFonts w:ascii="Arial" w:hAnsi="Arial" w:cs="Arial"/>
                <w:lang w:val="es-419"/>
              </w:rPr>
              <w:t>nda</w:t>
            </w:r>
          </w:p>
        </w:tc>
        <w:tc>
          <w:tcPr>
            <w:tcW w:w="3210" w:type="dxa"/>
            <w:vAlign w:val="center"/>
          </w:tcPr>
          <w:p w:rsidR="009C0F65" w:rsidRPr="00967B4B" w:rsidRDefault="003C26DD" w:rsidP="00082E70">
            <w:pPr>
              <w:pStyle w:val="Body"/>
              <w:spacing w:after="60"/>
              <w:jc w:val="center"/>
              <w:rPr>
                <w:rFonts w:ascii="Arial" w:hAnsi="Arial" w:cs="Arial"/>
                <w:lang w:val="es-419"/>
              </w:rPr>
            </w:pPr>
            <w:r w:rsidRPr="00967B4B">
              <w:rPr>
                <w:rFonts w:ascii="Arial" w:hAnsi="Arial" w:cs="Arial"/>
                <w:lang w:val="es-419"/>
              </w:rPr>
              <w:t>Medida</w:t>
            </w:r>
          </w:p>
        </w:tc>
        <w:tc>
          <w:tcPr>
            <w:tcW w:w="1993" w:type="dxa"/>
            <w:vAlign w:val="center"/>
          </w:tcPr>
          <w:p w:rsidR="009C0F65" w:rsidRPr="00967B4B" w:rsidRDefault="003C26DD" w:rsidP="00082E70">
            <w:pPr>
              <w:pStyle w:val="Body"/>
              <w:spacing w:after="60"/>
              <w:jc w:val="center"/>
              <w:rPr>
                <w:rFonts w:ascii="Arial" w:hAnsi="Arial" w:cs="Arial"/>
                <w:lang w:val="es-419"/>
              </w:rPr>
            </w:pPr>
            <w:r w:rsidRPr="00967B4B">
              <w:rPr>
                <w:rFonts w:ascii="Arial" w:hAnsi="Arial" w:cs="Arial"/>
                <w:lang w:val="es-419"/>
              </w:rPr>
              <w:t>Fecha de finalización prevista</w:t>
            </w:r>
          </w:p>
        </w:tc>
        <w:tc>
          <w:tcPr>
            <w:tcW w:w="1350" w:type="dxa"/>
            <w:vAlign w:val="center"/>
          </w:tcPr>
          <w:p w:rsidR="009C0F65" w:rsidRPr="00967B4B" w:rsidRDefault="003C26DD" w:rsidP="00082E70">
            <w:pPr>
              <w:pStyle w:val="Body"/>
              <w:spacing w:after="60"/>
              <w:jc w:val="center"/>
              <w:rPr>
                <w:rFonts w:ascii="Arial" w:hAnsi="Arial" w:cs="Arial"/>
                <w:lang w:val="es-419"/>
              </w:rPr>
            </w:pPr>
            <w:r w:rsidRPr="00967B4B">
              <w:rPr>
                <w:rFonts w:ascii="Arial" w:hAnsi="Arial" w:cs="Arial"/>
                <w:lang w:val="es-419"/>
              </w:rPr>
              <w:t>Finalizada</w:t>
            </w:r>
          </w:p>
        </w:tc>
        <w:tc>
          <w:tcPr>
            <w:tcW w:w="1340" w:type="dxa"/>
            <w:vAlign w:val="center"/>
          </w:tcPr>
          <w:p w:rsidR="009C0F65" w:rsidRPr="00967B4B" w:rsidRDefault="003C26DD" w:rsidP="00082E70">
            <w:pPr>
              <w:pStyle w:val="Body"/>
              <w:spacing w:after="60"/>
              <w:jc w:val="center"/>
              <w:rPr>
                <w:rFonts w:ascii="Arial" w:hAnsi="Arial" w:cs="Arial"/>
                <w:lang w:val="es-419"/>
              </w:rPr>
            </w:pPr>
            <w:r w:rsidRPr="00967B4B">
              <w:rPr>
                <w:rFonts w:ascii="Arial" w:hAnsi="Arial" w:cs="Arial"/>
                <w:lang w:val="es-419"/>
              </w:rPr>
              <w:t>Pospuesta</w:t>
            </w:r>
          </w:p>
        </w:tc>
      </w:tr>
      <w:tr w:rsidR="00E40D7A" w:rsidRPr="00967B4B" w:rsidTr="000F7DBE">
        <w:tc>
          <w:tcPr>
            <w:tcW w:w="1452" w:type="dxa"/>
            <w:vMerge w:val="restart"/>
            <w:vAlign w:val="center"/>
          </w:tcPr>
          <w:p w:rsidR="00E95367" w:rsidRPr="00967B4B" w:rsidRDefault="00583D53" w:rsidP="00082E70">
            <w:pPr>
              <w:pStyle w:val="Body"/>
              <w:spacing w:after="60"/>
              <w:jc w:val="center"/>
              <w:rPr>
                <w:rFonts w:ascii="Arial" w:hAnsi="Arial" w:cs="Arial"/>
                <w:lang w:val="es-419"/>
              </w:rPr>
            </w:pPr>
            <w:r w:rsidRPr="00967B4B">
              <w:rPr>
                <w:rFonts w:ascii="Arial" w:hAnsi="Arial" w:cs="Arial"/>
                <w:lang w:val="es-419"/>
              </w:rPr>
              <w:t>Documentos sobre la cadena de bloques</w:t>
            </w:r>
          </w:p>
          <w:p w:rsidR="009C0F65" w:rsidRPr="00967B4B" w:rsidRDefault="009C0F65" w:rsidP="00082E70">
            <w:pPr>
              <w:pStyle w:val="Body"/>
              <w:spacing w:after="60"/>
              <w:jc w:val="center"/>
              <w:rPr>
                <w:rFonts w:ascii="Arial" w:hAnsi="Arial" w:cs="Arial"/>
                <w:lang w:val="es-419"/>
              </w:rPr>
            </w:pPr>
            <w:r w:rsidRPr="00967B4B">
              <w:rPr>
                <w:rFonts w:ascii="Arial" w:hAnsi="Arial" w:cs="Arial"/>
                <w:lang w:val="es-419"/>
              </w:rPr>
              <w:t>2021 - 1</w:t>
            </w:r>
          </w:p>
        </w:tc>
        <w:tc>
          <w:tcPr>
            <w:tcW w:w="3210" w:type="dxa"/>
          </w:tcPr>
          <w:p w:rsidR="009C0F65" w:rsidRPr="00967B4B" w:rsidRDefault="00583D53" w:rsidP="00583D53">
            <w:pPr>
              <w:rPr>
                <w:lang w:val="es-419"/>
              </w:rPr>
            </w:pPr>
            <w:r w:rsidRPr="00967B4B">
              <w:rPr>
                <w:lang w:val="es-419"/>
              </w:rPr>
              <w:t>Defender el proyecto de libro blanco con el Equipo Técnico</w:t>
            </w:r>
          </w:p>
        </w:tc>
        <w:tc>
          <w:tcPr>
            <w:tcW w:w="1993" w:type="dxa"/>
          </w:tcPr>
          <w:p w:rsidR="009C0F65" w:rsidRPr="00967B4B" w:rsidRDefault="009C0F65" w:rsidP="00082E70">
            <w:pPr>
              <w:pStyle w:val="Body"/>
              <w:spacing w:after="60"/>
              <w:rPr>
                <w:rFonts w:ascii="Arial" w:hAnsi="Arial" w:cs="Arial"/>
                <w:lang w:val="es-419"/>
              </w:rPr>
            </w:pPr>
          </w:p>
        </w:tc>
        <w:tc>
          <w:tcPr>
            <w:tcW w:w="1350" w:type="dxa"/>
          </w:tcPr>
          <w:p w:rsidR="009C0F65" w:rsidRPr="00967B4B" w:rsidRDefault="009C0F65" w:rsidP="00082E70">
            <w:pPr>
              <w:pStyle w:val="Body"/>
              <w:spacing w:after="60"/>
              <w:rPr>
                <w:rFonts w:ascii="Arial" w:hAnsi="Arial" w:cs="Arial"/>
                <w:lang w:val="es-419"/>
              </w:rPr>
            </w:pPr>
            <w:r w:rsidRPr="00967B4B">
              <w:rPr>
                <w:rFonts w:ascii="Arial" w:hAnsi="Arial" w:cs="Arial"/>
                <w:noProof/>
                <w:lang w:eastAsia="zh-CN"/>
              </w:rPr>
              <w:drawing>
                <wp:anchor distT="0" distB="0" distL="114300" distR="114300" simplePos="0" relativeHeight="251661312" behindDoc="0" locked="0" layoutInCell="1" allowOverlap="1" wp14:anchorId="0BD738C7" wp14:editId="5AA9DEBE">
                  <wp:simplePos x="0" y="0"/>
                  <wp:positionH relativeFrom="column">
                    <wp:posOffset>215900</wp:posOffset>
                  </wp:positionH>
                  <wp:positionV relativeFrom="paragraph">
                    <wp:posOffset>55626</wp:posOffset>
                  </wp:positionV>
                  <wp:extent cx="182880" cy="182880"/>
                  <wp:effectExtent l="0" t="0" r="7620" b="7620"/>
                  <wp:wrapNone/>
                  <wp:docPr id="16"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c>
          <w:tcPr>
            <w:tcW w:w="1452" w:type="dxa"/>
            <w:vMerge/>
          </w:tcPr>
          <w:p w:rsidR="009C0F65" w:rsidRPr="00967B4B" w:rsidRDefault="009C0F65" w:rsidP="00082E70">
            <w:pPr>
              <w:pStyle w:val="Body"/>
              <w:spacing w:after="60"/>
              <w:rPr>
                <w:rFonts w:ascii="Arial" w:hAnsi="Arial" w:cs="Arial"/>
                <w:lang w:val="es-419"/>
              </w:rPr>
            </w:pPr>
          </w:p>
        </w:tc>
        <w:tc>
          <w:tcPr>
            <w:tcW w:w="3210" w:type="dxa"/>
          </w:tcPr>
          <w:p w:rsidR="009C0F65" w:rsidRPr="00967B4B" w:rsidRDefault="00CC1274" w:rsidP="00CC1274">
            <w:pPr>
              <w:rPr>
                <w:lang w:val="es-419"/>
              </w:rPr>
            </w:pPr>
            <w:r w:rsidRPr="00967B4B">
              <w:rPr>
                <w:lang w:val="es-419"/>
              </w:rPr>
              <w:t xml:space="preserve">Transmitir un proyecto de norma al Equipo Técnico </w:t>
            </w:r>
          </w:p>
        </w:tc>
        <w:tc>
          <w:tcPr>
            <w:tcW w:w="1993" w:type="dxa"/>
          </w:tcPr>
          <w:p w:rsidR="009C0F65" w:rsidRPr="00967B4B" w:rsidRDefault="009C0F65" w:rsidP="00082E70">
            <w:pPr>
              <w:pStyle w:val="Body"/>
              <w:spacing w:after="60"/>
              <w:rPr>
                <w:rFonts w:ascii="Arial" w:hAnsi="Arial" w:cs="Arial"/>
                <w:lang w:val="es-419"/>
              </w:rPr>
            </w:pPr>
          </w:p>
        </w:tc>
        <w:tc>
          <w:tcPr>
            <w:tcW w:w="1350" w:type="dxa"/>
          </w:tcPr>
          <w:p w:rsidR="009C0F65" w:rsidRPr="00967B4B" w:rsidRDefault="009C0F65" w:rsidP="00082E70">
            <w:pPr>
              <w:pStyle w:val="Body"/>
              <w:spacing w:after="60"/>
              <w:rPr>
                <w:rFonts w:ascii="Arial" w:hAnsi="Arial" w:cs="Arial"/>
                <w:lang w:val="es-419"/>
              </w:rPr>
            </w:pPr>
            <w:r w:rsidRPr="00967B4B">
              <w:rPr>
                <w:rFonts w:ascii="Arial" w:hAnsi="Arial" w:cs="Arial"/>
                <w:noProof/>
                <w:lang w:eastAsia="zh-CN"/>
              </w:rPr>
              <w:drawing>
                <wp:anchor distT="0" distB="0" distL="114300" distR="114300" simplePos="0" relativeHeight="251662336" behindDoc="0" locked="0" layoutInCell="1" allowOverlap="1" wp14:anchorId="41D2FE8F" wp14:editId="567C7E21">
                  <wp:simplePos x="0" y="0"/>
                  <wp:positionH relativeFrom="column">
                    <wp:posOffset>219456</wp:posOffset>
                  </wp:positionH>
                  <wp:positionV relativeFrom="paragraph">
                    <wp:posOffset>57557</wp:posOffset>
                  </wp:positionV>
                  <wp:extent cx="182880" cy="182880"/>
                  <wp:effectExtent l="0" t="0" r="7620" b="7620"/>
                  <wp:wrapNone/>
                  <wp:docPr id="17"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c>
          <w:tcPr>
            <w:tcW w:w="1452" w:type="dxa"/>
            <w:vMerge/>
          </w:tcPr>
          <w:p w:rsidR="009C0F65" w:rsidRPr="00967B4B" w:rsidRDefault="009C0F65" w:rsidP="00082E70">
            <w:pPr>
              <w:pStyle w:val="Body"/>
              <w:spacing w:after="60"/>
              <w:rPr>
                <w:rFonts w:ascii="Arial" w:hAnsi="Arial" w:cs="Arial"/>
                <w:lang w:val="es-419"/>
              </w:rPr>
            </w:pPr>
          </w:p>
        </w:tc>
        <w:tc>
          <w:tcPr>
            <w:tcW w:w="3210" w:type="dxa"/>
          </w:tcPr>
          <w:p w:rsidR="009C0F65" w:rsidRPr="00967B4B" w:rsidRDefault="00CC1274" w:rsidP="00082E70">
            <w:pPr>
              <w:rPr>
                <w:lang w:val="es-419"/>
              </w:rPr>
            </w:pPr>
            <w:r w:rsidRPr="00967B4B">
              <w:rPr>
                <w:lang w:val="es-419"/>
              </w:rPr>
              <w:t>Examinar el proyecto de libro blanco</w:t>
            </w:r>
            <w:r w:rsidR="009C0F65" w:rsidRPr="00967B4B">
              <w:rPr>
                <w:lang w:val="es-419"/>
              </w:rPr>
              <w:t xml:space="preserve"> </w:t>
            </w:r>
          </w:p>
        </w:tc>
        <w:tc>
          <w:tcPr>
            <w:tcW w:w="1993" w:type="dxa"/>
          </w:tcPr>
          <w:p w:rsidR="009C0F65" w:rsidRPr="00967B4B" w:rsidRDefault="009C0F65" w:rsidP="00082E70">
            <w:pPr>
              <w:pStyle w:val="Body"/>
              <w:spacing w:after="60"/>
              <w:rPr>
                <w:rFonts w:ascii="Arial" w:hAnsi="Arial" w:cs="Arial"/>
                <w:lang w:val="es-419"/>
              </w:rPr>
            </w:pPr>
          </w:p>
        </w:tc>
        <w:tc>
          <w:tcPr>
            <w:tcW w:w="1350" w:type="dxa"/>
          </w:tcPr>
          <w:p w:rsidR="009C0F65" w:rsidRPr="00967B4B" w:rsidRDefault="009C0F65" w:rsidP="00082E70">
            <w:pPr>
              <w:pStyle w:val="Body"/>
              <w:spacing w:after="60"/>
              <w:rPr>
                <w:rFonts w:ascii="Arial" w:hAnsi="Arial" w:cs="Arial"/>
                <w:lang w:val="es-419"/>
              </w:rPr>
            </w:pPr>
            <w:r w:rsidRPr="00967B4B">
              <w:rPr>
                <w:rFonts w:ascii="Arial" w:hAnsi="Arial" w:cs="Arial"/>
                <w:noProof/>
                <w:lang w:eastAsia="zh-CN"/>
              </w:rPr>
              <w:drawing>
                <wp:anchor distT="0" distB="0" distL="114300" distR="114300" simplePos="0" relativeHeight="251663360" behindDoc="0" locked="0" layoutInCell="1" allowOverlap="1" wp14:anchorId="00FF8B17" wp14:editId="66878F53">
                  <wp:simplePos x="0" y="0"/>
                  <wp:positionH relativeFrom="column">
                    <wp:posOffset>213360</wp:posOffset>
                  </wp:positionH>
                  <wp:positionV relativeFrom="paragraph">
                    <wp:posOffset>7620</wp:posOffset>
                  </wp:positionV>
                  <wp:extent cx="182880" cy="182880"/>
                  <wp:effectExtent l="0" t="0" r="7620" b="7620"/>
                  <wp:wrapNone/>
                  <wp:docPr id="18"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rPr>
          <w:trHeight w:val="959"/>
        </w:trPr>
        <w:tc>
          <w:tcPr>
            <w:tcW w:w="1452" w:type="dxa"/>
            <w:vAlign w:val="center"/>
          </w:tcPr>
          <w:p w:rsidR="00E95367" w:rsidRPr="00967B4B" w:rsidRDefault="00583D53" w:rsidP="00082E70">
            <w:pPr>
              <w:pStyle w:val="Body"/>
              <w:spacing w:after="60"/>
              <w:jc w:val="center"/>
              <w:rPr>
                <w:rFonts w:ascii="Arial" w:hAnsi="Arial" w:cs="Arial"/>
                <w:lang w:val="es-419"/>
              </w:rPr>
            </w:pPr>
            <w:r w:rsidRPr="00967B4B">
              <w:rPr>
                <w:rFonts w:ascii="Arial" w:hAnsi="Arial" w:cs="Arial"/>
                <w:lang w:val="es-419"/>
              </w:rPr>
              <w:t>Seminario web sobre la cadena de bloques</w:t>
            </w:r>
          </w:p>
          <w:p w:rsidR="009C0F65" w:rsidRPr="00967B4B" w:rsidRDefault="009C0F65" w:rsidP="00082E70">
            <w:pPr>
              <w:pStyle w:val="Body"/>
              <w:spacing w:after="60"/>
              <w:jc w:val="center"/>
              <w:rPr>
                <w:rFonts w:ascii="Arial" w:hAnsi="Arial" w:cs="Arial"/>
                <w:lang w:val="es-419"/>
              </w:rPr>
            </w:pPr>
            <w:r w:rsidRPr="00967B4B">
              <w:rPr>
                <w:rFonts w:ascii="Arial" w:hAnsi="Arial" w:cs="Arial"/>
                <w:lang w:val="es-419"/>
              </w:rPr>
              <w:t>2021 - 2</w:t>
            </w:r>
          </w:p>
        </w:tc>
        <w:tc>
          <w:tcPr>
            <w:tcW w:w="3210" w:type="dxa"/>
          </w:tcPr>
          <w:p w:rsidR="009C0F65" w:rsidRPr="00967B4B" w:rsidRDefault="00E40D7A" w:rsidP="00E40D7A">
            <w:pPr>
              <w:pStyle w:val="Body"/>
              <w:spacing w:after="60"/>
              <w:rPr>
                <w:rFonts w:ascii="Arial" w:hAnsi="Arial" w:cs="Arial"/>
                <w:lang w:val="es-419"/>
              </w:rPr>
            </w:pPr>
            <w:r w:rsidRPr="00967B4B">
              <w:rPr>
                <w:rFonts w:ascii="Arial" w:hAnsi="Arial" w:cs="Arial"/>
                <w:lang w:val="es-419"/>
              </w:rPr>
              <w:t>Prestar apoyo al seminario web sobre la cadena de bloques para presentar el libro blanco de la OMPI relativo a la cadena de bloques para los ecosistemas de la PI</w:t>
            </w:r>
          </w:p>
        </w:tc>
        <w:tc>
          <w:tcPr>
            <w:tcW w:w="1993" w:type="dxa"/>
            <w:vAlign w:val="center"/>
          </w:tcPr>
          <w:p w:rsidR="009C0F65" w:rsidRPr="00967B4B" w:rsidRDefault="009C0F65" w:rsidP="00FC76B8">
            <w:pPr>
              <w:pStyle w:val="Body"/>
              <w:spacing w:after="60"/>
              <w:rPr>
                <w:rFonts w:ascii="Arial" w:hAnsi="Arial" w:cs="Arial"/>
                <w:lang w:val="es-419"/>
              </w:rPr>
            </w:pPr>
            <w:r w:rsidRPr="00967B4B">
              <w:rPr>
                <w:rFonts w:ascii="Arial" w:hAnsi="Arial" w:cs="Arial"/>
                <w:lang w:val="es-419"/>
              </w:rPr>
              <w:t xml:space="preserve">28 </w:t>
            </w:r>
            <w:r w:rsidR="00FC76B8" w:rsidRPr="00967B4B">
              <w:rPr>
                <w:rFonts w:ascii="Arial" w:hAnsi="Arial" w:cs="Arial"/>
                <w:lang w:val="es-419"/>
              </w:rPr>
              <w:t>de septiembre</w:t>
            </w:r>
          </w:p>
        </w:tc>
        <w:tc>
          <w:tcPr>
            <w:tcW w:w="1350" w:type="dxa"/>
          </w:tcPr>
          <w:p w:rsidR="009C0F65" w:rsidRPr="00967B4B" w:rsidRDefault="009C0F65" w:rsidP="00082E70">
            <w:pPr>
              <w:pStyle w:val="Body"/>
              <w:spacing w:after="60"/>
              <w:jc w:val="center"/>
              <w:rPr>
                <w:rFonts w:ascii="Arial" w:hAnsi="Arial" w:cs="Arial"/>
                <w:lang w:val="es-419"/>
              </w:rPr>
            </w:pPr>
            <w:r w:rsidRPr="00967B4B">
              <w:rPr>
                <w:rFonts w:ascii="Arial" w:hAnsi="Arial" w:cs="Arial"/>
                <w:noProof/>
                <w:lang w:eastAsia="zh-CN"/>
              </w:rPr>
              <w:drawing>
                <wp:anchor distT="0" distB="0" distL="114300" distR="114300" simplePos="0" relativeHeight="251665408" behindDoc="0" locked="0" layoutInCell="1" allowOverlap="1" wp14:anchorId="7992562A" wp14:editId="7E008DF4">
                  <wp:simplePos x="0" y="0"/>
                  <wp:positionH relativeFrom="column">
                    <wp:posOffset>222885</wp:posOffset>
                  </wp:positionH>
                  <wp:positionV relativeFrom="paragraph">
                    <wp:posOffset>198120</wp:posOffset>
                  </wp:positionV>
                  <wp:extent cx="182880" cy="182880"/>
                  <wp:effectExtent l="0" t="0" r="7620" b="7620"/>
                  <wp:wrapNone/>
                  <wp:docPr id="20"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rPr>
          <w:trHeight w:val="440"/>
        </w:trPr>
        <w:tc>
          <w:tcPr>
            <w:tcW w:w="1452" w:type="dxa"/>
            <w:vMerge w:val="restart"/>
            <w:vAlign w:val="center"/>
          </w:tcPr>
          <w:p w:rsidR="00E95367" w:rsidRPr="00967B4B" w:rsidRDefault="009C0F65" w:rsidP="00082E70">
            <w:pPr>
              <w:pStyle w:val="Body"/>
              <w:spacing w:after="60"/>
              <w:jc w:val="center"/>
              <w:rPr>
                <w:rFonts w:ascii="Arial" w:hAnsi="Arial" w:cs="Arial"/>
                <w:lang w:val="es-419"/>
              </w:rPr>
            </w:pPr>
            <w:r w:rsidRPr="00967B4B">
              <w:rPr>
                <w:rFonts w:ascii="Arial" w:hAnsi="Arial" w:cs="Arial"/>
                <w:lang w:val="es-419"/>
              </w:rPr>
              <w:t>CWS/9</w:t>
            </w:r>
          </w:p>
          <w:p w:rsidR="009C0F65" w:rsidRPr="00967B4B" w:rsidRDefault="009C0F65" w:rsidP="00082E70">
            <w:pPr>
              <w:pStyle w:val="Body"/>
              <w:spacing w:after="60"/>
              <w:jc w:val="center"/>
              <w:rPr>
                <w:rFonts w:ascii="Arial" w:hAnsi="Arial" w:cs="Arial"/>
                <w:lang w:val="es-419"/>
              </w:rPr>
            </w:pPr>
            <w:r w:rsidRPr="00967B4B">
              <w:rPr>
                <w:rFonts w:ascii="Arial" w:hAnsi="Arial" w:cs="Arial"/>
                <w:lang w:val="es-419"/>
              </w:rPr>
              <w:t>2021 - 3</w:t>
            </w:r>
          </w:p>
        </w:tc>
        <w:tc>
          <w:tcPr>
            <w:tcW w:w="3210" w:type="dxa"/>
          </w:tcPr>
          <w:p w:rsidR="009C0F65" w:rsidRPr="00967B4B" w:rsidDel="00577E93" w:rsidRDefault="00A7031F" w:rsidP="00A7031F">
            <w:pPr>
              <w:pStyle w:val="Body"/>
              <w:spacing w:after="60"/>
              <w:rPr>
                <w:rFonts w:ascii="Arial" w:hAnsi="Arial" w:cs="Arial"/>
                <w:lang w:val="es-419"/>
              </w:rPr>
            </w:pPr>
            <w:r w:rsidRPr="00967B4B">
              <w:rPr>
                <w:rFonts w:ascii="Arial" w:hAnsi="Arial" w:cs="Arial"/>
                <w:lang w:val="es-419"/>
              </w:rPr>
              <w:t xml:space="preserve">Preparar informe para la </w:t>
            </w:r>
            <w:r w:rsidR="009C0F65" w:rsidRPr="00967B4B">
              <w:rPr>
                <w:rFonts w:ascii="Arial" w:hAnsi="Arial" w:cs="Arial"/>
                <w:lang w:val="es-419"/>
              </w:rPr>
              <w:t>CWS/9</w:t>
            </w:r>
          </w:p>
        </w:tc>
        <w:tc>
          <w:tcPr>
            <w:tcW w:w="1993" w:type="dxa"/>
          </w:tcPr>
          <w:p w:rsidR="009C0F65" w:rsidRPr="00967B4B" w:rsidDel="00577E93" w:rsidRDefault="009C0F65" w:rsidP="00FC76B8">
            <w:pPr>
              <w:pStyle w:val="Body"/>
              <w:spacing w:after="60"/>
              <w:rPr>
                <w:rFonts w:ascii="Arial" w:hAnsi="Arial" w:cs="Arial"/>
                <w:lang w:val="es-419"/>
              </w:rPr>
            </w:pPr>
            <w:r w:rsidRPr="00967B4B">
              <w:rPr>
                <w:rFonts w:ascii="Arial" w:hAnsi="Arial" w:cs="Arial"/>
                <w:lang w:val="es-419"/>
              </w:rPr>
              <w:t xml:space="preserve">30 </w:t>
            </w:r>
            <w:r w:rsidR="00FC76B8" w:rsidRPr="00967B4B">
              <w:rPr>
                <w:rFonts w:ascii="Arial" w:hAnsi="Arial" w:cs="Arial"/>
                <w:lang w:val="es-419"/>
              </w:rPr>
              <w:t>de septiembre</w:t>
            </w:r>
          </w:p>
        </w:tc>
        <w:tc>
          <w:tcPr>
            <w:tcW w:w="1350" w:type="dxa"/>
          </w:tcPr>
          <w:p w:rsidR="009C0F65" w:rsidRPr="00967B4B" w:rsidRDefault="009C0F65" w:rsidP="00082E70">
            <w:pPr>
              <w:pStyle w:val="Body"/>
              <w:spacing w:after="60"/>
              <w:rPr>
                <w:rFonts w:ascii="Arial" w:hAnsi="Arial" w:cs="Arial"/>
                <w:lang w:val="es-419"/>
              </w:rPr>
            </w:pPr>
            <w:r w:rsidRPr="00967B4B">
              <w:rPr>
                <w:rFonts w:ascii="Arial" w:hAnsi="Arial" w:cs="Arial"/>
                <w:noProof/>
                <w:lang w:eastAsia="zh-CN"/>
              </w:rPr>
              <w:drawing>
                <wp:anchor distT="0" distB="0" distL="114300" distR="114300" simplePos="0" relativeHeight="251664384" behindDoc="0" locked="0" layoutInCell="1" allowOverlap="1" wp14:anchorId="7652BDDA" wp14:editId="5F4A49E8">
                  <wp:simplePos x="0" y="0"/>
                  <wp:positionH relativeFrom="column">
                    <wp:posOffset>228600</wp:posOffset>
                  </wp:positionH>
                  <wp:positionV relativeFrom="paragraph">
                    <wp:posOffset>81915</wp:posOffset>
                  </wp:positionV>
                  <wp:extent cx="182880" cy="182880"/>
                  <wp:effectExtent l="0" t="0" r="7620" b="7620"/>
                  <wp:wrapNone/>
                  <wp:docPr id="21"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c>
          <w:tcPr>
            <w:tcW w:w="1452" w:type="dxa"/>
            <w:vMerge/>
          </w:tcPr>
          <w:p w:rsidR="009C0F65" w:rsidRPr="00967B4B" w:rsidRDefault="009C0F65" w:rsidP="00082E70">
            <w:pPr>
              <w:pStyle w:val="Body"/>
              <w:spacing w:after="60"/>
              <w:rPr>
                <w:rFonts w:ascii="Arial" w:hAnsi="Arial" w:cs="Arial"/>
                <w:lang w:val="es-419"/>
              </w:rPr>
            </w:pPr>
          </w:p>
        </w:tc>
        <w:tc>
          <w:tcPr>
            <w:tcW w:w="3210" w:type="dxa"/>
          </w:tcPr>
          <w:p w:rsidR="009C0F65" w:rsidRPr="00967B4B" w:rsidDel="00577E93" w:rsidRDefault="009C0F65" w:rsidP="00082E70">
            <w:pPr>
              <w:rPr>
                <w:lang w:val="es-419"/>
              </w:rPr>
            </w:pPr>
            <w:r w:rsidRPr="00967B4B">
              <w:rPr>
                <w:lang w:val="es-419"/>
              </w:rPr>
              <w:t>CWS/9</w:t>
            </w:r>
          </w:p>
        </w:tc>
        <w:tc>
          <w:tcPr>
            <w:tcW w:w="1993" w:type="dxa"/>
          </w:tcPr>
          <w:p w:rsidR="009C0F65" w:rsidRPr="00967B4B" w:rsidDel="00577E93" w:rsidRDefault="00FC76B8" w:rsidP="00FC76B8">
            <w:pPr>
              <w:pStyle w:val="Body"/>
              <w:spacing w:after="60"/>
              <w:rPr>
                <w:rFonts w:ascii="Arial" w:hAnsi="Arial" w:cs="Arial"/>
                <w:lang w:val="es-419"/>
              </w:rPr>
            </w:pPr>
            <w:r w:rsidRPr="00967B4B">
              <w:rPr>
                <w:rFonts w:ascii="Arial" w:hAnsi="Arial" w:cs="Arial"/>
                <w:lang w:val="es-419"/>
              </w:rPr>
              <w:t>Noviembre</w:t>
            </w:r>
          </w:p>
        </w:tc>
        <w:tc>
          <w:tcPr>
            <w:tcW w:w="1350" w:type="dxa"/>
          </w:tcPr>
          <w:p w:rsidR="009C0F65" w:rsidRPr="00967B4B" w:rsidRDefault="009C0F65" w:rsidP="00082E70">
            <w:pPr>
              <w:pStyle w:val="Body"/>
              <w:spacing w:after="60"/>
              <w:rPr>
                <w:rFonts w:ascii="Arial" w:hAnsi="Arial" w:cs="Arial"/>
                <w:lang w:val="es-419"/>
              </w:rPr>
            </w:pPr>
          </w:p>
        </w:tc>
        <w:tc>
          <w:tcPr>
            <w:tcW w:w="1340" w:type="dxa"/>
          </w:tcPr>
          <w:p w:rsidR="009C0F65" w:rsidRPr="00967B4B" w:rsidRDefault="009C0F65" w:rsidP="00082E70">
            <w:pPr>
              <w:pStyle w:val="Body"/>
              <w:spacing w:after="60"/>
              <w:rPr>
                <w:rFonts w:ascii="Arial" w:hAnsi="Arial" w:cs="Arial"/>
                <w:lang w:val="es-419"/>
              </w:rPr>
            </w:pPr>
          </w:p>
        </w:tc>
      </w:tr>
      <w:tr w:rsidR="00E40D7A" w:rsidRPr="00967B4B" w:rsidTr="000F7DBE">
        <w:tc>
          <w:tcPr>
            <w:tcW w:w="1452" w:type="dxa"/>
            <w:vMerge/>
          </w:tcPr>
          <w:p w:rsidR="009C0F65" w:rsidRPr="00967B4B" w:rsidRDefault="009C0F65" w:rsidP="00082E70">
            <w:pPr>
              <w:pStyle w:val="Body"/>
              <w:spacing w:after="60"/>
              <w:rPr>
                <w:rFonts w:ascii="Arial" w:hAnsi="Arial" w:cs="Arial"/>
                <w:lang w:val="es-419"/>
              </w:rPr>
            </w:pPr>
          </w:p>
        </w:tc>
        <w:tc>
          <w:tcPr>
            <w:tcW w:w="3210" w:type="dxa"/>
          </w:tcPr>
          <w:p w:rsidR="009C0F65" w:rsidRPr="00967B4B" w:rsidDel="00577E93" w:rsidRDefault="00421BFE" w:rsidP="00421BFE">
            <w:pPr>
              <w:pStyle w:val="Body"/>
              <w:spacing w:after="60"/>
              <w:rPr>
                <w:rFonts w:ascii="Arial" w:hAnsi="Arial" w:cs="Arial"/>
                <w:lang w:val="es-419"/>
              </w:rPr>
            </w:pPr>
            <w:r w:rsidRPr="00967B4B">
              <w:rPr>
                <w:rFonts w:ascii="Arial" w:hAnsi="Arial" w:cs="Arial"/>
                <w:lang w:val="es-419"/>
              </w:rPr>
              <w:t>Seguir modificando y elaborando la norma con miras a finalizarla y presentarla en la</w:t>
            </w:r>
            <w:r w:rsidR="009C0F65" w:rsidRPr="00967B4B">
              <w:rPr>
                <w:rFonts w:ascii="Arial" w:hAnsi="Arial" w:cs="Arial"/>
                <w:lang w:val="es-419"/>
              </w:rPr>
              <w:t xml:space="preserve"> CWS/10</w:t>
            </w:r>
          </w:p>
        </w:tc>
        <w:tc>
          <w:tcPr>
            <w:tcW w:w="1993" w:type="dxa"/>
          </w:tcPr>
          <w:p w:rsidR="009C0F65" w:rsidRPr="00967B4B" w:rsidDel="00577E93" w:rsidRDefault="009C0F65" w:rsidP="00082E70">
            <w:pPr>
              <w:pStyle w:val="Body"/>
              <w:spacing w:after="60"/>
              <w:rPr>
                <w:rFonts w:ascii="Arial" w:hAnsi="Arial" w:cs="Arial"/>
                <w:lang w:val="es-419"/>
              </w:rPr>
            </w:pPr>
            <w:r w:rsidRPr="00967B4B">
              <w:rPr>
                <w:rFonts w:ascii="Arial" w:hAnsi="Arial" w:cs="Arial"/>
                <w:lang w:val="es-419"/>
              </w:rPr>
              <w:t>2021 – 2022</w:t>
            </w:r>
          </w:p>
        </w:tc>
        <w:tc>
          <w:tcPr>
            <w:tcW w:w="1350" w:type="dxa"/>
          </w:tcPr>
          <w:p w:rsidR="009C0F65" w:rsidRPr="00967B4B" w:rsidRDefault="009C0F65" w:rsidP="00082E70">
            <w:pPr>
              <w:pStyle w:val="Body"/>
              <w:spacing w:after="60"/>
              <w:rPr>
                <w:rFonts w:ascii="Arial" w:hAnsi="Arial" w:cs="Arial"/>
                <w:lang w:val="es-419"/>
              </w:rPr>
            </w:pPr>
          </w:p>
        </w:tc>
        <w:tc>
          <w:tcPr>
            <w:tcW w:w="1340" w:type="dxa"/>
          </w:tcPr>
          <w:p w:rsidR="009C0F65" w:rsidRPr="00967B4B" w:rsidRDefault="009C0F65" w:rsidP="00082E70">
            <w:pPr>
              <w:pStyle w:val="Body"/>
              <w:spacing w:after="60"/>
              <w:rPr>
                <w:rFonts w:ascii="Arial" w:hAnsi="Arial" w:cs="Arial"/>
                <w:lang w:val="es-419"/>
              </w:rPr>
            </w:pPr>
          </w:p>
        </w:tc>
      </w:tr>
    </w:tbl>
    <w:p w:rsidR="00E95367" w:rsidRPr="00967B4B" w:rsidRDefault="00D61D36" w:rsidP="00BD72D9">
      <w:pPr>
        <w:pStyle w:val="ONUMFS"/>
        <w:numPr>
          <w:ilvl w:val="0"/>
          <w:numId w:val="0"/>
        </w:numPr>
        <w:spacing w:before="360" w:after="600"/>
        <w:ind w:left="5528"/>
        <w:rPr>
          <w:i/>
          <w:szCs w:val="22"/>
          <w:lang w:val="es-419"/>
        </w:rPr>
      </w:pPr>
      <w:r>
        <w:rPr>
          <w:i/>
          <w:szCs w:val="22"/>
          <w:lang w:val="es-419"/>
        </w:rPr>
        <w:fldChar w:fldCharType="begin"/>
      </w:r>
      <w:r>
        <w:rPr>
          <w:i/>
          <w:szCs w:val="22"/>
          <w:lang w:val="es-419"/>
        </w:rPr>
        <w:instrText xml:space="preserve"> AUTONUM  </w:instrText>
      </w:r>
      <w:r>
        <w:rPr>
          <w:i/>
          <w:szCs w:val="22"/>
          <w:lang w:val="es-419"/>
        </w:rPr>
        <w:fldChar w:fldCharType="end"/>
      </w:r>
      <w:r>
        <w:rPr>
          <w:i/>
          <w:szCs w:val="22"/>
          <w:lang w:val="es-419"/>
        </w:rPr>
        <w:tab/>
      </w:r>
      <w:bookmarkStart w:id="5" w:name="_GoBack"/>
      <w:bookmarkEnd w:id="5"/>
      <w:r w:rsidR="00DB51B3" w:rsidRPr="00967B4B">
        <w:rPr>
          <w:i/>
          <w:szCs w:val="22"/>
          <w:lang w:val="es-419"/>
        </w:rPr>
        <w:t>Se invita al CWS a tomar nota del contenido del presente documento</w:t>
      </w:r>
      <w:r w:rsidR="009C0F65" w:rsidRPr="00967B4B">
        <w:rPr>
          <w:rFonts w:eastAsia="Arial"/>
          <w:i/>
          <w:szCs w:val="22"/>
          <w:lang w:val="es-419" w:eastAsia="en-US"/>
        </w:rPr>
        <w:t>.</w:t>
      </w:r>
    </w:p>
    <w:p w:rsidR="00152CEA" w:rsidRPr="00967B4B" w:rsidRDefault="009C0F65" w:rsidP="00967B4B">
      <w:pPr>
        <w:pStyle w:val="Endofdocument-Annex"/>
        <w:rPr>
          <w:lang w:val="es-419"/>
        </w:rPr>
      </w:pPr>
      <w:r w:rsidRPr="00967B4B">
        <w:rPr>
          <w:lang w:val="es-419"/>
        </w:rPr>
        <w:t>[</w:t>
      </w:r>
      <w:r w:rsidR="00325627" w:rsidRPr="00967B4B">
        <w:rPr>
          <w:lang w:val="es-419"/>
        </w:rPr>
        <w:t>Fin del documento</w:t>
      </w:r>
      <w:r w:rsidRPr="00967B4B">
        <w:rPr>
          <w:lang w:val="es-419"/>
        </w:rPr>
        <w:t>]</w:t>
      </w:r>
    </w:p>
    <w:sectPr w:rsidR="00152CEA" w:rsidRPr="00967B4B" w:rsidSect="00A34594">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E70" w:rsidRDefault="002E6E70">
      <w:r>
        <w:separator/>
      </w:r>
    </w:p>
  </w:endnote>
  <w:endnote w:type="continuationSeparator" w:id="0">
    <w:p w:rsidR="002E6E70" w:rsidRPr="009D30E6" w:rsidRDefault="002E6E70" w:rsidP="007E663E">
      <w:pPr>
        <w:rPr>
          <w:sz w:val="17"/>
          <w:szCs w:val="17"/>
        </w:rPr>
      </w:pPr>
      <w:r w:rsidRPr="009D30E6">
        <w:rPr>
          <w:sz w:val="17"/>
          <w:szCs w:val="17"/>
        </w:rPr>
        <w:separator/>
      </w:r>
    </w:p>
    <w:p w:rsidR="002E6E70" w:rsidRPr="007E663E" w:rsidRDefault="002E6E70" w:rsidP="007E663E">
      <w:pPr>
        <w:spacing w:after="60"/>
        <w:rPr>
          <w:sz w:val="17"/>
          <w:szCs w:val="17"/>
        </w:rPr>
      </w:pPr>
      <w:r>
        <w:rPr>
          <w:sz w:val="17"/>
        </w:rPr>
        <w:t>[Continuación de la nota de la página anterior]</w:t>
      </w:r>
    </w:p>
  </w:endnote>
  <w:endnote w:type="continuationNotice" w:id="1">
    <w:p w:rsidR="002E6E70" w:rsidRPr="007E663E" w:rsidRDefault="002E6E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E70" w:rsidRDefault="002E6E70">
      <w:r>
        <w:separator/>
      </w:r>
    </w:p>
  </w:footnote>
  <w:footnote w:type="continuationSeparator" w:id="0">
    <w:p w:rsidR="002E6E70" w:rsidRPr="009D30E6" w:rsidRDefault="002E6E70" w:rsidP="007E663E">
      <w:pPr>
        <w:rPr>
          <w:sz w:val="17"/>
          <w:szCs w:val="17"/>
        </w:rPr>
      </w:pPr>
      <w:r w:rsidRPr="009D30E6">
        <w:rPr>
          <w:sz w:val="17"/>
          <w:szCs w:val="17"/>
        </w:rPr>
        <w:separator/>
      </w:r>
    </w:p>
    <w:p w:rsidR="002E6E70" w:rsidRPr="007E663E" w:rsidRDefault="002E6E70" w:rsidP="007E663E">
      <w:pPr>
        <w:spacing w:after="60"/>
        <w:rPr>
          <w:sz w:val="17"/>
          <w:szCs w:val="17"/>
        </w:rPr>
      </w:pPr>
      <w:r>
        <w:rPr>
          <w:sz w:val="17"/>
        </w:rPr>
        <w:t>[Continuación de la nota de la página anterior]</w:t>
      </w:r>
    </w:p>
  </w:footnote>
  <w:footnote w:type="continuationNotice" w:id="1">
    <w:p w:rsidR="002E6E70" w:rsidRPr="007E663E" w:rsidRDefault="002E6E7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34594" w:rsidP="00477D6B">
    <w:pPr>
      <w:jc w:val="right"/>
      <w:rPr>
        <w:caps/>
      </w:rPr>
    </w:pPr>
    <w:bookmarkStart w:id="6" w:name="Code2"/>
    <w:bookmarkEnd w:id="6"/>
    <w:r>
      <w:rPr>
        <w:caps/>
      </w:rPr>
      <w:t>CWS/9/7</w:t>
    </w:r>
  </w:p>
  <w:p w:rsidR="00AE7F20" w:rsidRDefault="00AE7F20" w:rsidP="00BD72D9">
    <w:pPr>
      <w:spacing w:after="480"/>
      <w:jc w:val="right"/>
    </w:pPr>
    <w:r>
      <w:t xml:space="preserve">página </w:t>
    </w:r>
    <w:r>
      <w:fldChar w:fldCharType="begin"/>
    </w:r>
    <w:r>
      <w:instrText xml:space="preserve"> PAGE  \* MERGEFORMAT </w:instrText>
    </w:r>
    <w:r>
      <w:fldChar w:fldCharType="separate"/>
    </w:r>
    <w:r w:rsidR="00D61D36">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8910"/>
        </w:tabs>
        <w:ind w:left="891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A34594"/>
    <w:rsid w:val="00010686"/>
    <w:rsid w:val="00042FDA"/>
    <w:rsid w:val="00052915"/>
    <w:rsid w:val="0008020B"/>
    <w:rsid w:val="000848B6"/>
    <w:rsid w:val="00096B5B"/>
    <w:rsid w:val="000A12AA"/>
    <w:rsid w:val="000E3BB3"/>
    <w:rsid w:val="000F5E56"/>
    <w:rsid w:val="000F7DBE"/>
    <w:rsid w:val="001052DB"/>
    <w:rsid w:val="0013593E"/>
    <w:rsid w:val="001362EE"/>
    <w:rsid w:val="00136D15"/>
    <w:rsid w:val="00152CEA"/>
    <w:rsid w:val="001577CB"/>
    <w:rsid w:val="00167338"/>
    <w:rsid w:val="00176035"/>
    <w:rsid w:val="001832A6"/>
    <w:rsid w:val="00192983"/>
    <w:rsid w:val="001A12D8"/>
    <w:rsid w:val="001C566C"/>
    <w:rsid w:val="001F7929"/>
    <w:rsid w:val="0024524D"/>
    <w:rsid w:val="002543E0"/>
    <w:rsid w:val="002634C4"/>
    <w:rsid w:val="002A68ED"/>
    <w:rsid w:val="002C2E2F"/>
    <w:rsid w:val="002C3280"/>
    <w:rsid w:val="002D23B5"/>
    <w:rsid w:val="002D56C5"/>
    <w:rsid w:val="002E0F47"/>
    <w:rsid w:val="002E6E70"/>
    <w:rsid w:val="002F4E68"/>
    <w:rsid w:val="00310826"/>
    <w:rsid w:val="00324B7D"/>
    <w:rsid w:val="00325627"/>
    <w:rsid w:val="00354647"/>
    <w:rsid w:val="00357553"/>
    <w:rsid w:val="00370423"/>
    <w:rsid w:val="00377273"/>
    <w:rsid w:val="003845C1"/>
    <w:rsid w:val="00387287"/>
    <w:rsid w:val="003B53DD"/>
    <w:rsid w:val="003B564D"/>
    <w:rsid w:val="003C26DD"/>
    <w:rsid w:val="003D4588"/>
    <w:rsid w:val="003E48F1"/>
    <w:rsid w:val="003E5C84"/>
    <w:rsid w:val="003F347A"/>
    <w:rsid w:val="003F5B11"/>
    <w:rsid w:val="00413923"/>
    <w:rsid w:val="004146DE"/>
    <w:rsid w:val="00421813"/>
    <w:rsid w:val="00421BFE"/>
    <w:rsid w:val="00423E3E"/>
    <w:rsid w:val="00427AF4"/>
    <w:rsid w:val="00432778"/>
    <w:rsid w:val="004465EF"/>
    <w:rsid w:val="0045231F"/>
    <w:rsid w:val="00456C95"/>
    <w:rsid w:val="004615BE"/>
    <w:rsid w:val="004647DA"/>
    <w:rsid w:val="0046793F"/>
    <w:rsid w:val="00472A6E"/>
    <w:rsid w:val="00477808"/>
    <w:rsid w:val="00477D6B"/>
    <w:rsid w:val="004818A6"/>
    <w:rsid w:val="00496389"/>
    <w:rsid w:val="004A6C37"/>
    <w:rsid w:val="004E297D"/>
    <w:rsid w:val="00531B02"/>
    <w:rsid w:val="005332F0"/>
    <w:rsid w:val="0055013B"/>
    <w:rsid w:val="00553E61"/>
    <w:rsid w:val="00565A01"/>
    <w:rsid w:val="00571B99"/>
    <w:rsid w:val="00574C58"/>
    <w:rsid w:val="005837FD"/>
    <w:rsid w:val="00583D53"/>
    <w:rsid w:val="005B18F1"/>
    <w:rsid w:val="005B2EAE"/>
    <w:rsid w:val="005B571D"/>
    <w:rsid w:val="005C655B"/>
    <w:rsid w:val="005F22A9"/>
    <w:rsid w:val="00605827"/>
    <w:rsid w:val="006173A5"/>
    <w:rsid w:val="00656C79"/>
    <w:rsid w:val="00665BD2"/>
    <w:rsid w:val="00675021"/>
    <w:rsid w:val="006A06C6"/>
    <w:rsid w:val="006C15A4"/>
    <w:rsid w:val="006F6685"/>
    <w:rsid w:val="007037D0"/>
    <w:rsid w:val="007224C8"/>
    <w:rsid w:val="007366C7"/>
    <w:rsid w:val="007728C2"/>
    <w:rsid w:val="00792437"/>
    <w:rsid w:val="00794BE2"/>
    <w:rsid w:val="007A5581"/>
    <w:rsid w:val="007A79F0"/>
    <w:rsid w:val="007B71FE"/>
    <w:rsid w:val="007D781E"/>
    <w:rsid w:val="007E11DE"/>
    <w:rsid w:val="007E3D98"/>
    <w:rsid w:val="007E663E"/>
    <w:rsid w:val="00815082"/>
    <w:rsid w:val="00867565"/>
    <w:rsid w:val="00870299"/>
    <w:rsid w:val="0087161C"/>
    <w:rsid w:val="0088395E"/>
    <w:rsid w:val="00896938"/>
    <w:rsid w:val="008B2CC1"/>
    <w:rsid w:val="008E6BD6"/>
    <w:rsid w:val="008E6FA3"/>
    <w:rsid w:val="00906735"/>
    <w:rsid w:val="0090731E"/>
    <w:rsid w:val="009102B3"/>
    <w:rsid w:val="009146D1"/>
    <w:rsid w:val="00924BEF"/>
    <w:rsid w:val="00931A3E"/>
    <w:rsid w:val="00941293"/>
    <w:rsid w:val="00954F6A"/>
    <w:rsid w:val="00966A22"/>
    <w:rsid w:val="00967B4B"/>
    <w:rsid w:val="00972F03"/>
    <w:rsid w:val="0098367F"/>
    <w:rsid w:val="00990FEC"/>
    <w:rsid w:val="009A0C8B"/>
    <w:rsid w:val="009A1911"/>
    <w:rsid w:val="009A20CD"/>
    <w:rsid w:val="009B6241"/>
    <w:rsid w:val="009C0F65"/>
    <w:rsid w:val="009D19E3"/>
    <w:rsid w:val="009F5FBA"/>
    <w:rsid w:val="00A045E7"/>
    <w:rsid w:val="00A16FC0"/>
    <w:rsid w:val="00A25FF0"/>
    <w:rsid w:val="00A32C9E"/>
    <w:rsid w:val="00A3412B"/>
    <w:rsid w:val="00A34594"/>
    <w:rsid w:val="00A347EF"/>
    <w:rsid w:val="00A36E70"/>
    <w:rsid w:val="00A67862"/>
    <w:rsid w:val="00A7031F"/>
    <w:rsid w:val="00AA5EB6"/>
    <w:rsid w:val="00AA690B"/>
    <w:rsid w:val="00AB13AB"/>
    <w:rsid w:val="00AB613D"/>
    <w:rsid w:val="00AE7F20"/>
    <w:rsid w:val="00B054D2"/>
    <w:rsid w:val="00B534D5"/>
    <w:rsid w:val="00B54192"/>
    <w:rsid w:val="00B65A0A"/>
    <w:rsid w:val="00B67CDC"/>
    <w:rsid w:val="00B70ECB"/>
    <w:rsid w:val="00B72D36"/>
    <w:rsid w:val="00B83E18"/>
    <w:rsid w:val="00BC4164"/>
    <w:rsid w:val="00BD2DCC"/>
    <w:rsid w:val="00BD72D9"/>
    <w:rsid w:val="00BF4075"/>
    <w:rsid w:val="00BF5A8E"/>
    <w:rsid w:val="00BF62D4"/>
    <w:rsid w:val="00C048A7"/>
    <w:rsid w:val="00C43DBB"/>
    <w:rsid w:val="00C47841"/>
    <w:rsid w:val="00C80E91"/>
    <w:rsid w:val="00C90559"/>
    <w:rsid w:val="00CA0500"/>
    <w:rsid w:val="00CA2251"/>
    <w:rsid w:val="00CB3B06"/>
    <w:rsid w:val="00CC1274"/>
    <w:rsid w:val="00CD6A0B"/>
    <w:rsid w:val="00CF2847"/>
    <w:rsid w:val="00D12225"/>
    <w:rsid w:val="00D34C7D"/>
    <w:rsid w:val="00D56C7C"/>
    <w:rsid w:val="00D56CB8"/>
    <w:rsid w:val="00D61D36"/>
    <w:rsid w:val="00D71B4D"/>
    <w:rsid w:val="00D76FD2"/>
    <w:rsid w:val="00D90289"/>
    <w:rsid w:val="00D93D55"/>
    <w:rsid w:val="00DB51B3"/>
    <w:rsid w:val="00DC250D"/>
    <w:rsid w:val="00DC4C60"/>
    <w:rsid w:val="00DD6CF4"/>
    <w:rsid w:val="00DD7AE4"/>
    <w:rsid w:val="00DF3F31"/>
    <w:rsid w:val="00E0079A"/>
    <w:rsid w:val="00E03F34"/>
    <w:rsid w:val="00E24F56"/>
    <w:rsid w:val="00E343D1"/>
    <w:rsid w:val="00E40D7A"/>
    <w:rsid w:val="00E444DA"/>
    <w:rsid w:val="00E45C84"/>
    <w:rsid w:val="00E504E5"/>
    <w:rsid w:val="00E61DB2"/>
    <w:rsid w:val="00E95367"/>
    <w:rsid w:val="00EB0D93"/>
    <w:rsid w:val="00EB4463"/>
    <w:rsid w:val="00EB7A3E"/>
    <w:rsid w:val="00EC1AA7"/>
    <w:rsid w:val="00EC401A"/>
    <w:rsid w:val="00EF530A"/>
    <w:rsid w:val="00EF6622"/>
    <w:rsid w:val="00EF78A9"/>
    <w:rsid w:val="00F145A5"/>
    <w:rsid w:val="00F26701"/>
    <w:rsid w:val="00F55408"/>
    <w:rsid w:val="00F574A4"/>
    <w:rsid w:val="00F66152"/>
    <w:rsid w:val="00F80845"/>
    <w:rsid w:val="00F84474"/>
    <w:rsid w:val="00FA0F0D"/>
    <w:rsid w:val="00FA242C"/>
    <w:rsid w:val="00FC6DAD"/>
    <w:rsid w:val="00FC76B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B7815C-FD5E-41C8-ACFB-05CE9363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9C0F65"/>
    <w:rPr>
      <w:color w:val="0000FF"/>
      <w:u w:val="single"/>
    </w:rPr>
  </w:style>
  <w:style w:type="paragraph" w:styleId="ListParagraph">
    <w:name w:val="List Paragraph"/>
    <w:basedOn w:val="Normal"/>
    <w:uiPriority w:val="34"/>
    <w:qFormat/>
    <w:rsid w:val="009C0F65"/>
    <w:pPr>
      <w:ind w:left="567"/>
    </w:pPr>
    <w:rPr>
      <w:lang w:val="en-US"/>
    </w:rPr>
  </w:style>
  <w:style w:type="paragraph" w:customStyle="1" w:styleId="Body">
    <w:name w:val="Body"/>
    <w:rsid w:val="009C0F65"/>
    <w:pPr>
      <w:spacing w:after="160" w:line="259" w:lineRule="auto"/>
    </w:pPr>
    <w:rPr>
      <w:rFonts w:ascii="Calibri" w:eastAsia="Arial Unicode MS" w:hAnsi="Calibri" w:cs="Arial Unicode MS"/>
      <w:color w:val="000000"/>
      <w:sz w:val="22"/>
      <w:szCs w:val="22"/>
      <w:u w:color="000000"/>
      <w:lang w:val="en-US" w:eastAsia="ru-RU"/>
    </w:rPr>
  </w:style>
  <w:style w:type="table" w:styleId="TableGrid">
    <w:name w:val="Table Grid"/>
    <w:basedOn w:val="TableNormal"/>
    <w:uiPriority w:val="39"/>
    <w:rsid w:val="009C0F6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848B6"/>
    <w:rPr>
      <w:color w:val="800080" w:themeColor="followedHyperlink"/>
      <w:u w:val="single"/>
    </w:rPr>
  </w:style>
  <w:style w:type="character" w:customStyle="1" w:styleId="markedcontent">
    <w:name w:val="markedcontent"/>
    <w:basedOn w:val="DefaultParagraphFont"/>
    <w:rsid w:val="00D7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ipo.int/meetings/es/details.jsp?meeting_id=6603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B965-3AAA-4DDA-AA7C-86BBF89A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CWS/9/7</vt:lpstr>
    </vt:vector>
  </TitlesOfParts>
  <Company>WIPO</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CWS/9/7</dc:title>
  <dc:creator>WIPO</dc:creator>
  <cp:keywords>FOR OFFICIAL USE ONLY</cp:keywords>
  <cp:lastModifiedBy>CHAVAS Louison</cp:lastModifiedBy>
  <cp:revision>2</cp:revision>
  <dcterms:created xsi:type="dcterms:W3CDTF">2021-10-15T13:37:00Z</dcterms:created>
  <dcterms:modified xsi:type="dcterms:W3CDTF">2021-10-15T13:37:00Z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