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38C2" w:rsidRPr="00E338C2" w14:paraId="626B4066" w14:textId="77777777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129ED2" w14:textId="77777777" w:rsidR="00E504E5" w:rsidRPr="00E338C2" w:rsidRDefault="00E504E5" w:rsidP="00C9497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63C40B" w14:textId="77777777" w:rsidR="00E504E5" w:rsidRPr="00E338C2" w:rsidRDefault="001F7FFB" w:rsidP="00C94971">
            <w:r w:rsidRPr="00E338C2">
              <w:rPr>
                <w:noProof/>
                <w:lang w:val="en-US" w:eastAsia="en-US"/>
              </w:rPr>
              <w:drawing>
                <wp:inline distT="0" distB="0" distL="0" distR="0" wp14:anchorId="172E7C1E" wp14:editId="6D5C53E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64A719" w14:textId="77777777" w:rsidR="00E504E5" w:rsidRPr="00E338C2" w:rsidRDefault="00E504E5" w:rsidP="00C94971">
            <w:pPr>
              <w:jc w:val="right"/>
            </w:pPr>
            <w:r w:rsidRPr="00E338C2">
              <w:rPr>
                <w:b/>
                <w:sz w:val="40"/>
                <w:szCs w:val="40"/>
              </w:rPr>
              <w:t>S</w:t>
            </w:r>
          </w:p>
        </w:tc>
      </w:tr>
      <w:tr w:rsidR="00E338C2" w:rsidRPr="00E338C2" w14:paraId="5758AC4F" w14:textId="77777777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7926C7C" w14:textId="77777777" w:rsidR="008B2CC1" w:rsidRPr="00E338C2" w:rsidRDefault="001F7FFB" w:rsidP="00C949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338C2">
              <w:rPr>
                <w:rFonts w:ascii="Arial Black" w:hAnsi="Arial Black"/>
                <w:caps/>
                <w:sz w:val="15"/>
              </w:rPr>
              <w:t>CWS/5/</w:t>
            </w:r>
            <w:r w:rsidR="002348B0" w:rsidRPr="00E338C2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E338C2" w:rsidRPr="00E338C2" w14:paraId="7E332C06" w14:textId="7777777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D735AD" w14:textId="77777777" w:rsidR="008B2CC1" w:rsidRPr="00E338C2" w:rsidRDefault="008B2CC1" w:rsidP="00C949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338C2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E338C2">
              <w:rPr>
                <w:rFonts w:ascii="Arial Black" w:hAnsi="Arial Black"/>
                <w:caps/>
                <w:sz w:val="15"/>
              </w:rPr>
              <w:t xml:space="preserve">  </w:t>
            </w:r>
            <w:r w:rsidR="008C73C9" w:rsidRPr="00E338C2">
              <w:rPr>
                <w:rFonts w:ascii="Arial Black" w:hAnsi="Arial Black"/>
                <w:caps/>
                <w:sz w:val="15"/>
              </w:rPr>
              <w:t>INGLÉS</w:t>
            </w:r>
            <w:r w:rsidRPr="00E338C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23A2E" w:rsidRPr="00E338C2" w14:paraId="3049231C" w14:textId="7777777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C2CDDE4" w14:textId="77777777" w:rsidR="008B2CC1" w:rsidRPr="00E338C2" w:rsidRDefault="00675021" w:rsidP="00C949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338C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338C2">
              <w:rPr>
                <w:rFonts w:ascii="Arial Black" w:hAnsi="Arial Black"/>
                <w:caps/>
                <w:sz w:val="15"/>
              </w:rPr>
              <w:t>:</w:t>
            </w:r>
            <w:r w:rsidR="009A20CD" w:rsidRPr="00E338C2">
              <w:rPr>
                <w:rFonts w:ascii="Arial Black" w:hAnsi="Arial Black"/>
                <w:caps/>
                <w:sz w:val="15"/>
              </w:rPr>
              <w:t xml:space="preserve">  </w:t>
            </w:r>
            <w:r w:rsidR="008C73C9" w:rsidRPr="00E338C2">
              <w:rPr>
                <w:rFonts w:ascii="Arial Black" w:hAnsi="Arial Black"/>
                <w:caps/>
                <w:sz w:val="15"/>
              </w:rPr>
              <w:t>11 DE ABRIL DE 2017</w:t>
            </w:r>
            <w:r w:rsidR="008B2CC1" w:rsidRPr="00E338C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0D4B441" w14:textId="77777777" w:rsidR="004F35AA" w:rsidRPr="00E338C2" w:rsidRDefault="004F35AA" w:rsidP="00C94971"/>
    <w:p w14:paraId="7B13D53C" w14:textId="77777777" w:rsidR="004F35AA" w:rsidRPr="00E338C2" w:rsidRDefault="004F35AA" w:rsidP="00C94971"/>
    <w:p w14:paraId="42E864C5" w14:textId="77777777" w:rsidR="004F35AA" w:rsidRPr="00E338C2" w:rsidRDefault="004F35AA" w:rsidP="00C94971"/>
    <w:p w14:paraId="686EB640" w14:textId="77777777" w:rsidR="004F35AA" w:rsidRPr="00E338C2" w:rsidRDefault="004F35AA" w:rsidP="00C94971"/>
    <w:p w14:paraId="7A52A989" w14:textId="77777777" w:rsidR="004F35AA" w:rsidRPr="00E338C2" w:rsidRDefault="004F35AA" w:rsidP="00C94971"/>
    <w:p w14:paraId="503EE960" w14:textId="77777777" w:rsidR="004F35AA" w:rsidRPr="00E338C2" w:rsidRDefault="001F7FFB" w:rsidP="00C94971">
      <w:pPr>
        <w:rPr>
          <w:b/>
          <w:sz w:val="28"/>
          <w:szCs w:val="28"/>
        </w:rPr>
      </w:pPr>
      <w:r w:rsidRPr="00E338C2">
        <w:rPr>
          <w:b/>
          <w:sz w:val="28"/>
          <w:szCs w:val="28"/>
        </w:rPr>
        <w:t>Comité de Normas Técnicas de la OMPI (CWS)</w:t>
      </w:r>
    </w:p>
    <w:p w14:paraId="188BE46A" w14:textId="77777777" w:rsidR="004F35AA" w:rsidRPr="00E338C2" w:rsidRDefault="004F35AA" w:rsidP="00C94971"/>
    <w:p w14:paraId="49C6767F" w14:textId="77777777" w:rsidR="004F35AA" w:rsidRPr="00E338C2" w:rsidRDefault="004F35AA" w:rsidP="00C94971"/>
    <w:p w14:paraId="5DBCC49F" w14:textId="7F324390" w:rsidR="004F35AA" w:rsidRPr="00E338C2" w:rsidRDefault="00C80AAC" w:rsidP="00C9497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Quinta S</w:t>
      </w:r>
      <w:bookmarkStart w:id="0" w:name="_GoBack"/>
      <w:bookmarkEnd w:id="0"/>
      <w:r w:rsidR="001F7FFB" w:rsidRPr="00E338C2">
        <w:rPr>
          <w:b/>
          <w:sz w:val="24"/>
          <w:szCs w:val="24"/>
        </w:rPr>
        <w:t>esión</w:t>
      </w:r>
    </w:p>
    <w:p w14:paraId="2DCFE37A" w14:textId="77777777" w:rsidR="004F35AA" w:rsidRPr="00E338C2" w:rsidRDefault="00716DB4" w:rsidP="00C94971">
      <w:pPr>
        <w:rPr>
          <w:b/>
          <w:sz w:val="24"/>
          <w:szCs w:val="24"/>
        </w:rPr>
      </w:pPr>
      <w:r w:rsidRPr="00E338C2">
        <w:rPr>
          <w:b/>
          <w:sz w:val="24"/>
          <w:szCs w:val="24"/>
        </w:rPr>
        <w:t>Ginebra, 29 de mayo a 2 de junio de 2017</w:t>
      </w:r>
    </w:p>
    <w:p w14:paraId="1B567F63" w14:textId="77777777" w:rsidR="004F35AA" w:rsidRPr="00E338C2" w:rsidRDefault="004F35AA" w:rsidP="00C94971"/>
    <w:p w14:paraId="6061B80E" w14:textId="77777777" w:rsidR="004F35AA" w:rsidRPr="00E338C2" w:rsidRDefault="004F35AA" w:rsidP="00C94971"/>
    <w:p w14:paraId="1FDEC8AE" w14:textId="77777777" w:rsidR="004F35AA" w:rsidRPr="00E338C2" w:rsidRDefault="004F35AA" w:rsidP="00C94971"/>
    <w:p w14:paraId="40C57BA6" w14:textId="77777777" w:rsidR="004F35AA" w:rsidRPr="00E338C2" w:rsidRDefault="00884E59" w:rsidP="00C94971">
      <w:pPr>
        <w:rPr>
          <w:caps/>
          <w:sz w:val="24"/>
          <w:szCs w:val="24"/>
        </w:rPr>
      </w:pPr>
      <w:r w:rsidRPr="00E338C2">
        <w:rPr>
          <w:sz w:val="24"/>
          <w:szCs w:val="24"/>
        </w:rPr>
        <w:t>INFORME DE LA ENCUESTA SOBRE EL USO DE LAS NORMAS TÉCNICAS DE LA OMPI</w:t>
      </w:r>
    </w:p>
    <w:p w14:paraId="7325713C" w14:textId="77777777" w:rsidR="004F35AA" w:rsidRDefault="004F35AA" w:rsidP="00C94971">
      <w:pPr>
        <w:rPr>
          <w:caps/>
        </w:rPr>
      </w:pPr>
    </w:p>
    <w:p w14:paraId="3D1EE765" w14:textId="77777777" w:rsidR="00C94971" w:rsidRPr="00E338C2" w:rsidRDefault="00C94971" w:rsidP="00C94971">
      <w:pPr>
        <w:rPr>
          <w:caps/>
        </w:rPr>
      </w:pPr>
    </w:p>
    <w:p w14:paraId="7E75F425" w14:textId="77777777" w:rsidR="004F35AA" w:rsidRPr="00E338C2" w:rsidRDefault="004F35AA" w:rsidP="00C94971">
      <w:pPr>
        <w:rPr>
          <w:i/>
        </w:rPr>
      </w:pPr>
      <w:r w:rsidRPr="00E338C2">
        <w:rPr>
          <w:i/>
          <w:lang w:val="es-ES_tradnl"/>
        </w:rPr>
        <w:t>Documento preparado por la Secretaría</w:t>
      </w:r>
    </w:p>
    <w:p w14:paraId="0E241845" w14:textId="77777777" w:rsidR="004F35AA" w:rsidRPr="00DB2033" w:rsidRDefault="004F35AA" w:rsidP="00C94971"/>
    <w:p w14:paraId="19C3C70A" w14:textId="77777777" w:rsidR="004F35AA" w:rsidRPr="00DB2033" w:rsidRDefault="004F35AA" w:rsidP="00C94971"/>
    <w:p w14:paraId="06B7986A" w14:textId="77777777" w:rsidR="004F35AA" w:rsidRPr="00DB2033" w:rsidRDefault="004F35AA" w:rsidP="00C94971"/>
    <w:p w14:paraId="4C5EBC73" w14:textId="77777777" w:rsidR="004F35AA" w:rsidRPr="00DB2033" w:rsidRDefault="004F35AA" w:rsidP="00C94971"/>
    <w:p w14:paraId="69706C7B" w14:textId="77777777" w:rsidR="004F35AA" w:rsidRPr="00DB2033" w:rsidRDefault="004F35AA" w:rsidP="00C94971"/>
    <w:p w14:paraId="18FE8952" w14:textId="77777777" w:rsidR="004F35AA" w:rsidRPr="00C94971" w:rsidRDefault="004E4FD2" w:rsidP="00C94971">
      <w:pPr>
        <w:pStyle w:val="Heading2"/>
        <w:spacing w:before="0"/>
        <w:rPr>
          <w:caps w:val="0"/>
          <w:lang w:val="en-US"/>
        </w:rPr>
      </w:pPr>
      <w:r w:rsidRPr="00C94971">
        <w:rPr>
          <w:caps w:val="0"/>
          <w:lang w:val="en-US"/>
        </w:rPr>
        <w:t>INTRODUCCIÓN</w:t>
      </w:r>
    </w:p>
    <w:p w14:paraId="77E6D212" w14:textId="77777777" w:rsidR="00202900" w:rsidRPr="00E338C2" w:rsidRDefault="00FE1519" w:rsidP="00C94971">
      <w:pPr>
        <w:pStyle w:val="ONUME"/>
        <w:spacing w:after="120"/>
      </w:pPr>
      <w:r w:rsidRPr="00E338C2">
        <w:t>E</w:t>
      </w:r>
      <w:r w:rsidR="00202900" w:rsidRPr="00E338C2">
        <w:t xml:space="preserve">n la reanudación de </w:t>
      </w:r>
      <w:r w:rsidRPr="00E338C2">
        <w:t>su</w:t>
      </w:r>
      <w:r w:rsidR="00202900" w:rsidRPr="00E338C2">
        <w:t xml:space="preserve"> cuart</w:t>
      </w:r>
      <w:r w:rsidR="00740BF7" w:rsidRPr="00E338C2">
        <w:t>a</w:t>
      </w:r>
      <w:r w:rsidR="00202900" w:rsidRPr="00E338C2">
        <w:t xml:space="preserve"> </w:t>
      </w:r>
      <w:r w:rsidR="001C1756" w:rsidRPr="00E338C2">
        <w:t>sesión</w:t>
      </w:r>
      <w:r w:rsidRPr="00E338C2">
        <w:t xml:space="preserve">, </w:t>
      </w:r>
      <w:r w:rsidR="00202900" w:rsidRPr="00E338C2">
        <w:t xml:space="preserve">celebrada en marzo de 2016, </w:t>
      </w:r>
      <w:r w:rsidRPr="00E338C2">
        <w:t xml:space="preserve">el Comité de Normas Técnicas de la OMPI (CWS) </w:t>
      </w:r>
      <w:r w:rsidR="00202900" w:rsidRPr="00E338C2">
        <w:t xml:space="preserve">aprobó </w:t>
      </w:r>
      <w:r w:rsidR="00331874" w:rsidRPr="00E338C2">
        <w:t>el</w:t>
      </w:r>
      <w:r w:rsidR="00202900" w:rsidRPr="00E338C2">
        <w:t xml:space="preserve"> cuestionario sobre el uso de las Normas Técnicas de la OMPI y </w:t>
      </w:r>
      <w:r w:rsidR="00FD480C">
        <w:t>solicitó</w:t>
      </w:r>
      <w:r w:rsidR="00202900" w:rsidRPr="00E338C2">
        <w:t xml:space="preserve"> a la Oficina Internacional que:</w:t>
      </w:r>
    </w:p>
    <w:p w14:paraId="414DF32F" w14:textId="77777777" w:rsidR="00C94971" w:rsidRDefault="001558A3" w:rsidP="00C94971">
      <w:pPr>
        <w:pStyle w:val="ONUMFS"/>
        <w:numPr>
          <w:ilvl w:val="0"/>
          <w:numId w:val="18"/>
        </w:numPr>
        <w:spacing w:after="60"/>
        <w:ind w:left="1134" w:hanging="567"/>
      </w:pPr>
      <w:r w:rsidRPr="00E338C2">
        <w:t>prepar</w:t>
      </w:r>
      <w:r w:rsidR="00DB3874">
        <w:t>ara y enviara</w:t>
      </w:r>
      <w:r w:rsidRPr="00E338C2">
        <w:t xml:space="preserve"> una circu</w:t>
      </w:r>
      <w:r w:rsidR="00DB3874">
        <w:t>lar en la que invitara</w:t>
      </w:r>
      <w:r w:rsidRPr="00E338C2">
        <w:t xml:space="preserve"> a</w:t>
      </w:r>
      <w:r w:rsidR="00202900" w:rsidRPr="00E338C2">
        <w:t xml:space="preserve"> las oficinas de propiedad industrial </w:t>
      </w:r>
      <w:r w:rsidR="001C1756" w:rsidRPr="00E338C2">
        <w:t xml:space="preserve">(P.I.) </w:t>
      </w:r>
      <w:r w:rsidR="00202900" w:rsidRPr="00E338C2">
        <w:t>a completar el cuestionario</w:t>
      </w:r>
      <w:r w:rsidR="002348B0" w:rsidRPr="00E338C2">
        <w:t>;</w:t>
      </w:r>
    </w:p>
    <w:p w14:paraId="4F6188CA" w14:textId="77777777" w:rsidR="00C94971" w:rsidRDefault="00DB3874" w:rsidP="00C94971">
      <w:pPr>
        <w:pStyle w:val="ONUMFS"/>
        <w:numPr>
          <w:ilvl w:val="0"/>
          <w:numId w:val="18"/>
        </w:numPr>
        <w:spacing w:after="60"/>
        <w:ind w:left="1134" w:hanging="567"/>
      </w:pPr>
      <w:r w:rsidRPr="00C94971">
        <w:rPr>
          <w:lang w:val="es-ES_tradnl"/>
        </w:rPr>
        <w:t>preparara</w:t>
      </w:r>
      <w:r w:rsidR="004F35AA" w:rsidRPr="00C94971">
        <w:rPr>
          <w:lang w:val="es-ES_tradnl"/>
        </w:rPr>
        <w:t xml:space="preserve"> un informe sobre </w:t>
      </w:r>
      <w:r w:rsidR="00884E59" w:rsidRPr="00C94971">
        <w:rPr>
          <w:lang w:val="es-ES_tradnl"/>
        </w:rPr>
        <w:t>la encuesta</w:t>
      </w:r>
      <w:r w:rsidR="004F35AA" w:rsidRPr="00C94971">
        <w:rPr>
          <w:lang w:val="es-ES_tradnl"/>
        </w:rPr>
        <w:t>;  y</w:t>
      </w:r>
    </w:p>
    <w:p w14:paraId="7B6921A7" w14:textId="2D1BE9F8" w:rsidR="004F35AA" w:rsidRPr="00E338C2" w:rsidRDefault="004F35AA" w:rsidP="00C94971">
      <w:pPr>
        <w:pStyle w:val="ONUMFS"/>
        <w:numPr>
          <w:ilvl w:val="0"/>
          <w:numId w:val="18"/>
        </w:numPr>
        <w:spacing w:after="120"/>
        <w:ind w:left="1134" w:hanging="567"/>
      </w:pPr>
      <w:r w:rsidRPr="00C94971">
        <w:rPr>
          <w:lang w:val="es-ES_tradnl"/>
        </w:rPr>
        <w:t>somet</w:t>
      </w:r>
      <w:r w:rsidR="00DB3874" w:rsidRPr="00C94971">
        <w:rPr>
          <w:lang w:val="es-ES_tradnl"/>
        </w:rPr>
        <w:t>ier</w:t>
      </w:r>
      <w:r w:rsidRPr="00C94971">
        <w:rPr>
          <w:lang w:val="es-ES_tradnl"/>
        </w:rPr>
        <w:t>a los resultados de</w:t>
      </w:r>
      <w:r w:rsidR="00884E59" w:rsidRPr="00C94971">
        <w:rPr>
          <w:lang w:val="es-ES_tradnl"/>
        </w:rPr>
        <w:t xml:space="preserve"> la encuesta</w:t>
      </w:r>
      <w:r w:rsidRPr="00C94971">
        <w:rPr>
          <w:lang w:val="es-ES_tradnl"/>
        </w:rPr>
        <w:t xml:space="preserve"> al examen del CWS en su próxima </w:t>
      </w:r>
      <w:r w:rsidR="00884E59" w:rsidRPr="00C94971">
        <w:rPr>
          <w:lang w:val="es-ES_tradnl"/>
        </w:rPr>
        <w:t xml:space="preserve">(quinta) </w:t>
      </w:r>
      <w:r w:rsidRPr="00C94971">
        <w:rPr>
          <w:lang w:val="es-ES_tradnl"/>
        </w:rPr>
        <w:t xml:space="preserve">sesión, con el fin de aprobar su publicación en la Parte 7 del </w:t>
      </w:r>
      <w:r w:rsidR="00884E59" w:rsidRPr="00C94971">
        <w:rPr>
          <w:lang w:val="es-ES_tradnl"/>
        </w:rPr>
        <w:t>Manual de Información y Documentación de la OMPI en materia de Propiedad Industrial (</w:t>
      </w:r>
      <w:r w:rsidRPr="00C94971">
        <w:rPr>
          <w:lang w:val="es-ES_tradnl"/>
        </w:rPr>
        <w:t>Manual de la OMPI</w:t>
      </w:r>
      <w:r w:rsidR="00884E59" w:rsidRPr="00C94971">
        <w:rPr>
          <w:lang w:val="es-ES_tradnl"/>
        </w:rPr>
        <w:t>)</w:t>
      </w:r>
      <w:r w:rsidRPr="00C94971">
        <w:rPr>
          <w:lang w:val="es-ES_tradnl"/>
        </w:rPr>
        <w:t xml:space="preserve"> y tomar otras medidas pertinentes, de ser necesario.</w:t>
      </w:r>
    </w:p>
    <w:p w14:paraId="0B3D10D6" w14:textId="77777777" w:rsidR="004F35AA" w:rsidRPr="00E338C2" w:rsidRDefault="00884E59" w:rsidP="00C94971">
      <w:pPr>
        <w:pStyle w:val="ONUMFS"/>
        <w:numPr>
          <w:ilvl w:val="0"/>
          <w:numId w:val="0"/>
        </w:numPr>
      </w:pPr>
      <w:r w:rsidRPr="00E338C2">
        <w:rPr>
          <w:lang w:val="es-ES_tradnl"/>
        </w:rPr>
        <w:t>(Véanse los párrafos  92 y</w:t>
      </w:r>
      <w:r w:rsidR="004F35AA" w:rsidRPr="00E338C2">
        <w:rPr>
          <w:lang w:val="es-ES_tradnl"/>
        </w:rPr>
        <w:t xml:space="preserve"> 93 del documento CWS/</w:t>
      </w:r>
      <w:r w:rsidRPr="00E338C2">
        <w:rPr>
          <w:lang w:val="es-ES_tradnl"/>
        </w:rPr>
        <w:t>4BIS</w:t>
      </w:r>
      <w:r w:rsidR="004F35AA" w:rsidRPr="00E338C2">
        <w:rPr>
          <w:lang w:val="es-ES_tradnl"/>
        </w:rPr>
        <w:t>/16.)</w:t>
      </w:r>
    </w:p>
    <w:p w14:paraId="40BBABB2" w14:textId="12F5068F" w:rsidR="00202900" w:rsidRPr="00E338C2" w:rsidRDefault="00202900" w:rsidP="00C94971">
      <w:pPr>
        <w:pStyle w:val="ONUME"/>
      </w:pPr>
      <w:r w:rsidRPr="00E338C2">
        <w:t xml:space="preserve">El CWS </w:t>
      </w:r>
      <w:r w:rsidR="00740BF7" w:rsidRPr="00E338C2">
        <w:t xml:space="preserve">también </w:t>
      </w:r>
      <w:r w:rsidR="007B1F46">
        <w:t>solicitó</w:t>
      </w:r>
      <w:r w:rsidR="00740BF7" w:rsidRPr="00E338C2">
        <w:t xml:space="preserve"> a la Secretaría que en la carta de presentación que acompañ</w:t>
      </w:r>
      <w:r w:rsidR="00DB3874">
        <w:t>aría</w:t>
      </w:r>
      <w:r w:rsidR="00740BF7" w:rsidRPr="00E338C2">
        <w:t xml:space="preserve"> al cuestionar</w:t>
      </w:r>
      <w:r w:rsidR="00FE1519" w:rsidRPr="00E338C2">
        <w:t>io</w:t>
      </w:r>
      <w:r w:rsidR="00740BF7" w:rsidRPr="00E338C2">
        <w:t xml:space="preserve"> s</w:t>
      </w:r>
      <w:r w:rsidR="00DB3874">
        <w:t>e subrayara</w:t>
      </w:r>
      <w:r w:rsidR="00331874" w:rsidRPr="00E338C2">
        <w:t xml:space="preserve"> </w:t>
      </w:r>
      <w:r w:rsidR="00740BF7" w:rsidRPr="00E338C2">
        <w:t xml:space="preserve">la importancia de destacar los problemas </w:t>
      </w:r>
      <w:r w:rsidR="007B1F46">
        <w:t>qu</w:t>
      </w:r>
      <w:r w:rsidR="00DB3874">
        <w:t>e surgieran</w:t>
      </w:r>
      <w:r w:rsidR="00740BF7" w:rsidRPr="00E338C2">
        <w:t xml:space="preserve"> en rel</w:t>
      </w:r>
      <w:r w:rsidR="001C1756" w:rsidRPr="00E338C2">
        <w:t>ación con la aplicación de las Normas T</w:t>
      </w:r>
      <w:r w:rsidR="00740BF7" w:rsidRPr="00E338C2">
        <w:t xml:space="preserve">écnicas de la OMPI y </w:t>
      </w:r>
      <w:r w:rsidR="00DB3874">
        <w:t>los motivos que ocasionara</w:t>
      </w:r>
      <w:r w:rsidR="00331874" w:rsidRPr="00E338C2">
        <w:t xml:space="preserve">n </w:t>
      </w:r>
      <w:r w:rsidR="00740BF7" w:rsidRPr="00E338C2">
        <w:t>esos problemas (</w:t>
      </w:r>
      <w:r w:rsidR="00847EBC" w:rsidRPr="00E338C2">
        <w:t>v</w:t>
      </w:r>
      <w:r w:rsidR="00740BF7" w:rsidRPr="00E338C2">
        <w:t>éase el párrafo 23 del documento CWS/4BIS/16).</w:t>
      </w:r>
    </w:p>
    <w:p w14:paraId="7AB6B037" w14:textId="4D938B66" w:rsidR="004F35AA" w:rsidRPr="00E338C2" w:rsidRDefault="002348B0" w:rsidP="00C94971">
      <w:pPr>
        <w:tabs>
          <w:tab w:val="center" w:pos="4677"/>
        </w:tabs>
        <w:spacing w:after="220"/>
      </w:pPr>
      <w:r w:rsidRPr="00E338C2">
        <w:br w:type="page"/>
      </w:r>
    </w:p>
    <w:p w14:paraId="4D93250B" w14:textId="5FDDCC80" w:rsidR="00740BF7" w:rsidRPr="00E338C2" w:rsidRDefault="00AC4CEB" w:rsidP="00C94971">
      <w:pPr>
        <w:pStyle w:val="ONUME"/>
      </w:pPr>
      <w:r w:rsidRPr="00E338C2">
        <w:lastRenderedPageBreak/>
        <w:t>Con objeto de dar cumplimiento a esa</w:t>
      </w:r>
      <w:r w:rsidR="001558A3" w:rsidRPr="00E338C2">
        <w:t>s</w:t>
      </w:r>
      <w:r w:rsidRPr="00E338C2">
        <w:t xml:space="preserve"> decisi</w:t>
      </w:r>
      <w:r w:rsidR="001558A3" w:rsidRPr="00E338C2">
        <w:t>ones</w:t>
      </w:r>
      <w:r w:rsidRPr="00E338C2">
        <w:t xml:space="preserve"> del CWS, la Secretaría </w:t>
      </w:r>
      <w:r w:rsidR="00325848" w:rsidRPr="00E338C2">
        <w:t>publicó</w:t>
      </w:r>
      <w:r w:rsidRPr="00E338C2">
        <w:t xml:space="preserve"> la Circular C.CWS 74 de 11 de agosto de 2016 </w:t>
      </w:r>
      <w:r w:rsidR="00325848" w:rsidRPr="00E338C2">
        <w:t xml:space="preserve">dirigida </w:t>
      </w:r>
      <w:r w:rsidRPr="00E338C2">
        <w:t xml:space="preserve">a las </w:t>
      </w:r>
      <w:r w:rsidR="00DB3874">
        <w:t>O</w:t>
      </w:r>
      <w:r w:rsidR="00847EBC" w:rsidRPr="00E338C2">
        <w:t>ficinas de P.I.</w:t>
      </w:r>
      <w:r w:rsidRPr="00E338C2">
        <w:t xml:space="preserve"> </w:t>
      </w:r>
      <w:r w:rsidR="00C50299">
        <w:t xml:space="preserve"> </w:t>
      </w:r>
      <w:r w:rsidRPr="00E338C2">
        <w:t xml:space="preserve">de los miembros del CWS, a través de sus Misiones Permanentes en Ginebra y creó un espacio wiki </w:t>
      </w:r>
      <w:r w:rsidR="004E6B50" w:rsidRPr="00E338C2">
        <w:t>con el fin de</w:t>
      </w:r>
      <w:r w:rsidRPr="00E338C2">
        <w:t xml:space="preserve"> ofrecer una plataforma para el intercambio de prácticas </w:t>
      </w:r>
      <w:r w:rsidR="00325848" w:rsidRPr="00E338C2">
        <w:t>sobre el</w:t>
      </w:r>
      <w:r w:rsidRPr="00E338C2">
        <w:t xml:space="preserve"> uso de </w:t>
      </w:r>
      <w:r w:rsidR="00325848" w:rsidRPr="00E338C2">
        <w:t xml:space="preserve">las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>écnicas de la OMPI, con el propósito de invitar a los miembros del CWS a remitir sus respuestas al cuestionario a través del espacio wiki</w:t>
      </w:r>
      <w:r w:rsidR="00AC7ABB" w:rsidRPr="00E338C2">
        <w:t>.  A</w:t>
      </w:r>
      <w:r w:rsidRPr="00E338C2">
        <w:t xml:space="preserve">demás, la Secretaría alentó a los </w:t>
      </w:r>
      <w:r w:rsidR="00B802F6" w:rsidRPr="00E338C2">
        <w:t>E</w:t>
      </w:r>
      <w:r w:rsidRPr="00E338C2">
        <w:t xml:space="preserve">stados miembros a responder a la encuesta a través de varios canales, incluido un recordatorio informal a los grupos regionales en septiembre y un recordatorio formal </w:t>
      </w:r>
      <w:r w:rsidR="00B802F6" w:rsidRPr="00E338C2">
        <w:t>en el informe de la Secretaría sobre e</w:t>
      </w:r>
      <w:r w:rsidR="004E6B50" w:rsidRPr="00E338C2">
        <w:t>l CWS presentado a la Asamblea G</w:t>
      </w:r>
      <w:r w:rsidR="00B802F6" w:rsidRPr="00E338C2">
        <w:t>eneral celebrada en octubre de 2016, en el que se amplió el plazo para responder</w:t>
      </w:r>
      <w:r w:rsidR="00AC7ABB" w:rsidRPr="00E338C2">
        <w:t>.  C</w:t>
      </w:r>
      <w:r w:rsidR="001C1756" w:rsidRPr="00E338C2">
        <w:t>omo resultado de ello</w:t>
      </w:r>
      <w:r w:rsidR="00B802F6" w:rsidRPr="00E338C2">
        <w:t>, se han recopilado respuestas de países de todo el mundo, incluyendo algunos países en desarrollo (véase el párrafo 6 más abajo).</w:t>
      </w:r>
    </w:p>
    <w:p w14:paraId="2100E29A" w14:textId="734B9CA2" w:rsidR="008142B5" w:rsidRPr="00E338C2" w:rsidRDefault="008142B5" w:rsidP="00C94971">
      <w:pPr>
        <w:pStyle w:val="ONUME"/>
      </w:pPr>
      <w:r w:rsidRPr="00E338C2">
        <w:t xml:space="preserve">Las respuestas a la encuesta están disponibles públicamente en la wiki </w:t>
      </w:r>
      <w:r w:rsidR="002348B0" w:rsidRPr="00E338C2">
        <w:t xml:space="preserve">“CWS Survey on the Use of WIPO </w:t>
      </w:r>
      <w:proofErr w:type="spellStart"/>
      <w:r w:rsidR="002348B0" w:rsidRPr="00E338C2">
        <w:t>Standards</w:t>
      </w:r>
      <w:proofErr w:type="spellEnd"/>
      <w:r w:rsidR="002348B0" w:rsidRPr="00E338C2">
        <w:t xml:space="preserve">” </w:t>
      </w:r>
      <w:r w:rsidRPr="00E338C2">
        <w:t>en</w:t>
      </w:r>
      <w:r w:rsidR="002348B0" w:rsidRPr="00E338C2">
        <w:t xml:space="preserve"> </w:t>
      </w:r>
      <w:hyperlink r:id="rId10" w:history="1">
        <w:r w:rsidR="002348B0" w:rsidRPr="00C50299">
          <w:rPr>
            <w:rStyle w:val="Hyperlink"/>
          </w:rPr>
          <w:t>https://www3.wipo.int/confluence/x/OADDB</w:t>
        </w:r>
      </w:hyperlink>
      <w:r w:rsidR="002348B0" w:rsidRPr="00E338C2">
        <w:t xml:space="preserve">;  </w:t>
      </w:r>
      <w:r w:rsidRPr="00E338C2">
        <w:t xml:space="preserve">los resultados de la encuesta pueden consultarse </w:t>
      </w:r>
      <w:r w:rsidR="004E6B50" w:rsidRPr="00E338C2">
        <w:t>atendiendo a</w:t>
      </w:r>
      <w:r w:rsidRPr="00E338C2">
        <w:t xml:space="preserve"> la </w:t>
      </w:r>
      <w:r w:rsidR="00DB3874">
        <w:t>n</w:t>
      </w:r>
      <w:r w:rsidRPr="00E338C2">
        <w:t xml:space="preserve">orma </w:t>
      </w:r>
      <w:r w:rsidR="00DB3874">
        <w:t>t</w:t>
      </w:r>
      <w:r w:rsidRPr="00E338C2">
        <w:t xml:space="preserve">écnica o </w:t>
      </w:r>
      <w:r w:rsidR="004E6B50" w:rsidRPr="00E338C2">
        <w:t>a</w:t>
      </w:r>
      <w:r w:rsidRPr="00E338C2">
        <w:t xml:space="preserve"> la Oficina de P.I</w:t>
      </w:r>
      <w:r w:rsidR="001C1756" w:rsidRPr="00E338C2">
        <w:t xml:space="preserve">. </w:t>
      </w:r>
      <w:r w:rsidR="00DB2033">
        <w:t xml:space="preserve"> </w:t>
      </w:r>
      <w:r w:rsidR="004E6B50" w:rsidRPr="00E338C2">
        <w:t>E</w:t>
      </w:r>
      <w:r w:rsidRPr="00E338C2">
        <w:t xml:space="preserve">n la página </w:t>
      </w:r>
      <w:r w:rsidR="004E6B50" w:rsidRPr="00E338C2">
        <w:t>“</w:t>
      </w:r>
      <w:r w:rsidRPr="00E338C2">
        <w:t xml:space="preserve">WIPO Standards </w:t>
      </w:r>
      <w:proofErr w:type="spellStart"/>
      <w:r w:rsidRPr="00E338C2">
        <w:t>Implementation</w:t>
      </w:r>
      <w:proofErr w:type="spellEnd"/>
      <w:r w:rsidRPr="00E338C2">
        <w:t xml:space="preserve"> </w:t>
      </w:r>
      <w:proofErr w:type="spellStart"/>
      <w:r w:rsidRPr="00E338C2">
        <w:t>Overview</w:t>
      </w:r>
      <w:proofErr w:type="spellEnd"/>
      <w:r w:rsidRPr="00E338C2">
        <w:t xml:space="preserve">” en </w:t>
      </w:r>
      <w:hyperlink r:id="rId11" w:history="1">
        <w:r w:rsidRPr="00C50299">
          <w:rPr>
            <w:rStyle w:val="Hyperlink"/>
          </w:rPr>
          <w:t>https://www3.wipo.int/confluence/x/OALDB</w:t>
        </w:r>
      </w:hyperlink>
      <w:r w:rsidRPr="00E338C2">
        <w:rPr>
          <w:rStyle w:val="Hyperlink"/>
          <w:color w:val="auto"/>
        </w:rPr>
        <w:t xml:space="preserve"> </w:t>
      </w:r>
      <w:r w:rsidRPr="00E338C2">
        <w:t xml:space="preserve"> se presenta </w:t>
      </w:r>
      <w:r w:rsidR="004E6B50" w:rsidRPr="00E338C2">
        <w:t xml:space="preserve">una reseña </w:t>
      </w:r>
      <w:r w:rsidRPr="00E338C2">
        <w:t xml:space="preserve">de la situación de </w:t>
      </w:r>
      <w:r w:rsidR="004E6B50" w:rsidRPr="00E338C2">
        <w:t xml:space="preserve">la </w:t>
      </w:r>
      <w:r w:rsidR="00C50299">
        <w:t>aplicación en formato de tabla.</w:t>
      </w:r>
    </w:p>
    <w:p w14:paraId="3A01EBFD" w14:textId="36C4F946" w:rsidR="004F35AA" w:rsidRPr="00E338C2" w:rsidRDefault="00B847B2" w:rsidP="00C94971">
      <w:pPr>
        <w:pStyle w:val="ONUME"/>
      </w:pPr>
      <w:r w:rsidRPr="00E338C2">
        <w:t xml:space="preserve">Se invita a las </w:t>
      </w:r>
      <w:r w:rsidR="00847EBC" w:rsidRPr="00E338C2">
        <w:t>oficinas de P.I.</w:t>
      </w:r>
      <w:r w:rsidRPr="00E338C2">
        <w:t xml:space="preserve"> </w:t>
      </w:r>
      <w:r w:rsidR="00C50299">
        <w:t xml:space="preserve"> </w:t>
      </w:r>
      <w:r w:rsidRPr="00E338C2">
        <w:t>que no hayan respondido a la encuesta</w:t>
      </w:r>
      <w:r w:rsidR="004E6B50" w:rsidRPr="00E338C2">
        <w:t>,</w:t>
      </w:r>
      <w:r w:rsidRPr="00E338C2">
        <w:t xml:space="preserve"> o que deseen modificar la información remitida</w:t>
      </w:r>
      <w:r w:rsidR="004E6B50" w:rsidRPr="00E338C2">
        <w:t>,</w:t>
      </w:r>
      <w:r w:rsidRPr="00E338C2">
        <w:t xml:space="preserve"> a que se pongan en contacto con la Oficina Internacional en </w:t>
      </w:r>
      <w:hyperlink r:id="rId12" w:history="1">
        <w:r w:rsidR="002348B0" w:rsidRPr="00C50299">
          <w:rPr>
            <w:rStyle w:val="Hyperlink"/>
          </w:rPr>
          <w:t>cws.surveys@wipo.int</w:t>
        </w:r>
      </w:hyperlink>
      <w:r w:rsidR="002348B0" w:rsidRPr="00E338C2">
        <w:t xml:space="preserve"> </w:t>
      </w:r>
      <w:r w:rsidRPr="00E338C2">
        <w:t xml:space="preserve">y sigan las instrucciones disponibles en </w:t>
      </w:r>
      <w:hyperlink r:id="rId13" w:history="1">
        <w:r w:rsidR="002348B0" w:rsidRPr="00C50299">
          <w:rPr>
            <w:rStyle w:val="Hyperlink"/>
          </w:rPr>
          <w:t>https://www3.wipo.int/confluence/x/MALDB</w:t>
        </w:r>
      </w:hyperlink>
      <w:r w:rsidR="002348B0" w:rsidRPr="00E338C2">
        <w:t>.</w:t>
      </w:r>
    </w:p>
    <w:p w14:paraId="76C70BAB" w14:textId="77777777" w:rsidR="004F35AA" w:rsidRPr="00E338C2" w:rsidRDefault="004F35AA" w:rsidP="00C94971">
      <w:pPr>
        <w:pStyle w:val="Heading2"/>
        <w:spacing w:before="0"/>
      </w:pPr>
      <w:r w:rsidRPr="00E338C2">
        <w:rPr>
          <w:lang w:val="es-ES_tradnl"/>
        </w:rPr>
        <w:t>RESUMEN DE LOS RESULTADOS DE</w:t>
      </w:r>
      <w:r w:rsidR="00884E59" w:rsidRPr="00E338C2">
        <w:rPr>
          <w:lang w:val="es-ES_tradnl"/>
        </w:rPr>
        <w:t xml:space="preserve"> LA ENCUESTA</w:t>
      </w:r>
    </w:p>
    <w:p w14:paraId="4D179941" w14:textId="3D9BC706" w:rsidR="002348B0" w:rsidRPr="00E338C2" w:rsidRDefault="00D61556" w:rsidP="00C94971">
      <w:pPr>
        <w:pStyle w:val="ONUME"/>
      </w:pPr>
      <w:r w:rsidRPr="00E338C2">
        <w:t xml:space="preserve">Las siguientes 30 </w:t>
      </w:r>
      <w:r w:rsidR="00847EBC" w:rsidRPr="00E338C2">
        <w:t>oficinas de P.I.</w:t>
      </w:r>
      <w:r w:rsidRPr="00E338C2">
        <w:t xml:space="preserve"> </w:t>
      </w:r>
      <w:r w:rsidR="00C50299">
        <w:t xml:space="preserve"> </w:t>
      </w:r>
      <w:r w:rsidRPr="00E338C2">
        <w:t>han participado en la encuesta</w:t>
      </w:r>
      <w:r w:rsidR="002348B0" w:rsidRPr="00E338C2"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E338C2" w:rsidRPr="00E338C2" w14:paraId="47D66CE4" w14:textId="77777777" w:rsidTr="00095F67">
        <w:tc>
          <w:tcPr>
            <w:tcW w:w="648" w:type="dxa"/>
          </w:tcPr>
          <w:p w14:paraId="1D5F2F74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AU</w:t>
            </w:r>
          </w:p>
          <w:p w14:paraId="67AC2AA3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BA</w:t>
            </w:r>
          </w:p>
          <w:p w14:paraId="52ECA394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BD</w:t>
            </w:r>
          </w:p>
          <w:p w14:paraId="5B4C41F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CA</w:t>
            </w:r>
          </w:p>
          <w:p w14:paraId="178BEC2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CN</w:t>
            </w:r>
          </w:p>
          <w:p w14:paraId="6DEFC0A7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CO</w:t>
            </w:r>
          </w:p>
          <w:p w14:paraId="21BEA5C1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CZ</w:t>
            </w:r>
          </w:p>
          <w:p w14:paraId="29E9A3EC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DE</w:t>
            </w:r>
          </w:p>
          <w:p w14:paraId="0342612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HN</w:t>
            </w:r>
          </w:p>
          <w:p w14:paraId="2496463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HR</w:t>
            </w:r>
          </w:p>
          <w:p w14:paraId="3410DADE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HU</w:t>
            </w:r>
          </w:p>
          <w:p w14:paraId="05A93F2F" w14:textId="77777777" w:rsidR="004F35AA" w:rsidRPr="00E338C2" w:rsidRDefault="002348B0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IT</w:t>
            </w:r>
          </w:p>
          <w:p w14:paraId="48E99AF5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JP</w:t>
            </w:r>
          </w:p>
          <w:p w14:paraId="44EA7B46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KG</w:t>
            </w:r>
          </w:p>
          <w:p w14:paraId="72881733" w14:textId="77777777" w:rsidR="002348B0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KR</w:t>
            </w:r>
          </w:p>
        </w:tc>
        <w:tc>
          <w:tcPr>
            <w:tcW w:w="3933" w:type="dxa"/>
          </w:tcPr>
          <w:p w14:paraId="69EEF982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Australia</w:t>
            </w:r>
          </w:p>
          <w:p w14:paraId="0FE6E558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Bosnia y Herzegovina</w:t>
            </w:r>
          </w:p>
          <w:p w14:paraId="27F910C6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Bangladesh</w:t>
            </w:r>
          </w:p>
          <w:p w14:paraId="1905516D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Canadá</w:t>
            </w:r>
          </w:p>
          <w:p w14:paraId="7C117FBC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China</w:t>
            </w:r>
          </w:p>
          <w:p w14:paraId="465E57E4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Colombia</w:t>
            </w:r>
          </w:p>
          <w:p w14:paraId="2C5EA4C4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República Checa</w:t>
            </w:r>
          </w:p>
          <w:p w14:paraId="45E3AC00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Alemania</w:t>
            </w:r>
          </w:p>
          <w:p w14:paraId="4A4A49B3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Honduras</w:t>
            </w:r>
          </w:p>
          <w:p w14:paraId="1EFA3FBB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Croacia</w:t>
            </w:r>
          </w:p>
          <w:p w14:paraId="016BAB66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Hungría</w:t>
            </w:r>
          </w:p>
          <w:p w14:paraId="1A9B1FF4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Italia</w:t>
            </w:r>
          </w:p>
          <w:p w14:paraId="4C259A73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Japón</w:t>
            </w:r>
          </w:p>
          <w:p w14:paraId="59A305B4" w14:textId="77777777" w:rsidR="004F35AA" w:rsidRPr="00E338C2" w:rsidRDefault="00B802A7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Kirguistán</w:t>
            </w:r>
          </w:p>
          <w:p w14:paraId="5E1EBD54" w14:textId="77777777" w:rsidR="002348B0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República de Corea</w:t>
            </w:r>
          </w:p>
        </w:tc>
        <w:tc>
          <w:tcPr>
            <w:tcW w:w="720" w:type="dxa"/>
          </w:tcPr>
          <w:p w14:paraId="5C5231C8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LT</w:t>
            </w:r>
          </w:p>
          <w:p w14:paraId="584C9F92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MD</w:t>
            </w:r>
          </w:p>
          <w:p w14:paraId="0E927CAF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MX</w:t>
            </w:r>
          </w:p>
          <w:p w14:paraId="24C5F47B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OM</w:t>
            </w:r>
          </w:p>
          <w:p w14:paraId="5940E148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RU</w:t>
            </w:r>
          </w:p>
          <w:p w14:paraId="290F75C1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E338C2">
              <w:rPr>
                <w:lang w:val="fr-FR"/>
              </w:rPr>
              <w:t>SA</w:t>
            </w:r>
          </w:p>
          <w:p w14:paraId="5125247C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SE</w:t>
            </w:r>
          </w:p>
          <w:p w14:paraId="18F58BCE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SK</w:t>
            </w:r>
          </w:p>
          <w:p w14:paraId="1F0120C0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SV</w:t>
            </w:r>
          </w:p>
          <w:p w14:paraId="09522119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TN</w:t>
            </w:r>
          </w:p>
          <w:p w14:paraId="2ECC6A2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TT</w:t>
            </w:r>
          </w:p>
          <w:p w14:paraId="73119BEE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UA</w:t>
            </w:r>
          </w:p>
          <w:p w14:paraId="0597EF07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UG</w:t>
            </w:r>
          </w:p>
          <w:p w14:paraId="30B992DF" w14:textId="77777777" w:rsidR="004F35AA" w:rsidRPr="00E338C2" w:rsidRDefault="002348B0" w:rsidP="00C94971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n-US"/>
              </w:rPr>
            </w:pPr>
            <w:r w:rsidRPr="00E338C2">
              <w:rPr>
                <w:lang w:val="en-US"/>
              </w:rPr>
              <w:t>US</w:t>
            </w:r>
          </w:p>
          <w:p w14:paraId="5A4438BF" w14:textId="77777777" w:rsidR="002348B0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ZA</w:t>
            </w:r>
          </w:p>
        </w:tc>
        <w:tc>
          <w:tcPr>
            <w:tcW w:w="2970" w:type="dxa"/>
          </w:tcPr>
          <w:p w14:paraId="0641D906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Lituania</w:t>
            </w:r>
          </w:p>
          <w:p w14:paraId="272F624B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 xml:space="preserve">República de </w:t>
            </w:r>
            <w:r w:rsidRPr="00E338C2">
              <w:t>Moldova</w:t>
            </w:r>
          </w:p>
          <w:p w14:paraId="5FDAAA0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México</w:t>
            </w:r>
          </w:p>
          <w:p w14:paraId="62BA36D2" w14:textId="77777777" w:rsidR="004F35AA" w:rsidRPr="00E338C2" w:rsidRDefault="00B802A7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Omán</w:t>
            </w:r>
          </w:p>
          <w:p w14:paraId="1CD5F36D" w14:textId="77777777" w:rsidR="004F35AA" w:rsidRPr="00E338C2" w:rsidRDefault="00B802A7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Federación de Rusia</w:t>
            </w:r>
          </w:p>
          <w:p w14:paraId="56E86DF8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Arabia Saudita</w:t>
            </w:r>
          </w:p>
          <w:p w14:paraId="2DCFA6F9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Suecia</w:t>
            </w:r>
          </w:p>
          <w:p w14:paraId="12457D2B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Eslovaquia</w:t>
            </w:r>
          </w:p>
          <w:p w14:paraId="0EDFA4E1" w14:textId="77777777" w:rsidR="004F35AA" w:rsidRPr="00E338C2" w:rsidRDefault="00B802A7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El Salvador</w:t>
            </w:r>
          </w:p>
          <w:p w14:paraId="34C4FF71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Túnez</w:t>
            </w:r>
          </w:p>
          <w:p w14:paraId="04885245" w14:textId="77777777" w:rsidR="004F35AA" w:rsidRPr="00E338C2" w:rsidRDefault="00B802A7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 xml:space="preserve">Trinidad y </w:t>
            </w:r>
            <w:r w:rsidRPr="00E338C2">
              <w:t>Tabago</w:t>
            </w:r>
          </w:p>
          <w:p w14:paraId="7CC8C7BA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Ucrania</w:t>
            </w:r>
          </w:p>
          <w:p w14:paraId="3DA32048" w14:textId="77777777" w:rsidR="004F35AA" w:rsidRPr="00E338C2" w:rsidRDefault="00884E59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Uganda</w:t>
            </w:r>
          </w:p>
          <w:p w14:paraId="361A51C8" w14:textId="77777777" w:rsidR="004F35AA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Estados Unidos de América</w:t>
            </w:r>
          </w:p>
          <w:p w14:paraId="2D844EF9" w14:textId="5B6D9581" w:rsidR="002348B0" w:rsidRPr="00E338C2" w:rsidRDefault="004F35AA" w:rsidP="00C94971">
            <w:pPr>
              <w:pStyle w:val="ONUMFS"/>
              <w:numPr>
                <w:ilvl w:val="0"/>
                <w:numId w:val="0"/>
              </w:numPr>
              <w:spacing w:after="120"/>
            </w:pPr>
            <w:r w:rsidRPr="00E338C2">
              <w:rPr>
                <w:lang w:val="es-ES_tradnl"/>
              </w:rPr>
              <w:t>Sudáfrica</w:t>
            </w:r>
          </w:p>
        </w:tc>
      </w:tr>
    </w:tbl>
    <w:p w14:paraId="081C36C8" w14:textId="1C2F0DCB" w:rsidR="0074398F" w:rsidRPr="00E338C2" w:rsidRDefault="002348B0" w:rsidP="00C94971">
      <w:pPr>
        <w:pStyle w:val="ONUME"/>
      </w:pPr>
      <w:r w:rsidRPr="00E338C2">
        <w:br w:type="column"/>
      </w:r>
      <w:r w:rsidR="0074398F" w:rsidRPr="00E338C2">
        <w:lastRenderedPageBreak/>
        <w:t xml:space="preserve">El gráfico siguiente muestra la situación de </w:t>
      </w:r>
      <w:r w:rsidR="00AA4CEE" w:rsidRPr="00E338C2">
        <w:t xml:space="preserve">la </w:t>
      </w:r>
      <w:r w:rsidR="00DB3874">
        <w:t>aplicación de las n</w:t>
      </w:r>
      <w:r w:rsidR="0074398F" w:rsidRPr="00E338C2">
        <w:t xml:space="preserve">ormas </w:t>
      </w:r>
      <w:r w:rsidR="00DB3874">
        <w:t>t</w:t>
      </w:r>
      <w:r w:rsidR="0074398F" w:rsidRPr="00E338C2">
        <w:t xml:space="preserve">écnicas de la OMPI en las </w:t>
      </w:r>
      <w:r w:rsidR="00DB3874">
        <w:t>O</w:t>
      </w:r>
      <w:r w:rsidR="00847EBC" w:rsidRPr="00E338C2">
        <w:t>ficinas de P.I.</w:t>
      </w:r>
      <w:r w:rsidR="0074398F" w:rsidRPr="00E338C2">
        <w:t xml:space="preserve"> </w:t>
      </w:r>
      <w:r w:rsidR="00C50299">
        <w:t xml:space="preserve"> </w:t>
      </w:r>
      <w:r w:rsidR="0074398F" w:rsidRPr="00E338C2">
        <w:t xml:space="preserve">que han participado en la encuesta (véase </w:t>
      </w:r>
      <w:r w:rsidR="004E6B50" w:rsidRPr="00E338C2">
        <w:t>el Gráfico</w:t>
      </w:r>
      <w:r w:rsidR="0074398F" w:rsidRPr="00E338C2">
        <w:t xml:space="preserve"> 1). </w:t>
      </w:r>
      <w:r w:rsidR="00DB2033">
        <w:t xml:space="preserve"> </w:t>
      </w:r>
      <w:r w:rsidR="0074398F" w:rsidRPr="00E338C2">
        <w:t xml:space="preserve">Obsérvese que muchas de las respuestas indican que los interesados están dispuestos a aplicar </w:t>
      </w:r>
      <w:r w:rsidR="00AA4CEE" w:rsidRPr="00E338C2">
        <w:t xml:space="preserve">en el futuro </w:t>
      </w:r>
      <w:r w:rsidR="00DB3874">
        <w:t>las n</w:t>
      </w:r>
      <w:r w:rsidR="0074398F" w:rsidRPr="00E338C2">
        <w:t xml:space="preserve">ormas </w:t>
      </w:r>
      <w:r w:rsidR="00DB3874">
        <w:t>t</w:t>
      </w:r>
      <w:r w:rsidR="0074398F" w:rsidRPr="00E338C2">
        <w:t>écnica</w:t>
      </w:r>
      <w:r w:rsidR="00DB3874">
        <w:t>s</w:t>
      </w:r>
      <w:r w:rsidR="0074398F" w:rsidRPr="00E338C2">
        <w:t xml:space="preserve"> de </w:t>
      </w:r>
      <w:r w:rsidR="004E6B50" w:rsidRPr="00E338C2">
        <w:t>l</w:t>
      </w:r>
      <w:r w:rsidR="00AA4CEE" w:rsidRPr="00E338C2">
        <w:t>a OMPI o parte</w:t>
      </w:r>
      <w:r w:rsidR="0074398F" w:rsidRPr="00E338C2">
        <w:t xml:space="preserve"> de </w:t>
      </w:r>
      <w:r w:rsidR="00DB3874">
        <w:t>el</w:t>
      </w:r>
      <w:r w:rsidR="0074398F" w:rsidRPr="00E338C2">
        <w:t>las.</w:t>
      </w:r>
    </w:p>
    <w:p w14:paraId="3D6E42DD" w14:textId="77777777" w:rsidR="004F35AA" w:rsidRPr="00E338C2" w:rsidRDefault="002348B0" w:rsidP="00C94971">
      <w:pPr>
        <w:keepNext/>
        <w:spacing w:after="220"/>
      </w:pPr>
      <w:r w:rsidRPr="00E338C2">
        <w:rPr>
          <w:noProof/>
          <w:lang w:val="en-US" w:eastAsia="en-US"/>
        </w:rPr>
        <w:drawing>
          <wp:inline distT="0" distB="0" distL="0" distR="0" wp14:anchorId="0A0AB56F" wp14:editId="57DF1CF1">
            <wp:extent cx="6004560" cy="3498966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3476" cy="350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7F891" w14:textId="77777777" w:rsidR="004F35AA" w:rsidRPr="00E338C2" w:rsidRDefault="004F35AA" w:rsidP="00C94971">
      <w:pPr>
        <w:pStyle w:val="Caption"/>
        <w:spacing w:after="220"/>
      </w:pPr>
      <w:r w:rsidRPr="00E338C2">
        <w:rPr>
          <w:lang w:val="es-ES_tradnl"/>
        </w:rPr>
        <w:t xml:space="preserve">Gráfico </w:t>
      </w:r>
      <w:r w:rsidR="002348B0" w:rsidRPr="00E338C2">
        <w:t xml:space="preserve"> </w:t>
      </w:r>
      <w:r w:rsidR="002348B0" w:rsidRPr="00E338C2">
        <w:fldChar w:fldCharType="begin"/>
      </w:r>
      <w:r w:rsidR="002348B0" w:rsidRPr="00E338C2">
        <w:instrText xml:space="preserve"> SEQ Figure \* ARABIC </w:instrText>
      </w:r>
      <w:r w:rsidR="002348B0" w:rsidRPr="00E338C2">
        <w:fldChar w:fldCharType="separate"/>
      </w:r>
      <w:r w:rsidR="00AD0EAE">
        <w:rPr>
          <w:noProof/>
        </w:rPr>
        <w:t>1</w:t>
      </w:r>
      <w:r w:rsidR="002348B0" w:rsidRPr="00E338C2">
        <w:rPr>
          <w:noProof/>
        </w:rPr>
        <w:fldChar w:fldCharType="end"/>
      </w:r>
    </w:p>
    <w:p w14:paraId="255ADA99" w14:textId="683ED91E" w:rsidR="0074398F" w:rsidRPr="00E338C2" w:rsidRDefault="00C50299" w:rsidP="00C94971">
      <w:pPr>
        <w:pStyle w:val="ONUME"/>
        <w:numPr>
          <w:ilvl w:val="0"/>
          <w:numId w:val="0"/>
        </w:numPr>
        <w:rPr>
          <w:sz w:val="20"/>
        </w:rPr>
      </w:pPr>
      <w:r>
        <w:rPr>
          <w:i/>
          <w:sz w:val="20"/>
          <w:u w:val="single"/>
        </w:rPr>
        <w:t xml:space="preserve">Leyendas (a </w:t>
      </w:r>
      <w:r w:rsidR="0074398F" w:rsidRPr="00E338C2">
        <w:rPr>
          <w:i/>
          <w:sz w:val="20"/>
          <w:u w:val="single"/>
        </w:rPr>
        <w:t>la derecha de arriba abajo</w:t>
      </w:r>
      <w:r>
        <w:rPr>
          <w:i/>
          <w:sz w:val="20"/>
          <w:u w:val="single"/>
        </w:rPr>
        <w:t>)</w:t>
      </w:r>
      <w:proofErr w:type="gramStart"/>
      <w:r w:rsidR="0074398F" w:rsidRPr="00E338C2">
        <w:rPr>
          <w:sz w:val="20"/>
        </w:rPr>
        <w:t>:</w:t>
      </w:r>
      <w:r w:rsidR="00DB2033">
        <w:rPr>
          <w:sz w:val="20"/>
        </w:rPr>
        <w:t xml:space="preserve"> </w:t>
      </w:r>
      <w:r w:rsidR="0074398F" w:rsidRPr="00E338C2">
        <w:rPr>
          <w:sz w:val="20"/>
        </w:rPr>
        <w:t xml:space="preserve"> No</w:t>
      </w:r>
      <w:proofErr w:type="gramEnd"/>
      <w:r w:rsidR="0074398F" w:rsidRPr="00E338C2">
        <w:rPr>
          <w:sz w:val="20"/>
        </w:rPr>
        <w:t xml:space="preserve"> se aplica – Parcialmente - Completamente</w:t>
      </w:r>
    </w:p>
    <w:p w14:paraId="2980E7AA" w14:textId="3E37E6D1" w:rsidR="0074398F" w:rsidRPr="00E338C2" w:rsidRDefault="0074398F" w:rsidP="00582E6F">
      <w:pPr>
        <w:pStyle w:val="ONUME"/>
        <w:spacing w:after="120"/>
      </w:pPr>
      <w:r w:rsidRPr="00E338C2">
        <w:t xml:space="preserve">En las respuestas se han </w:t>
      </w:r>
      <w:r w:rsidR="00DB3874">
        <w:t>señalado</w:t>
      </w:r>
      <w:r w:rsidRPr="00E338C2">
        <w:t xml:space="preserve"> los </w:t>
      </w:r>
      <w:r w:rsidR="001C1756" w:rsidRPr="00E338C2">
        <w:t xml:space="preserve">principales </w:t>
      </w:r>
      <w:r w:rsidRPr="00E338C2">
        <w:t xml:space="preserve">obstáculos para la aplicación </w:t>
      </w:r>
      <w:r w:rsidR="00DB3874">
        <w:t>práctica de las n</w:t>
      </w:r>
      <w:r w:rsidR="00566EE0" w:rsidRPr="00E338C2">
        <w:t xml:space="preserve">ormas </w:t>
      </w:r>
      <w:r w:rsidR="00DB3874">
        <w:t>t</w:t>
      </w:r>
      <w:r w:rsidR="00566EE0" w:rsidRPr="00E338C2">
        <w:t xml:space="preserve">écnicas de la OMPI en las </w:t>
      </w:r>
      <w:r w:rsidR="00847EBC" w:rsidRPr="00E338C2">
        <w:t>oficinas de P.I</w:t>
      </w:r>
      <w:r w:rsidR="004E6B50" w:rsidRPr="00E338C2">
        <w:t>., a</w:t>
      </w:r>
      <w:r w:rsidR="00566EE0" w:rsidRPr="00E338C2">
        <w:t>sí como</w:t>
      </w:r>
      <w:r w:rsidRPr="00E338C2">
        <w:t xml:space="preserve"> motivos </w:t>
      </w:r>
      <w:r w:rsidR="001C1756" w:rsidRPr="00E338C2">
        <w:t>de su no aplicación, que se enumeran a continuación.</w:t>
      </w:r>
    </w:p>
    <w:p w14:paraId="5144348E" w14:textId="7E930179" w:rsidR="004F35AA" w:rsidRPr="00E338C2" w:rsidRDefault="0074398F" w:rsidP="00582E6F">
      <w:pPr>
        <w:pStyle w:val="ONUME"/>
        <w:numPr>
          <w:ilvl w:val="1"/>
          <w:numId w:val="10"/>
        </w:numPr>
        <w:tabs>
          <w:tab w:val="clear" w:pos="954"/>
          <w:tab w:val="num" w:pos="1134"/>
        </w:tabs>
        <w:spacing w:after="120"/>
        <w:ind w:left="567"/>
      </w:pPr>
      <w:r w:rsidRPr="00E338C2">
        <w:t xml:space="preserve">Normas </w:t>
      </w:r>
      <w:r w:rsidR="00DB3874">
        <w:t>t</w:t>
      </w:r>
      <w:r w:rsidRPr="00E338C2">
        <w:t>écnicas relacionadas con tecnologías obsoletas</w:t>
      </w:r>
    </w:p>
    <w:p w14:paraId="40A11695" w14:textId="77777777" w:rsidR="004F35AA" w:rsidRPr="00E338C2" w:rsidRDefault="0074398F" w:rsidP="00582E6F">
      <w:pPr>
        <w:pStyle w:val="ONUME"/>
        <w:numPr>
          <w:ilvl w:val="2"/>
          <w:numId w:val="10"/>
        </w:numPr>
        <w:tabs>
          <w:tab w:val="clear" w:pos="1521"/>
          <w:tab w:val="left" w:pos="1560"/>
        </w:tabs>
        <w:spacing w:after="120"/>
        <w:ind w:left="1134"/>
      </w:pPr>
      <w:r w:rsidRPr="00E338C2">
        <w:t xml:space="preserve">Las tecnologías recomendadas están obsoletas, </w:t>
      </w:r>
      <w:r w:rsidR="008D6F2B" w:rsidRPr="00E338C2">
        <w:t>p</w:t>
      </w:r>
      <w:r w:rsidRPr="00E338C2">
        <w:t xml:space="preserve">or ejemplo, </w:t>
      </w:r>
      <w:r w:rsidR="002348B0" w:rsidRPr="00E338C2">
        <w:t>microform</w:t>
      </w:r>
      <w:r w:rsidR="008D6F2B" w:rsidRPr="00E338C2">
        <w:t>ato</w:t>
      </w:r>
      <w:r w:rsidR="002348B0" w:rsidRPr="00E338C2">
        <w:t xml:space="preserve">s (ST.7 </w:t>
      </w:r>
      <w:r w:rsidR="008D6F2B" w:rsidRPr="00E338C2">
        <w:t>a</w:t>
      </w:r>
      <w:r w:rsidR="002348B0" w:rsidRPr="00E338C2">
        <w:t xml:space="preserve"> ST.7/F), </w:t>
      </w:r>
      <w:r w:rsidR="008D6F2B" w:rsidRPr="00E338C2">
        <w:t xml:space="preserve">cinta magnética </w:t>
      </w:r>
      <w:r w:rsidR="002348B0" w:rsidRPr="00E338C2">
        <w:t xml:space="preserve">(ST.30) </w:t>
      </w:r>
      <w:r w:rsidR="008D6F2B" w:rsidRPr="00E338C2">
        <w:t xml:space="preserve">y formato en modo mixto </w:t>
      </w:r>
      <w:r w:rsidR="002348B0" w:rsidRPr="00E338C2">
        <w:t>(ST.35).</w:t>
      </w:r>
    </w:p>
    <w:p w14:paraId="7EEC3AA6" w14:textId="5430EBB4" w:rsidR="008D6F2B" w:rsidRPr="00E338C2" w:rsidRDefault="008D6F2B" w:rsidP="00582E6F">
      <w:pPr>
        <w:pStyle w:val="ONUME"/>
        <w:numPr>
          <w:ilvl w:val="2"/>
          <w:numId w:val="10"/>
        </w:numPr>
        <w:tabs>
          <w:tab w:val="clear" w:pos="1521"/>
          <w:tab w:val="left" w:pos="1560"/>
        </w:tabs>
        <w:spacing w:after="120"/>
        <w:ind w:left="1134"/>
      </w:pPr>
      <w:r w:rsidRPr="00E338C2">
        <w:t xml:space="preserve">Las recomendaciones son pertinentes para la publicación en papel, pero no son aplicables a la publicación electrónica, por ejemplo, recomendaciones relativas a los índices de documentos de patentes (ST.19), índices de nombres (ST.20) y reducción del volumen de </w:t>
      </w:r>
      <w:r w:rsidR="00E338C2">
        <w:t xml:space="preserve">los </w:t>
      </w:r>
      <w:r w:rsidRPr="00E338C2">
        <w:t xml:space="preserve">documentos </w:t>
      </w:r>
      <w:r w:rsidR="00B212F4" w:rsidRPr="00E338C2">
        <w:t>de</w:t>
      </w:r>
      <w:r w:rsidRPr="00E338C2">
        <w:t xml:space="preserve"> prioridad (ST.21)</w:t>
      </w:r>
    </w:p>
    <w:p w14:paraId="4793016B" w14:textId="73CF32C0" w:rsidR="008D6F2B" w:rsidRPr="00E338C2" w:rsidRDefault="00C206D0" w:rsidP="00582E6F">
      <w:pPr>
        <w:pStyle w:val="ONUME"/>
        <w:numPr>
          <w:ilvl w:val="2"/>
          <w:numId w:val="10"/>
        </w:numPr>
        <w:tabs>
          <w:tab w:val="clear" w:pos="1521"/>
          <w:tab w:val="left" w:pos="1560"/>
        </w:tabs>
        <w:spacing w:after="120"/>
        <w:ind w:left="1134"/>
      </w:pPr>
      <w:r w:rsidRPr="00E338C2">
        <w:t>En relación con</w:t>
      </w:r>
      <w:r w:rsidR="008D6F2B" w:rsidRPr="00E338C2">
        <w:t xml:space="preserve"> determinadas recomendaciones, algunas </w:t>
      </w:r>
      <w:r w:rsidR="00847EBC" w:rsidRPr="00E338C2">
        <w:t>oficinas de P.I.</w:t>
      </w:r>
      <w:r w:rsidR="008D6F2B" w:rsidRPr="00E338C2">
        <w:t xml:space="preserve"> </w:t>
      </w:r>
      <w:r w:rsidR="00C50299">
        <w:t xml:space="preserve"> </w:t>
      </w:r>
      <w:r w:rsidR="008D6F2B" w:rsidRPr="00E338C2">
        <w:t>utiliza</w:t>
      </w:r>
      <w:r w:rsidRPr="00E338C2">
        <w:t>n</w:t>
      </w:r>
      <w:r w:rsidR="008D6F2B" w:rsidRPr="00E338C2">
        <w:t xml:space="preserve"> </w:t>
      </w:r>
      <w:r w:rsidR="00DB3874">
        <w:t>n</w:t>
      </w:r>
      <w:r w:rsidR="008D6F2B" w:rsidRPr="00E338C2">
        <w:t xml:space="preserve">ormas </w:t>
      </w:r>
      <w:r w:rsidR="00DB3874">
        <w:t>t</w:t>
      </w:r>
      <w:r w:rsidR="008D6F2B" w:rsidRPr="00E338C2">
        <w:t>écnicas de la OMPI más recientes que abarcan la misma materia, por eje</w:t>
      </w:r>
      <w:r w:rsidR="00B212F4" w:rsidRPr="00E338C2">
        <w:t>mplo,</w:t>
      </w:r>
      <w:r w:rsidR="0090191A">
        <w:t xml:space="preserve"> la</w:t>
      </w:r>
      <w:r w:rsidR="00B212F4" w:rsidRPr="00E338C2">
        <w:t xml:space="preserve"> ST.13 en lugar de </w:t>
      </w:r>
      <w:r w:rsidR="0090191A">
        <w:t xml:space="preserve">la </w:t>
      </w:r>
      <w:r w:rsidR="00B212F4" w:rsidRPr="00E338C2">
        <w:t>ST.34 y</w:t>
      </w:r>
      <w:r w:rsidR="008D6F2B" w:rsidRPr="00E338C2">
        <w:t xml:space="preserve"> </w:t>
      </w:r>
      <w:r w:rsidR="0090191A">
        <w:t xml:space="preserve">la </w:t>
      </w:r>
      <w:r w:rsidR="008D6F2B" w:rsidRPr="00E338C2">
        <w:t xml:space="preserve">ST.96 en lugar de </w:t>
      </w:r>
      <w:r w:rsidR="0090191A">
        <w:t xml:space="preserve">la </w:t>
      </w:r>
      <w:r w:rsidR="008D6F2B" w:rsidRPr="00E338C2">
        <w:t xml:space="preserve">ST.66 y </w:t>
      </w:r>
      <w:r w:rsidR="0090191A">
        <w:t xml:space="preserve">la </w:t>
      </w:r>
      <w:r w:rsidR="008D6F2B" w:rsidRPr="00E338C2">
        <w:t>ST.86</w:t>
      </w:r>
    </w:p>
    <w:p w14:paraId="6DAA3D4F" w14:textId="77777777" w:rsidR="004F35AA" w:rsidRPr="00E338C2" w:rsidRDefault="008D6F2B" w:rsidP="00582E6F">
      <w:pPr>
        <w:pStyle w:val="ONUME"/>
        <w:numPr>
          <w:ilvl w:val="1"/>
          <w:numId w:val="10"/>
        </w:numPr>
        <w:tabs>
          <w:tab w:val="clear" w:pos="954"/>
          <w:tab w:val="num" w:pos="1134"/>
        </w:tabs>
        <w:spacing w:after="120"/>
        <w:ind w:left="567"/>
      </w:pPr>
      <w:r w:rsidRPr="00E338C2">
        <w:t>Restricciones administrativas</w:t>
      </w:r>
      <w:r w:rsidR="002348B0" w:rsidRPr="00E338C2">
        <w:t xml:space="preserve"> </w:t>
      </w:r>
    </w:p>
    <w:p w14:paraId="36FEFEEE" w14:textId="608A7182" w:rsidR="004F35AA" w:rsidRPr="00E338C2" w:rsidRDefault="00C206D0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 xml:space="preserve">Las </w:t>
      </w:r>
      <w:r w:rsidR="0090191A">
        <w:t>O</w:t>
      </w:r>
      <w:r w:rsidR="00847EBC" w:rsidRPr="00E338C2">
        <w:t>ficinas de P.I.</w:t>
      </w:r>
      <w:r w:rsidR="00C50299">
        <w:t xml:space="preserve"> </w:t>
      </w:r>
      <w:r w:rsidR="007749CB" w:rsidRPr="00E338C2">
        <w:t xml:space="preserve"> </w:t>
      </w:r>
      <w:r w:rsidRPr="00E338C2">
        <w:t xml:space="preserve">necesitan más tiempo para la aplicación </w:t>
      </w:r>
      <w:r w:rsidR="00C80C22">
        <w:t xml:space="preserve">en sus prácticas </w:t>
      </w:r>
      <w:r w:rsidR="00EF3921" w:rsidRPr="00E338C2">
        <w:t xml:space="preserve">de </w:t>
      </w:r>
      <w:r w:rsidR="00DB3874">
        <w:t>n</w:t>
      </w:r>
      <w:r w:rsidR="007749CB" w:rsidRPr="00E338C2">
        <w:t xml:space="preserve">ormas </w:t>
      </w:r>
      <w:r w:rsidR="00DB3874">
        <w:t>t</w:t>
      </w:r>
      <w:r w:rsidR="007749CB" w:rsidRPr="00E338C2">
        <w:t xml:space="preserve">écnicas de la OMPI </w:t>
      </w:r>
      <w:r w:rsidR="00EF3921" w:rsidRPr="00E338C2">
        <w:t xml:space="preserve">adoptadas </w:t>
      </w:r>
      <w:r w:rsidR="0090191A" w:rsidRPr="00E338C2">
        <w:t xml:space="preserve">recientemente </w:t>
      </w:r>
      <w:r w:rsidR="002348B0" w:rsidRPr="00E338C2">
        <w:t xml:space="preserve">(ST.26 </w:t>
      </w:r>
      <w:r w:rsidR="007749CB" w:rsidRPr="00E338C2">
        <w:t>y ST.68)</w:t>
      </w:r>
      <w:r w:rsidR="002348B0" w:rsidRPr="00E338C2">
        <w:t>.</w:t>
      </w:r>
    </w:p>
    <w:p w14:paraId="6F86B46B" w14:textId="13413B37" w:rsidR="007749CB" w:rsidRPr="00E338C2" w:rsidRDefault="007749CB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 xml:space="preserve">En algunas </w:t>
      </w:r>
      <w:r w:rsidR="0090191A">
        <w:t>O</w:t>
      </w:r>
      <w:r w:rsidR="00847EBC" w:rsidRPr="00E338C2">
        <w:t>ficinas de P.I.</w:t>
      </w:r>
      <w:r w:rsidR="00C50299">
        <w:t xml:space="preserve"> </w:t>
      </w:r>
      <w:r w:rsidRPr="00E338C2">
        <w:t xml:space="preserve"> los costos y beneficios no </w:t>
      </w:r>
      <w:r w:rsidR="00D50113" w:rsidRPr="00E338C2">
        <w:t>justifica</w:t>
      </w:r>
      <w:r w:rsidR="00B212F4" w:rsidRPr="00E338C2">
        <w:t>n</w:t>
      </w:r>
      <w:r w:rsidR="00D50113" w:rsidRPr="00E338C2">
        <w:t xml:space="preserve"> </w:t>
      </w:r>
      <w:r w:rsidRPr="00E338C2">
        <w:t xml:space="preserve">la aplicación de una determinada </w:t>
      </w:r>
      <w:r w:rsidR="00DB3874">
        <w:t>n</w:t>
      </w:r>
      <w:r w:rsidRPr="00E338C2">
        <w:t xml:space="preserve">orma </w:t>
      </w:r>
      <w:r w:rsidR="00DB3874">
        <w:t>t</w:t>
      </w:r>
      <w:r w:rsidRPr="00E338C2">
        <w:t>écnica de la OMPI</w:t>
      </w:r>
      <w:r w:rsidR="00AC7ABB" w:rsidRPr="00E338C2">
        <w:t xml:space="preserve">.  </w:t>
      </w:r>
      <w:r w:rsidR="00C80C22">
        <w:t>Ese</w:t>
      </w:r>
      <w:r w:rsidRPr="00E338C2">
        <w:t xml:space="preserve"> </w:t>
      </w:r>
      <w:r w:rsidR="00D50113" w:rsidRPr="00E338C2">
        <w:t>es el caso</w:t>
      </w:r>
      <w:r w:rsidRPr="00E338C2">
        <w:t xml:space="preserve">, por ejemplo, </w:t>
      </w:r>
      <w:r w:rsidR="00C80C22" w:rsidRPr="00E338C2">
        <w:t xml:space="preserve">cuando </w:t>
      </w:r>
      <w:r w:rsidR="00D50113" w:rsidRPr="00E338C2">
        <w:t>otra</w:t>
      </w:r>
      <w:r w:rsidRPr="00E338C2">
        <w:t xml:space="preserve"> </w:t>
      </w:r>
      <w:r w:rsidR="00EF3921" w:rsidRPr="00E338C2">
        <w:t xml:space="preserve">autoridad nacional </w:t>
      </w:r>
      <w:r w:rsidR="00D50113" w:rsidRPr="00E338C2">
        <w:t xml:space="preserve">lleva </w:t>
      </w:r>
      <w:r w:rsidR="00EF3921" w:rsidRPr="00E338C2">
        <w:t xml:space="preserve">a </w:t>
      </w:r>
      <w:r w:rsidRPr="00E338C2">
        <w:t>c</w:t>
      </w:r>
      <w:r w:rsidR="00EF3921" w:rsidRPr="00E338C2">
        <w:t>a</w:t>
      </w:r>
      <w:r w:rsidRPr="00E338C2">
        <w:t>bo las funciones pertinentes, tales como la publicación de documentos sobre P.I.</w:t>
      </w:r>
      <w:r w:rsidR="00C50299">
        <w:t xml:space="preserve"> </w:t>
      </w:r>
      <w:r w:rsidRPr="00E338C2">
        <w:t xml:space="preserve"> o el registro de marcas.</w:t>
      </w:r>
    </w:p>
    <w:p w14:paraId="1DC46369" w14:textId="622BE7E6" w:rsidR="00D50113" w:rsidRPr="00E338C2" w:rsidRDefault="00D50113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lastRenderedPageBreak/>
        <w:t xml:space="preserve">La aplicación de algunas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(por ejemplo, </w:t>
      </w:r>
      <w:r w:rsidR="0090191A">
        <w:t xml:space="preserve">la </w:t>
      </w:r>
      <w:r w:rsidRPr="00E338C2">
        <w:t>ST.80) está pendiente del acceso a los correspondientes sistemas internacionales de  protección de P.I., por ejemplo, el Arreglo de La Haya</w:t>
      </w:r>
    </w:p>
    <w:p w14:paraId="12267469" w14:textId="70BCD377" w:rsidR="00D50113" w:rsidRPr="00E338C2" w:rsidRDefault="001E53BF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>La legislación nacional no prevé disposiciones necesaria</w:t>
      </w:r>
      <w:r w:rsidR="00566EE0" w:rsidRPr="00E338C2">
        <w:t>s</w:t>
      </w:r>
      <w:r w:rsidRPr="00E338C2">
        <w:t xml:space="preserve"> para la aplicación de determinadas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OMPI, por ejemplo, la protección de máscaras de sonido (ST.68); </w:t>
      </w:r>
      <w:r w:rsidR="00C50299">
        <w:t xml:space="preserve"> </w:t>
      </w:r>
      <w:r w:rsidRPr="00E338C2">
        <w:t xml:space="preserve">algunas </w:t>
      </w:r>
      <w:r w:rsidR="00847EBC" w:rsidRPr="00E338C2">
        <w:t>oficinas de P.I.</w:t>
      </w:r>
      <w:r w:rsidR="00C50299">
        <w:t xml:space="preserve"> </w:t>
      </w:r>
      <w:r w:rsidRPr="00E338C2">
        <w:t xml:space="preserve"> han informado que están considerando incluir las correspondientes disposiciones en su </w:t>
      </w:r>
      <w:r w:rsidR="00B212F4" w:rsidRPr="00E338C2">
        <w:t>legislación</w:t>
      </w:r>
      <w:r w:rsidRPr="00E338C2">
        <w:t xml:space="preserve"> nacional.</w:t>
      </w:r>
    </w:p>
    <w:p w14:paraId="684C9BA3" w14:textId="746719C4" w:rsidR="001E53BF" w:rsidRPr="00E338C2" w:rsidRDefault="00214AD2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 xml:space="preserve">Existen prácticas nacionales (regionales) que no siguen (completamente o parcialmente) las recomendaciones de una determinada </w:t>
      </w:r>
      <w:r w:rsidR="00DB3874">
        <w:t>n</w:t>
      </w:r>
      <w:r w:rsidRPr="00E338C2">
        <w:t xml:space="preserve">orma </w:t>
      </w:r>
      <w:r w:rsidR="00DB3874">
        <w:t>t</w:t>
      </w:r>
      <w:r w:rsidRPr="00E338C2">
        <w:t xml:space="preserve">écnica de la OMPI. </w:t>
      </w:r>
      <w:r w:rsidR="00DB2033">
        <w:t xml:space="preserve"> </w:t>
      </w:r>
      <w:r w:rsidR="00C206D0" w:rsidRPr="00E338C2">
        <w:t>Existe</w:t>
      </w:r>
      <w:r w:rsidR="00867083" w:rsidRPr="00E338C2">
        <w:t xml:space="preserve"> una cierta resistencia, en particular de terceros, a </w:t>
      </w:r>
      <w:r w:rsidRPr="00E338C2">
        <w:t>cambiar la tecnología utilizada.</w:t>
      </w:r>
    </w:p>
    <w:p w14:paraId="5DFB9E98" w14:textId="1F436F2E" w:rsidR="00214AD2" w:rsidRPr="00E338C2" w:rsidRDefault="00214AD2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 xml:space="preserve">Una </w:t>
      </w:r>
      <w:r w:rsidR="00867083" w:rsidRPr="00E338C2">
        <w:t>O</w:t>
      </w:r>
      <w:r w:rsidRPr="00E338C2">
        <w:t xml:space="preserve">ficina de P.I. </w:t>
      </w:r>
      <w:r w:rsidR="00C50299">
        <w:t xml:space="preserve"> </w:t>
      </w:r>
      <w:r w:rsidR="00C206D0" w:rsidRPr="00E338C2">
        <w:t>informa</w:t>
      </w:r>
      <w:r w:rsidRPr="00E338C2">
        <w:t xml:space="preserve"> que necesita </w:t>
      </w:r>
      <w:r w:rsidR="00C206D0" w:rsidRPr="00E338C2">
        <w:t>desarroll</w:t>
      </w:r>
      <w:r w:rsidR="00C80C22">
        <w:t xml:space="preserve">ar la </w:t>
      </w:r>
      <w:r w:rsidRPr="00E338C2">
        <w:t xml:space="preserve">capacidad suficiente para realizar ciertas funciones, por ejemplo, el examen sustantivo o la publicación oficial, </w:t>
      </w:r>
      <w:r w:rsidR="00566EE0" w:rsidRPr="00E338C2">
        <w:t xml:space="preserve">para las que </w:t>
      </w:r>
      <w:r w:rsidR="0072673D">
        <w:t>es</w:t>
      </w:r>
      <w:r w:rsidR="00C206D0" w:rsidRPr="00E338C2">
        <w:t xml:space="preserve"> pertinente </w:t>
      </w:r>
      <w:r w:rsidR="00566EE0" w:rsidRPr="00E338C2">
        <w:t xml:space="preserve">la aplicación de </w:t>
      </w:r>
      <w:r w:rsidR="004A5067" w:rsidRPr="00E338C2">
        <w:t>l</w:t>
      </w:r>
      <w:r w:rsidR="00566EE0" w:rsidRPr="00E338C2">
        <w:t xml:space="preserve">as </w:t>
      </w:r>
      <w:r w:rsidR="00DB3874">
        <w:t>n</w:t>
      </w:r>
      <w:r w:rsidR="00566EE0" w:rsidRPr="00E338C2">
        <w:t xml:space="preserve">ormas </w:t>
      </w:r>
      <w:r w:rsidR="00DB3874">
        <w:t>t</w:t>
      </w:r>
      <w:r w:rsidR="00C50299">
        <w:t>écnicas de la OMPI.</w:t>
      </w:r>
    </w:p>
    <w:p w14:paraId="19001A04" w14:textId="77777777" w:rsidR="004F35AA" w:rsidRPr="00E338C2" w:rsidRDefault="00142CDB" w:rsidP="00582E6F">
      <w:pPr>
        <w:pStyle w:val="ONUME"/>
        <w:numPr>
          <w:ilvl w:val="1"/>
          <w:numId w:val="10"/>
        </w:numPr>
        <w:tabs>
          <w:tab w:val="clear" w:pos="954"/>
          <w:tab w:val="num" w:pos="1134"/>
        </w:tabs>
        <w:spacing w:after="120"/>
        <w:ind w:left="567"/>
      </w:pPr>
      <w:r w:rsidRPr="00E338C2">
        <w:t>T</w:t>
      </w:r>
      <w:r w:rsidR="00566EE0" w:rsidRPr="00E338C2">
        <w:t xml:space="preserve">oma de conciencia y </w:t>
      </w:r>
      <w:r w:rsidRPr="00E338C2">
        <w:t xml:space="preserve">necesidad </w:t>
      </w:r>
      <w:r w:rsidR="00566EE0" w:rsidRPr="00E338C2">
        <w:t>de asistencia técnica</w:t>
      </w:r>
    </w:p>
    <w:p w14:paraId="33F2DB67" w14:textId="790CE7E3" w:rsidR="004F35AA" w:rsidRPr="00E338C2" w:rsidRDefault="004A5067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 xml:space="preserve">Una Oficina de P.I. </w:t>
      </w:r>
      <w:r w:rsidR="00C50299">
        <w:t xml:space="preserve"> </w:t>
      </w:r>
      <w:r w:rsidRPr="00E338C2">
        <w:t xml:space="preserve">informa que desconoce la existencia de algunas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>écnicas de la OMPI</w:t>
      </w:r>
      <w:r w:rsidR="002348B0" w:rsidRPr="00E338C2">
        <w:t>.</w:t>
      </w:r>
    </w:p>
    <w:p w14:paraId="06D7D0FE" w14:textId="7F28E7CC" w:rsidR="004A5067" w:rsidRPr="00E338C2" w:rsidRDefault="00FF00E2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spacing w:after="120"/>
        <w:ind w:left="1134"/>
      </w:pPr>
      <w:r w:rsidRPr="00E338C2">
        <w:t xml:space="preserve">Algunas </w:t>
      </w:r>
      <w:r w:rsidR="0090191A">
        <w:t>O</w:t>
      </w:r>
      <w:r w:rsidR="00847EBC" w:rsidRPr="00E338C2">
        <w:t>ficinas de P.I.</w:t>
      </w:r>
      <w:r w:rsidR="004A5067" w:rsidRPr="00E338C2">
        <w:t xml:space="preserve"> </w:t>
      </w:r>
      <w:r w:rsidR="00C50299">
        <w:t xml:space="preserve"> </w:t>
      </w:r>
      <w:r w:rsidR="0072673D">
        <w:t>solicitan</w:t>
      </w:r>
      <w:r w:rsidR="00867083" w:rsidRPr="00E338C2">
        <w:t xml:space="preserve"> </w:t>
      </w:r>
      <w:r w:rsidR="0090191A">
        <w:t>directrices</w:t>
      </w:r>
      <w:r w:rsidR="004A5067" w:rsidRPr="00E338C2">
        <w:t xml:space="preserve"> </w:t>
      </w:r>
      <w:r w:rsidRPr="00E338C2">
        <w:t xml:space="preserve">sobre la aplicación de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>écnicas de la OMPI en sus prácticas o bien necesitan aclaraciones de la Oficina Internacional de la OMPI.</w:t>
      </w:r>
    </w:p>
    <w:p w14:paraId="20795A32" w14:textId="5F51725F" w:rsidR="00FF00E2" w:rsidRPr="00E338C2" w:rsidRDefault="00FF00E2" w:rsidP="00582E6F">
      <w:pPr>
        <w:pStyle w:val="ONUME"/>
        <w:numPr>
          <w:ilvl w:val="2"/>
          <w:numId w:val="10"/>
        </w:numPr>
        <w:tabs>
          <w:tab w:val="clear" w:pos="1521"/>
          <w:tab w:val="num" w:pos="1560"/>
        </w:tabs>
        <w:ind w:left="1134"/>
      </w:pPr>
      <w:r w:rsidRPr="00E338C2">
        <w:t>Una Oficina de P.I.</w:t>
      </w:r>
      <w:r w:rsidR="00C50299">
        <w:t xml:space="preserve"> </w:t>
      </w:r>
      <w:r w:rsidRPr="00E338C2">
        <w:t xml:space="preserve"> informa que necesita asistencia técnica para la aplicación de determinadas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>écnicas, como la ST.96.</w:t>
      </w:r>
    </w:p>
    <w:p w14:paraId="6A85F34C" w14:textId="529D8AB1" w:rsidR="004F35AA" w:rsidRPr="00E338C2" w:rsidRDefault="00142CDB" w:rsidP="00C94971">
      <w:pPr>
        <w:pStyle w:val="ONUME"/>
      </w:pPr>
      <w:r w:rsidRPr="00E338C2">
        <w:t xml:space="preserve">El gráfico siguiente muestra el número de </w:t>
      </w:r>
      <w:r w:rsidR="0090191A">
        <w:t>O</w:t>
      </w:r>
      <w:r w:rsidR="00847EBC" w:rsidRPr="00E338C2">
        <w:t>ficinas de P.I.</w:t>
      </w:r>
      <w:r w:rsidRPr="00E338C2">
        <w:t xml:space="preserve"> </w:t>
      </w:r>
      <w:r w:rsidR="00C50299">
        <w:t xml:space="preserve"> </w:t>
      </w:r>
      <w:r w:rsidRPr="00E338C2">
        <w:t xml:space="preserve">que han informado de </w:t>
      </w:r>
      <w:r w:rsidR="00867083" w:rsidRPr="00E338C2">
        <w:t>los</w:t>
      </w:r>
      <w:r w:rsidRPr="00E338C2">
        <w:t xml:space="preserve"> obstáculos enumerados en el párrafo 8 anterior (véase la Figura 2)</w:t>
      </w:r>
      <w:r w:rsidR="002348B0" w:rsidRPr="00E338C2">
        <w:t>.</w:t>
      </w:r>
    </w:p>
    <w:p w14:paraId="2FD3A139" w14:textId="77777777" w:rsidR="004F35AA" w:rsidRPr="00E338C2" w:rsidRDefault="002348B0" w:rsidP="00C94971">
      <w:pPr>
        <w:pStyle w:val="Caption"/>
        <w:spacing w:after="220"/>
      </w:pPr>
      <w:r w:rsidRPr="00E338C2">
        <w:rPr>
          <w:noProof/>
          <w:lang w:val="en-US" w:eastAsia="en-US"/>
        </w:rPr>
        <w:drawing>
          <wp:inline distT="0" distB="0" distL="0" distR="0" wp14:anchorId="25663D8B" wp14:editId="5E53B7DD">
            <wp:extent cx="5762445" cy="2208362"/>
            <wp:effectExtent l="0" t="0" r="10160" b="209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142CDB" w:rsidRPr="00E338C2">
        <w:t>Gráfico</w:t>
      </w:r>
      <w:r w:rsidRPr="00E338C2">
        <w:t xml:space="preserve"> 2</w:t>
      </w:r>
    </w:p>
    <w:p w14:paraId="061C482F" w14:textId="77777777" w:rsidR="004F35AA" w:rsidRPr="00E338C2" w:rsidRDefault="00142CDB" w:rsidP="00582E6F">
      <w:pPr>
        <w:pStyle w:val="ONUME"/>
        <w:numPr>
          <w:ilvl w:val="0"/>
          <w:numId w:val="0"/>
        </w:numPr>
        <w:spacing w:after="60"/>
        <w:rPr>
          <w:i/>
          <w:sz w:val="20"/>
          <w:u w:val="single"/>
        </w:rPr>
      </w:pPr>
      <w:r w:rsidRPr="00E338C2">
        <w:rPr>
          <w:i/>
          <w:sz w:val="20"/>
          <w:u w:val="single"/>
        </w:rPr>
        <w:t>Leyendas (de arriba abajo):</w:t>
      </w:r>
    </w:p>
    <w:p w14:paraId="0609F7B6" w14:textId="00DE7C86" w:rsidR="00142CDB" w:rsidRPr="00582E6F" w:rsidRDefault="00DB3874" w:rsidP="00582E6F">
      <w:pPr>
        <w:pStyle w:val="ONUME"/>
        <w:numPr>
          <w:ilvl w:val="0"/>
          <w:numId w:val="0"/>
        </w:numPr>
        <w:spacing w:after="0"/>
        <w:rPr>
          <w:sz w:val="20"/>
        </w:rPr>
      </w:pPr>
      <w:r w:rsidRPr="00582E6F">
        <w:rPr>
          <w:sz w:val="20"/>
        </w:rPr>
        <w:t>Normas t</w:t>
      </w:r>
      <w:r w:rsidR="00142CDB" w:rsidRPr="00582E6F">
        <w:rPr>
          <w:sz w:val="20"/>
        </w:rPr>
        <w:t>écnicas relacionadas con tecnologías obsoletas (subpárrafo 8</w:t>
      </w:r>
      <w:proofErr w:type="gramStart"/>
      <w:r w:rsidR="00142CDB" w:rsidRPr="00582E6F">
        <w:rPr>
          <w:sz w:val="20"/>
        </w:rPr>
        <w:t>.</w:t>
      </w:r>
      <w:r w:rsidR="00C50299">
        <w:rPr>
          <w:sz w:val="20"/>
        </w:rPr>
        <w:t>(</w:t>
      </w:r>
      <w:proofErr w:type="gramEnd"/>
      <w:r w:rsidR="00142CDB" w:rsidRPr="00582E6F">
        <w:rPr>
          <w:sz w:val="20"/>
        </w:rPr>
        <w:t>a))</w:t>
      </w:r>
    </w:p>
    <w:p w14:paraId="4770C347" w14:textId="725BDA72" w:rsidR="00142CDB" w:rsidRPr="00582E6F" w:rsidRDefault="00142CDB" w:rsidP="00582E6F">
      <w:pPr>
        <w:pStyle w:val="ONUME"/>
        <w:numPr>
          <w:ilvl w:val="0"/>
          <w:numId w:val="0"/>
        </w:numPr>
        <w:spacing w:after="0"/>
        <w:rPr>
          <w:sz w:val="20"/>
        </w:rPr>
      </w:pPr>
      <w:r w:rsidRPr="00582E6F">
        <w:rPr>
          <w:sz w:val="20"/>
        </w:rPr>
        <w:t>Restricciones administrativas (subpárrafo 6</w:t>
      </w:r>
      <w:proofErr w:type="gramStart"/>
      <w:r w:rsidRPr="00582E6F">
        <w:rPr>
          <w:sz w:val="20"/>
        </w:rPr>
        <w:t>.</w:t>
      </w:r>
      <w:r w:rsidR="00C50299">
        <w:rPr>
          <w:sz w:val="20"/>
        </w:rPr>
        <w:t>(</w:t>
      </w:r>
      <w:proofErr w:type="gramEnd"/>
      <w:r w:rsidRPr="00582E6F">
        <w:rPr>
          <w:sz w:val="20"/>
        </w:rPr>
        <w:t>b))</w:t>
      </w:r>
    </w:p>
    <w:p w14:paraId="4C00638B" w14:textId="48D84957" w:rsidR="00582E6F" w:rsidRDefault="00142CDB" w:rsidP="00582E6F">
      <w:pPr>
        <w:pStyle w:val="ONUME"/>
        <w:numPr>
          <w:ilvl w:val="0"/>
          <w:numId w:val="0"/>
        </w:numPr>
        <w:rPr>
          <w:sz w:val="20"/>
        </w:rPr>
      </w:pPr>
      <w:r w:rsidRPr="00582E6F">
        <w:rPr>
          <w:sz w:val="20"/>
        </w:rPr>
        <w:t>Toma de conciencia y necesidad de asistencia técnica (subpárrafo 8</w:t>
      </w:r>
      <w:proofErr w:type="gramStart"/>
      <w:r w:rsidRPr="00582E6F">
        <w:rPr>
          <w:sz w:val="20"/>
        </w:rPr>
        <w:t>.</w:t>
      </w:r>
      <w:r w:rsidR="00C50299">
        <w:rPr>
          <w:sz w:val="20"/>
        </w:rPr>
        <w:t>(</w:t>
      </w:r>
      <w:proofErr w:type="gramEnd"/>
      <w:r w:rsidRPr="00582E6F">
        <w:rPr>
          <w:sz w:val="20"/>
        </w:rPr>
        <w:t>c))</w:t>
      </w:r>
    </w:p>
    <w:p w14:paraId="6352DFB7" w14:textId="77777777" w:rsidR="00582E6F" w:rsidRDefault="00582E6F">
      <w:pPr>
        <w:rPr>
          <w:sz w:val="20"/>
        </w:rPr>
      </w:pPr>
      <w:r>
        <w:rPr>
          <w:sz w:val="20"/>
        </w:rPr>
        <w:br w:type="page"/>
      </w:r>
    </w:p>
    <w:p w14:paraId="482CEA50" w14:textId="77777777" w:rsidR="004F35AA" w:rsidRPr="00C94971" w:rsidRDefault="00244BFB" w:rsidP="00C94971">
      <w:pPr>
        <w:pStyle w:val="Heading2"/>
        <w:spacing w:before="0"/>
        <w:rPr>
          <w:lang w:val="es-ES_tradnl"/>
        </w:rPr>
      </w:pPr>
      <w:r w:rsidRPr="00C94971">
        <w:rPr>
          <w:lang w:val="es-ES_tradnl"/>
        </w:rPr>
        <w:lastRenderedPageBreak/>
        <w:t>SEGUIMIENTO</w:t>
      </w:r>
    </w:p>
    <w:p w14:paraId="7E25CB1C" w14:textId="2C8272A3" w:rsidR="007B01D7" w:rsidRPr="00E338C2" w:rsidRDefault="007B01D7" w:rsidP="00C94971">
      <w:pPr>
        <w:pStyle w:val="ONUME"/>
      </w:pPr>
      <w:r w:rsidRPr="00E338C2">
        <w:t xml:space="preserve">En relación con las dificultades enumeradas en el </w:t>
      </w:r>
      <w:r w:rsidR="0090191A">
        <w:t>apartado a) del párrafo 8</w:t>
      </w:r>
      <w:r w:rsidRPr="00E338C2">
        <w:t xml:space="preserve">, </w:t>
      </w:r>
      <w:r w:rsidR="00867083" w:rsidRPr="00E338C2">
        <w:t>ninguna de</w:t>
      </w:r>
      <w:r w:rsidRPr="00E338C2">
        <w:t xml:space="preserve"> las </w:t>
      </w:r>
      <w:r w:rsidR="00847EBC" w:rsidRPr="00E338C2">
        <w:t>oficinas de P.I.</w:t>
      </w:r>
      <w:r w:rsidR="00C50299">
        <w:t xml:space="preserve"> </w:t>
      </w:r>
      <w:r w:rsidRPr="00E338C2">
        <w:t xml:space="preserve"> que han </w:t>
      </w:r>
      <w:r w:rsidR="00101DA4" w:rsidRPr="00E338C2">
        <w:t>respondido</w:t>
      </w:r>
      <w:r w:rsidRPr="00E338C2">
        <w:t xml:space="preserve"> utiliza</w:t>
      </w:r>
      <w:r w:rsidR="00F00596" w:rsidRPr="00E338C2">
        <w:t>n</w:t>
      </w:r>
      <w:r w:rsidR="00DB3874">
        <w:t xml:space="preserve"> las n</w:t>
      </w:r>
      <w:r w:rsidRPr="00E338C2">
        <w:t xml:space="preserve">ormas de la OMPI ST.7 a ST.7/F y ST.30. </w:t>
      </w:r>
      <w:r w:rsidR="00867083" w:rsidRPr="00E338C2">
        <w:t xml:space="preserve"> </w:t>
      </w:r>
      <w:r w:rsidRPr="00E338C2">
        <w:t xml:space="preserve">Por lo tanto, se propone eliminar dichas </w:t>
      </w:r>
      <w:r w:rsidR="00DB3874">
        <w:t>n</w:t>
      </w:r>
      <w:r w:rsidRPr="00E338C2">
        <w:t xml:space="preserve">ormas del Manual de la OMPI y trasladarlas </w:t>
      </w:r>
      <w:r w:rsidR="003E23CA" w:rsidRPr="00E338C2">
        <w:t xml:space="preserve">a los Archivos </w:t>
      </w:r>
      <w:r w:rsidRPr="00E338C2">
        <w:t>que también está</w:t>
      </w:r>
      <w:r w:rsidR="003E23CA" w:rsidRPr="00E338C2">
        <w:t>n</w:t>
      </w:r>
      <w:r w:rsidRPr="00E338C2">
        <w:t xml:space="preserve"> disponible</w:t>
      </w:r>
      <w:r w:rsidR="003E23CA" w:rsidRPr="00E338C2">
        <w:t>s</w:t>
      </w:r>
      <w:r w:rsidRPr="00E338C2">
        <w:t xml:space="preserve"> en el sitio web de la OMPI.</w:t>
      </w:r>
    </w:p>
    <w:p w14:paraId="0AEDFF64" w14:textId="0E5C8487" w:rsidR="007B01D7" w:rsidRPr="00E338C2" w:rsidRDefault="007B01D7" w:rsidP="00582E6F">
      <w:pPr>
        <w:pStyle w:val="ONUME"/>
        <w:spacing w:after="120"/>
      </w:pPr>
      <w:r w:rsidRPr="00E338C2">
        <w:t>Un gran número de q</w:t>
      </w:r>
      <w:r w:rsidR="0090191A">
        <w:t>uienes han respondido considera</w:t>
      </w:r>
      <w:r w:rsidRPr="00E338C2">
        <w:t xml:space="preserve"> que las </w:t>
      </w:r>
      <w:r w:rsidR="00F00596" w:rsidRPr="00E338C2">
        <w:t xml:space="preserve">siguientes </w:t>
      </w:r>
      <w:r w:rsidR="00DB3874">
        <w:t>n</w:t>
      </w:r>
      <w:r w:rsidRPr="00E338C2">
        <w:t>ormas de la OMPI están obsoletas,</w:t>
      </w:r>
      <w:r w:rsidR="00867083" w:rsidRPr="00E338C2">
        <w:t xml:space="preserve"> </w:t>
      </w:r>
      <w:r w:rsidR="00101DA4" w:rsidRPr="00E338C2">
        <w:t>aunque</w:t>
      </w:r>
      <w:r w:rsidR="00867083" w:rsidRPr="00E338C2">
        <w:t xml:space="preserve"> al mismo tiempo, </w:t>
      </w:r>
      <w:r w:rsidR="00101DA4" w:rsidRPr="00E338C2">
        <w:t>varias</w:t>
      </w:r>
      <w:r w:rsidR="00867083" w:rsidRPr="00E338C2">
        <w:t xml:space="preserve"> </w:t>
      </w:r>
      <w:r w:rsidR="0090191A">
        <w:t>O</w:t>
      </w:r>
      <w:r w:rsidR="00847EBC" w:rsidRPr="00E338C2">
        <w:t>ficinas de P.I.</w:t>
      </w:r>
      <w:r w:rsidRPr="00E338C2">
        <w:t xml:space="preserve"> </w:t>
      </w:r>
      <w:r w:rsidR="00C50299">
        <w:t xml:space="preserve"> </w:t>
      </w:r>
      <w:r w:rsidRPr="00E338C2">
        <w:t xml:space="preserve">han aplicado completamente dichas </w:t>
      </w:r>
      <w:r w:rsidR="00DB3874">
        <w:t>n</w:t>
      </w:r>
      <w:r w:rsidR="00C50299">
        <w:t>ormas de la OMPI:</w:t>
      </w:r>
    </w:p>
    <w:p w14:paraId="676B4983" w14:textId="24BE9D98" w:rsidR="004F35AA" w:rsidRPr="00E338C2" w:rsidRDefault="007B01D7" w:rsidP="00582E6F">
      <w:pPr>
        <w:pStyle w:val="ONUME"/>
        <w:numPr>
          <w:ilvl w:val="0"/>
          <w:numId w:val="9"/>
        </w:numPr>
        <w:spacing w:after="60"/>
        <w:ind w:left="1134" w:hanging="425"/>
      </w:pPr>
      <w:r w:rsidRPr="00E338C2">
        <w:t>Normas de la OMPI pertinentes para publicación en papel</w:t>
      </w:r>
      <w:r w:rsidR="002348B0" w:rsidRPr="00E338C2">
        <w:t xml:space="preserve">:  ST.10/D, ST.12/C, ST.18, ST.19, ST.20 </w:t>
      </w:r>
      <w:r w:rsidRPr="00E338C2">
        <w:t>y</w:t>
      </w:r>
      <w:r w:rsidR="002348B0" w:rsidRPr="00E338C2">
        <w:t xml:space="preserve"> ST.21;  </w:t>
      </w:r>
      <w:r w:rsidRPr="00E338C2">
        <w:t>y</w:t>
      </w:r>
    </w:p>
    <w:p w14:paraId="19F00A8C" w14:textId="3FB0A2CB" w:rsidR="004F35AA" w:rsidRPr="00E338C2" w:rsidRDefault="007B01D7" w:rsidP="00582E6F">
      <w:pPr>
        <w:pStyle w:val="ONUME"/>
        <w:numPr>
          <w:ilvl w:val="0"/>
          <w:numId w:val="9"/>
        </w:numPr>
        <w:ind w:left="1134" w:hanging="425"/>
      </w:pPr>
      <w:r w:rsidRPr="00E338C2">
        <w:t>Normas de la OMPI relacionadas con tecnologías obsoletas</w:t>
      </w:r>
      <w:r w:rsidR="002348B0" w:rsidRPr="00E338C2">
        <w:t>:  ST.31 (</w:t>
      </w:r>
      <w:r w:rsidR="008D0DB8" w:rsidRPr="00E338C2">
        <w:t>conjuntos de caracteres</w:t>
      </w:r>
      <w:r w:rsidR="002348B0" w:rsidRPr="00E338C2">
        <w:t>), ST.32 (SGML), ST.33 (fac</w:t>
      </w:r>
      <w:r w:rsidR="008D0DB8" w:rsidRPr="00E338C2">
        <w:t>símil</w:t>
      </w:r>
      <w:r w:rsidR="002348B0" w:rsidRPr="00E338C2">
        <w:t>), ST.34 (</w:t>
      </w:r>
      <w:r w:rsidR="008D0DB8" w:rsidRPr="00E338C2">
        <w:t xml:space="preserve">registro de los números de </w:t>
      </w:r>
      <w:r w:rsidR="00867083" w:rsidRPr="00E338C2">
        <w:t>solicitud</w:t>
      </w:r>
      <w:r w:rsidR="002348B0" w:rsidRPr="00E338C2">
        <w:t>), ST.35 (</w:t>
      </w:r>
      <w:r w:rsidR="008D0DB8" w:rsidRPr="00E338C2">
        <w:t>modo mixto</w:t>
      </w:r>
      <w:r w:rsidR="002348B0" w:rsidRPr="00E338C2">
        <w:t xml:space="preserve">) </w:t>
      </w:r>
      <w:r w:rsidR="008D0DB8" w:rsidRPr="00E338C2">
        <w:t>y</w:t>
      </w:r>
      <w:r w:rsidR="002348B0" w:rsidRPr="00E338C2">
        <w:t xml:space="preserve"> ST.40 (</w:t>
      </w:r>
      <w:r w:rsidR="008D0DB8" w:rsidRPr="00E338C2">
        <w:t xml:space="preserve">facsímil en </w:t>
      </w:r>
      <w:r w:rsidR="002348B0" w:rsidRPr="00E338C2">
        <w:t>CD-ROM).</w:t>
      </w:r>
    </w:p>
    <w:p w14:paraId="28D15C2D" w14:textId="4BCAF983" w:rsidR="008F366E" w:rsidRPr="00E338C2" w:rsidRDefault="00CA39EB" w:rsidP="00C94971">
      <w:pPr>
        <w:pStyle w:val="ONUME"/>
      </w:pPr>
      <w:r w:rsidRPr="00E338C2">
        <w:t xml:space="preserve">Se invita al CWS a que </w:t>
      </w:r>
      <w:r w:rsidR="00405068" w:rsidRPr="00E338C2">
        <w:t>examine</w:t>
      </w:r>
      <w:r w:rsidRPr="00E338C2">
        <w:t xml:space="preserve"> si las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enumeradas en el párrafo 10 </w:t>
      </w:r>
      <w:r w:rsidR="00326B85" w:rsidRPr="00E338C2">
        <w:t>deberían permanecer en el M</w:t>
      </w:r>
      <w:r w:rsidRPr="00E338C2">
        <w:t xml:space="preserve">anual </w:t>
      </w:r>
      <w:r w:rsidR="00326B85" w:rsidRPr="00E338C2">
        <w:t>de la OMPI</w:t>
      </w:r>
      <w:r w:rsidRPr="00E338C2">
        <w:t xml:space="preserve"> o ser trasladadas </w:t>
      </w:r>
      <w:r w:rsidR="003E23CA" w:rsidRPr="00E338C2">
        <w:t xml:space="preserve">a </w:t>
      </w:r>
      <w:r w:rsidR="00405068" w:rsidRPr="00E338C2">
        <w:t>l</w:t>
      </w:r>
      <w:r w:rsidR="003E23CA" w:rsidRPr="00E338C2">
        <w:t>os Archivos</w:t>
      </w:r>
      <w:r w:rsidRPr="00E338C2">
        <w:t xml:space="preserve">, es decir, si </w:t>
      </w:r>
      <w:r w:rsidR="00405068" w:rsidRPr="00E338C2">
        <w:t>se sigue</w:t>
      </w:r>
      <w:r w:rsidRPr="00E338C2">
        <w:t xml:space="preserve"> recomen</w:t>
      </w:r>
      <w:r w:rsidR="00405068" w:rsidRPr="00E338C2">
        <w:t xml:space="preserve">dando </w:t>
      </w:r>
      <w:r w:rsidRPr="00E338C2">
        <w:t xml:space="preserve">que las </w:t>
      </w:r>
      <w:r w:rsidR="0090191A">
        <w:t>O</w:t>
      </w:r>
      <w:r w:rsidR="00847EBC" w:rsidRPr="00E338C2">
        <w:t>ficinas de P.I.</w:t>
      </w:r>
      <w:r w:rsidRPr="00E338C2">
        <w:t xml:space="preserve"> </w:t>
      </w:r>
      <w:r w:rsidR="00C50299">
        <w:t xml:space="preserve"> </w:t>
      </w:r>
      <w:r w:rsidRPr="00E338C2">
        <w:t xml:space="preserve">que </w:t>
      </w:r>
      <w:r w:rsidR="00867083" w:rsidRPr="00E338C2">
        <w:t xml:space="preserve">aún </w:t>
      </w:r>
      <w:r w:rsidRPr="00E338C2">
        <w:t xml:space="preserve">no </w:t>
      </w:r>
      <w:r w:rsidR="00867083" w:rsidRPr="00E338C2">
        <w:t xml:space="preserve">las </w:t>
      </w:r>
      <w:r w:rsidRPr="00E338C2">
        <w:t>han aplicado las apliquen en el futuro.</w:t>
      </w:r>
    </w:p>
    <w:p w14:paraId="02C9F07C" w14:textId="7BD51CFD" w:rsidR="008F366E" w:rsidRPr="00E338C2" w:rsidRDefault="00405068" w:rsidP="00C94971">
      <w:pPr>
        <w:pStyle w:val="ONUME"/>
      </w:pPr>
      <w:r w:rsidRPr="00E338C2">
        <w:t>Los motivos de las</w:t>
      </w:r>
      <w:r w:rsidR="00CA39EB" w:rsidRPr="00E338C2">
        <w:t xml:space="preserve"> d</w:t>
      </w:r>
      <w:r w:rsidR="0090191A">
        <w:t xml:space="preserve">ificultades enumeradas en el apartado b) del </w:t>
      </w:r>
      <w:r w:rsidR="00CA39EB" w:rsidRPr="00E338C2">
        <w:t>párrafo 8 no pueden ser abordados en el marco del CWS.</w:t>
      </w:r>
    </w:p>
    <w:p w14:paraId="181B7920" w14:textId="6B83DBF3" w:rsidR="008F366E" w:rsidRPr="00E338C2" w:rsidRDefault="00095F67" w:rsidP="00C94971">
      <w:pPr>
        <w:pStyle w:val="ONUME"/>
      </w:pPr>
      <w:r w:rsidRPr="00E338C2">
        <w:t>Con respecto a las dificultades</w:t>
      </w:r>
      <w:r w:rsidR="0090191A">
        <w:t xml:space="preserve"> enumeradas en el apartado c) del párrafo 8</w:t>
      </w:r>
      <w:r w:rsidRPr="00E338C2">
        <w:t xml:space="preserve">, la Oficina Internacional continuará </w:t>
      </w:r>
      <w:r w:rsidR="00867083" w:rsidRPr="00E338C2">
        <w:t>sus</w:t>
      </w:r>
      <w:r w:rsidRPr="00E338C2">
        <w:t xml:space="preserve"> esfuerzo</w:t>
      </w:r>
      <w:r w:rsidR="00867083" w:rsidRPr="00E338C2">
        <w:t>s</w:t>
      </w:r>
      <w:r w:rsidRPr="00E338C2">
        <w:t xml:space="preserve"> </w:t>
      </w:r>
      <w:r w:rsidR="00867083" w:rsidRPr="00E338C2">
        <w:t>de</w:t>
      </w:r>
      <w:r w:rsidRPr="00E338C2">
        <w:t xml:space="preserve"> asesoramiento y asistencia técnica en materia de creación de capacidad </w:t>
      </w:r>
      <w:r w:rsidR="00C57AF2">
        <w:t>dirigidos a</w:t>
      </w:r>
      <w:r w:rsidRPr="00E338C2">
        <w:t xml:space="preserve"> las </w:t>
      </w:r>
      <w:r w:rsidR="0090191A">
        <w:t>O</w:t>
      </w:r>
      <w:r w:rsidR="00847EBC" w:rsidRPr="00E338C2">
        <w:t>ficinas de P.I.</w:t>
      </w:r>
      <w:r w:rsidR="00C57AF2">
        <w:t xml:space="preserve"> </w:t>
      </w:r>
      <w:r w:rsidR="00C50299">
        <w:t xml:space="preserve"> </w:t>
      </w:r>
      <w:r w:rsidR="00C57AF2">
        <w:t>y</w:t>
      </w:r>
      <w:r w:rsidRPr="00E338C2">
        <w:t xml:space="preserve"> en particular, a </w:t>
      </w:r>
      <w:r w:rsidR="007B1F46">
        <w:t>solicitud</w:t>
      </w:r>
      <w:r w:rsidR="0072673D">
        <w:t xml:space="preserve"> de </w:t>
      </w:r>
      <w:r w:rsidRPr="00E338C2">
        <w:t xml:space="preserve">las </w:t>
      </w:r>
      <w:r w:rsidR="0090191A">
        <w:t>O</w:t>
      </w:r>
      <w:r w:rsidR="00847EBC" w:rsidRPr="00E338C2">
        <w:t>ficinas de P.I.</w:t>
      </w:r>
      <w:r w:rsidR="00C50299">
        <w:t xml:space="preserve"> </w:t>
      </w:r>
      <w:r w:rsidRPr="00E338C2">
        <w:t xml:space="preserve"> interesadas</w:t>
      </w:r>
      <w:r w:rsidR="007D31AE" w:rsidRPr="00E338C2">
        <w:t xml:space="preserve">, </w:t>
      </w:r>
      <w:r w:rsidR="0072673D">
        <w:t>realizará una</w:t>
      </w:r>
      <w:r w:rsidR="00867083" w:rsidRPr="00E338C2">
        <w:t xml:space="preserve"> labor de</w:t>
      </w:r>
      <w:r w:rsidR="007D31AE" w:rsidRPr="00E338C2">
        <w:t xml:space="preserve"> seguimiento de los asuntos </w:t>
      </w:r>
      <w:r w:rsidR="00ED2884" w:rsidRPr="00E338C2">
        <w:t>planteados</w:t>
      </w:r>
      <w:r w:rsidR="007D31AE" w:rsidRPr="00E338C2">
        <w:t xml:space="preserve"> en la</w:t>
      </w:r>
      <w:r w:rsidR="00867083" w:rsidRPr="00E338C2">
        <w:t>s</w:t>
      </w:r>
      <w:r w:rsidR="007D31AE" w:rsidRPr="00E338C2">
        <w:t xml:space="preserve"> respuesta</w:t>
      </w:r>
      <w:r w:rsidR="00867083" w:rsidRPr="00E338C2">
        <w:t>s</w:t>
      </w:r>
      <w:r w:rsidR="007D31AE" w:rsidRPr="00E338C2">
        <w:t xml:space="preserve"> a la encuesta.</w:t>
      </w:r>
    </w:p>
    <w:p w14:paraId="71027D51" w14:textId="3C99E9D2" w:rsidR="008F366E" w:rsidRPr="00E338C2" w:rsidRDefault="009F58BD" w:rsidP="00C94971">
      <w:pPr>
        <w:pStyle w:val="ONUME"/>
      </w:pPr>
      <w:r w:rsidRPr="00E338C2">
        <w:t xml:space="preserve">Tal como se ha informado, la aplicación de </w:t>
      </w:r>
      <w:r w:rsidR="00ED2884" w:rsidRPr="00E338C2">
        <w:t>algunas</w:t>
      </w:r>
      <w:r w:rsidRPr="00E338C2">
        <w:t xml:space="preserve">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</w:t>
      </w:r>
      <w:r w:rsidR="00AB6785" w:rsidRPr="00E338C2">
        <w:t>ha sido posible</w:t>
      </w:r>
      <w:r w:rsidRPr="00E338C2">
        <w:t xml:space="preserve"> </w:t>
      </w:r>
      <w:r w:rsidR="00AB6785" w:rsidRPr="00E338C2">
        <w:t>gracias a</w:t>
      </w:r>
      <w:r w:rsidRPr="00E338C2">
        <w:t xml:space="preserve"> soluciones </w:t>
      </w:r>
      <w:r w:rsidR="0090191A">
        <w:t xml:space="preserve">de </w:t>
      </w:r>
      <w:r w:rsidRPr="0090191A">
        <w:rPr>
          <w:i/>
          <w:iCs/>
        </w:rPr>
        <w:t>software</w:t>
      </w:r>
      <w:r w:rsidRPr="00E338C2">
        <w:t xml:space="preserve"> de la OMPI para </w:t>
      </w:r>
      <w:r w:rsidR="0090191A">
        <w:t>O</w:t>
      </w:r>
      <w:r w:rsidR="00847EBC" w:rsidRPr="00E338C2">
        <w:t>ficinas de P.I.</w:t>
      </w:r>
      <w:r w:rsidRPr="00E338C2">
        <w:t xml:space="preserve">, como </w:t>
      </w:r>
      <w:r w:rsidR="00ED2884" w:rsidRPr="00E338C2">
        <w:t xml:space="preserve">es el caso de las </w:t>
      </w:r>
      <w:r w:rsidR="00DB3874">
        <w:t>n</w:t>
      </w:r>
      <w:r w:rsidR="00BF2AA6" w:rsidRPr="00E338C2">
        <w:t xml:space="preserve">ormas </w:t>
      </w:r>
      <w:r w:rsidRPr="00E338C2">
        <w:t xml:space="preserve">ST.9, ST.36, ST.60 </w:t>
      </w:r>
      <w:r w:rsidR="00BF2AA6" w:rsidRPr="00E338C2">
        <w:t>y</w:t>
      </w:r>
      <w:r w:rsidR="00ED2884" w:rsidRPr="00E338C2">
        <w:t xml:space="preserve"> ST.80</w:t>
      </w:r>
      <w:r w:rsidR="0090191A" w:rsidRPr="0090191A">
        <w:t xml:space="preserve"> </w:t>
      </w:r>
      <w:r w:rsidR="0090191A">
        <w:t xml:space="preserve">de la OMPI </w:t>
      </w:r>
      <w:r w:rsidR="00ED2884" w:rsidRPr="00E338C2">
        <w:t xml:space="preserve">, que </w:t>
      </w:r>
      <w:r w:rsidR="00BF2AA6" w:rsidRPr="00E338C2">
        <w:t xml:space="preserve">pueden aplicarse </w:t>
      </w:r>
      <w:r w:rsidR="00ED2884" w:rsidRPr="00E338C2">
        <w:t xml:space="preserve">de forma automática </w:t>
      </w:r>
      <w:r w:rsidR="00BF2AA6" w:rsidRPr="00E338C2">
        <w:t xml:space="preserve">mediante el </w:t>
      </w:r>
      <w:r w:rsidRPr="00E338C2">
        <w:t>sistema informático de la OMPI para la automatización de la propiedad industrial (IPAS)</w:t>
      </w:r>
      <w:r w:rsidR="00AC7ABB" w:rsidRPr="00E338C2">
        <w:t>.  L</w:t>
      </w:r>
      <w:r w:rsidRPr="00E338C2">
        <w:t>a Oficina Internacional seguirá apoyando la aplicación d</w:t>
      </w:r>
      <w:r w:rsidR="00362841" w:rsidRPr="00E338C2">
        <w:t>e</w:t>
      </w:r>
      <w:r w:rsidRPr="00E338C2">
        <w:t xml:space="preserve"> la</w:t>
      </w:r>
      <w:r w:rsidR="00DB3874">
        <w:t>s</w:t>
      </w:r>
      <w:r w:rsidRPr="00E338C2">
        <w:t xml:space="preserve">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mediante soluciones </w:t>
      </w:r>
      <w:r w:rsidR="00DB3874">
        <w:t xml:space="preserve">de </w:t>
      </w:r>
      <w:r w:rsidRPr="00DB3874">
        <w:rPr>
          <w:i/>
          <w:iCs/>
        </w:rPr>
        <w:t>software</w:t>
      </w:r>
      <w:r w:rsidRPr="00E338C2">
        <w:t xml:space="preserve"> de la OMPI para </w:t>
      </w:r>
      <w:r w:rsidR="00A202BE">
        <w:t xml:space="preserve">las </w:t>
      </w:r>
      <w:r w:rsidR="0090191A">
        <w:t>O</w:t>
      </w:r>
      <w:r w:rsidR="00847EBC" w:rsidRPr="00E338C2">
        <w:t>ficinas de P.I.</w:t>
      </w:r>
    </w:p>
    <w:p w14:paraId="078E8238" w14:textId="77ABF062" w:rsidR="008F366E" w:rsidRPr="00E338C2" w:rsidRDefault="003E2A2C" w:rsidP="00C94971">
      <w:pPr>
        <w:pStyle w:val="ONUME"/>
      </w:pPr>
      <w:r w:rsidRPr="00E338C2">
        <w:t xml:space="preserve">La Oficina Internacional </w:t>
      </w:r>
      <w:r w:rsidR="00ED2884" w:rsidRPr="00E338C2">
        <w:t>realiza</w:t>
      </w:r>
      <w:r w:rsidRPr="00E338C2">
        <w:t xml:space="preserve"> </w:t>
      </w:r>
      <w:r w:rsidR="00C4015E" w:rsidRPr="00E338C2">
        <w:t xml:space="preserve">importantes </w:t>
      </w:r>
      <w:r w:rsidRPr="00E338C2">
        <w:t xml:space="preserve">esfuerzos </w:t>
      </w:r>
      <w:r w:rsidR="00AB6785" w:rsidRPr="00E338C2">
        <w:t>en aras de una mayor</w:t>
      </w:r>
      <w:r w:rsidRPr="00E338C2">
        <w:t xml:space="preserve"> </w:t>
      </w:r>
      <w:r w:rsidR="00ED2884" w:rsidRPr="00E338C2">
        <w:t>conciencia</w:t>
      </w:r>
      <w:r w:rsidR="00C4015E" w:rsidRPr="00E338C2">
        <w:t>ción</w:t>
      </w:r>
      <w:r w:rsidRPr="00E338C2">
        <w:t xml:space="preserve"> sobre las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OMPI, por ejemplo, </w:t>
      </w:r>
      <w:r w:rsidR="00362841" w:rsidRPr="00E338C2">
        <w:t xml:space="preserve">ofrece servicios de capacitación a las </w:t>
      </w:r>
      <w:r w:rsidR="0090191A">
        <w:t>O</w:t>
      </w:r>
      <w:r w:rsidR="00847EBC" w:rsidRPr="00E338C2">
        <w:t>ficinas de P.I.</w:t>
      </w:r>
      <w:r w:rsidRPr="00E338C2">
        <w:t xml:space="preserve">, </w:t>
      </w:r>
      <w:r w:rsidR="00362841" w:rsidRPr="00E338C2">
        <w:t xml:space="preserve">mantiene actualizada la </w:t>
      </w:r>
      <w:r w:rsidRPr="00E338C2">
        <w:t xml:space="preserve">zona de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con el sitio web y </w:t>
      </w:r>
      <w:r w:rsidR="00C4015E" w:rsidRPr="00E338C2">
        <w:t>publica</w:t>
      </w:r>
      <w:r w:rsidRPr="00E338C2">
        <w:t xml:space="preserve"> un folleto sobre </w:t>
      </w:r>
      <w:r w:rsidR="0090191A">
        <w:t>n</w:t>
      </w:r>
      <w:r w:rsidRPr="00E338C2">
        <w:t xml:space="preserve">ormas </w:t>
      </w:r>
      <w:r w:rsidR="0090191A">
        <w:t>t</w:t>
      </w:r>
      <w:r w:rsidRPr="00E338C2">
        <w:t xml:space="preserve">écnicas de la WIPO (véase </w:t>
      </w:r>
      <w:r w:rsidR="00D36382" w:rsidRPr="007E5700">
        <w:rPr>
          <w:rStyle w:val="Hyperlink"/>
          <w:lang w:val="fr-FR"/>
        </w:rPr>
        <w:t>http://www.wipo.int/export/sites/www/standards/en/pdf/standards-brochure-web.pdf</w:t>
      </w:r>
      <w:r w:rsidRPr="00E338C2">
        <w:t xml:space="preserve">).  La Oficina Internacional continuará sus esfuerzos para </w:t>
      </w:r>
      <w:r w:rsidR="00C4015E" w:rsidRPr="00E338C2">
        <w:t xml:space="preserve">aumentar la concienciación </w:t>
      </w:r>
      <w:r w:rsidR="003439F8">
        <w:t xml:space="preserve">en materia de </w:t>
      </w:r>
      <w:r w:rsidR="00DB3874">
        <w:t>n</w:t>
      </w:r>
      <w:r w:rsidR="001907B9" w:rsidRPr="00E338C2">
        <w:t xml:space="preserve">ormas </w:t>
      </w:r>
      <w:r w:rsidR="00DB3874">
        <w:t>t</w:t>
      </w:r>
      <w:r w:rsidR="001907B9" w:rsidRPr="00E338C2">
        <w:t>écnicas de la OMPI.</w:t>
      </w:r>
    </w:p>
    <w:p w14:paraId="01264024" w14:textId="2FD37408" w:rsidR="008F366E" w:rsidRPr="00E338C2" w:rsidRDefault="00D36382" w:rsidP="00C94971">
      <w:pPr>
        <w:pStyle w:val="ONUME"/>
      </w:pPr>
      <w:r w:rsidRPr="00E338C2">
        <w:t xml:space="preserve">Además, para facilitar la </w:t>
      </w:r>
      <w:r w:rsidR="00827F64">
        <w:t>aplicación</w:t>
      </w:r>
      <w:r w:rsidRPr="00E338C2">
        <w:t xml:space="preserve"> de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</w:t>
      </w:r>
      <w:r w:rsidR="00C4015E" w:rsidRPr="00E338C2">
        <w:t>por</w:t>
      </w:r>
      <w:r w:rsidR="006D6ECF" w:rsidRPr="00E338C2">
        <w:t xml:space="preserve"> las</w:t>
      </w:r>
      <w:r w:rsidRPr="00E338C2">
        <w:t xml:space="preserve"> </w:t>
      </w:r>
      <w:r w:rsidR="00847EBC" w:rsidRPr="00E338C2">
        <w:t>oficinas de P.I.</w:t>
      </w:r>
      <w:r w:rsidR="006D6ECF" w:rsidRPr="00E338C2">
        <w:t>,</w:t>
      </w:r>
      <w:r w:rsidR="001C2BB2" w:rsidRPr="00E338C2">
        <w:t xml:space="preserve"> tanto</w:t>
      </w:r>
      <w:r w:rsidR="006D6ECF" w:rsidRPr="00E338C2">
        <w:t xml:space="preserve"> </w:t>
      </w:r>
      <w:r w:rsidR="001C2BB2" w:rsidRPr="00E338C2">
        <w:t xml:space="preserve">las </w:t>
      </w:r>
      <w:r w:rsidR="00DB3874">
        <w:t>n</w:t>
      </w:r>
      <w:r w:rsidR="006D6ECF" w:rsidRPr="00E338C2">
        <w:t xml:space="preserve">ormas </w:t>
      </w:r>
      <w:r w:rsidR="00C4015E" w:rsidRPr="00E338C2">
        <w:t xml:space="preserve">recientes </w:t>
      </w:r>
      <w:r w:rsidR="001C2BB2" w:rsidRPr="00E338C2">
        <w:t xml:space="preserve">como las </w:t>
      </w:r>
      <w:r w:rsidR="00C4015E" w:rsidRPr="00E338C2">
        <w:t xml:space="preserve">nuevas </w:t>
      </w:r>
      <w:r w:rsidR="006D6ECF" w:rsidRPr="00E338C2">
        <w:t>inc</w:t>
      </w:r>
      <w:r w:rsidR="001C2BB2" w:rsidRPr="00E338C2">
        <w:t>luyen un texto de orientación.</w:t>
      </w:r>
    </w:p>
    <w:p w14:paraId="3377557C" w14:textId="77777777" w:rsidR="004F35AA" w:rsidRPr="00E338C2" w:rsidRDefault="002348B0" w:rsidP="00C94971">
      <w:pPr>
        <w:spacing w:after="220"/>
        <w:rPr>
          <w:bCs/>
          <w:iCs/>
          <w:caps/>
          <w:szCs w:val="28"/>
        </w:rPr>
      </w:pPr>
      <w:r w:rsidRPr="00E338C2">
        <w:br w:type="page"/>
      </w:r>
    </w:p>
    <w:p w14:paraId="04173691" w14:textId="77777777" w:rsidR="004F35AA" w:rsidRPr="00C94971" w:rsidRDefault="00884E59" w:rsidP="00C94971">
      <w:pPr>
        <w:pStyle w:val="Heading2"/>
        <w:spacing w:before="0"/>
        <w:rPr>
          <w:lang w:val="es-ES_tradnl"/>
        </w:rPr>
      </w:pPr>
      <w:r w:rsidRPr="00E338C2">
        <w:rPr>
          <w:lang w:val="es-ES_tradnl"/>
        </w:rPr>
        <w:lastRenderedPageBreak/>
        <w:t>CONCLUSIo</w:t>
      </w:r>
      <w:r w:rsidR="004F35AA" w:rsidRPr="00E338C2">
        <w:rPr>
          <w:lang w:val="es-ES_tradnl"/>
        </w:rPr>
        <w:t>N</w:t>
      </w:r>
      <w:r w:rsidRPr="00E338C2">
        <w:rPr>
          <w:lang w:val="es-ES_tradnl"/>
        </w:rPr>
        <w:t>es</w:t>
      </w:r>
    </w:p>
    <w:p w14:paraId="0995005B" w14:textId="032AB8A1" w:rsidR="00830204" w:rsidRPr="00E338C2" w:rsidRDefault="00830204" w:rsidP="00C94971">
      <w:pPr>
        <w:pStyle w:val="ONUME"/>
      </w:pPr>
      <w:r w:rsidRPr="00E338C2">
        <w:t xml:space="preserve">La encuesta </w:t>
      </w:r>
      <w:r w:rsidR="00E7625B" w:rsidRPr="00E338C2">
        <w:t>es</w:t>
      </w:r>
      <w:r w:rsidRPr="00E338C2">
        <w:t xml:space="preserve"> de utilidad </w:t>
      </w:r>
      <w:r w:rsidR="00C4015E" w:rsidRPr="00E338C2">
        <w:t>para conocer</w:t>
      </w:r>
      <w:r w:rsidR="00F27005" w:rsidRPr="00E338C2">
        <w:t xml:space="preserve"> </w:t>
      </w:r>
      <w:r w:rsidR="00F70FE2" w:rsidRPr="00E338C2">
        <w:t xml:space="preserve">la situación de </w:t>
      </w:r>
      <w:r w:rsidR="007B08DF" w:rsidRPr="00E338C2">
        <w:t>aplicación</w:t>
      </w:r>
      <w:r w:rsidR="00F70FE2" w:rsidRPr="00E338C2">
        <w:t xml:space="preserve"> de </w:t>
      </w:r>
      <w:r w:rsidR="00847EBC" w:rsidRPr="00E338C2">
        <w:t xml:space="preserve">las </w:t>
      </w:r>
      <w:r w:rsidR="00DB3874">
        <w:t>n</w:t>
      </w:r>
      <w:r w:rsidR="00F70FE2" w:rsidRPr="00E338C2">
        <w:t xml:space="preserve">ormas </w:t>
      </w:r>
      <w:r w:rsidR="00DB3874">
        <w:t>t</w:t>
      </w:r>
      <w:r w:rsidR="00F70FE2" w:rsidRPr="00E338C2">
        <w:t xml:space="preserve">écnicas de la OMPI en las </w:t>
      </w:r>
      <w:r w:rsidR="0090191A">
        <w:t>O</w:t>
      </w:r>
      <w:r w:rsidR="00847EBC" w:rsidRPr="00E338C2">
        <w:t>ficinas de P.I.</w:t>
      </w:r>
      <w:r w:rsidR="001620C5" w:rsidRPr="00E338C2">
        <w:t>,</w:t>
      </w:r>
      <w:r w:rsidR="00C2358C" w:rsidRPr="00E338C2">
        <w:t xml:space="preserve"> </w:t>
      </w:r>
      <w:r w:rsidR="0090191A">
        <w:t xml:space="preserve">detectar </w:t>
      </w:r>
      <w:r w:rsidR="00F27005" w:rsidRPr="00E338C2">
        <w:t>problema</w:t>
      </w:r>
      <w:r w:rsidR="00847EBC" w:rsidRPr="00E338C2">
        <w:t>s</w:t>
      </w:r>
      <w:r w:rsidR="00F27005" w:rsidRPr="00E338C2">
        <w:t xml:space="preserve"> </w:t>
      </w:r>
      <w:r w:rsidR="00847EBC" w:rsidRPr="00E338C2">
        <w:t>relacionados con</w:t>
      </w:r>
      <w:r w:rsidR="00F27005" w:rsidRPr="00E338C2">
        <w:t xml:space="preserve"> la aplicación de las </w:t>
      </w:r>
      <w:r w:rsidR="00DB3874">
        <w:t>n</w:t>
      </w:r>
      <w:r w:rsidR="00F27005" w:rsidRPr="00E338C2">
        <w:t xml:space="preserve">ormas </w:t>
      </w:r>
      <w:r w:rsidR="00DB3874">
        <w:t>t</w:t>
      </w:r>
      <w:r w:rsidR="00F27005" w:rsidRPr="00E338C2">
        <w:t>écnicas de la OMPI y la causa de los mismos</w:t>
      </w:r>
      <w:r w:rsidR="001620C5" w:rsidRPr="00E338C2">
        <w:t>,</w:t>
      </w:r>
      <w:r w:rsidR="00C4015E" w:rsidRPr="00E338C2">
        <w:t xml:space="preserve"> aumentar la concienciación sobre las </w:t>
      </w:r>
      <w:r w:rsidR="00DB3874">
        <w:t>n</w:t>
      </w:r>
      <w:r w:rsidR="00C4015E" w:rsidRPr="00E338C2">
        <w:t xml:space="preserve">ormas </w:t>
      </w:r>
      <w:r w:rsidR="00DB3874">
        <w:t>t</w:t>
      </w:r>
      <w:r w:rsidR="00C4015E" w:rsidRPr="00E338C2">
        <w:t xml:space="preserve">écnicas de la OMPI, </w:t>
      </w:r>
      <w:r w:rsidR="00847EBC" w:rsidRPr="00E338C2">
        <w:t>identifica</w:t>
      </w:r>
      <w:r w:rsidR="00C4015E" w:rsidRPr="00E338C2">
        <w:t xml:space="preserve">r </w:t>
      </w:r>
      <w:r w:rsidR="007B08DF" w:rsidRPr="00E338C2">
        <w:t xml:space="preserve">necesidades de las </w:t>
      </w:r>
      <w:r w:rsidR="0090191A">
        <w:t>O</w:t>
      </w:r>
      <w:r w:rsidR="00847EBC" w:rsidRPr="00E338C2">
        <w:t>ficinas de P.I</w:t>
      </w:r>
      <w:r w:rsidR="00C4015E" w:rsidRPr="00E338C2">
        <w:t xml:space="preserve">. </w:t>
      </w:r>
      <w:r w:rsidR="00C50299">
        <w:t xml:space="preserve"> </w:t>
      </w:r>
      <w:r w:rsidR="00C4015E" w:rsidRPr="00E338C2">
        <w:t>c</w:t>
      </w:r>
      <w:r w:rsidR="00847EBC" w:rsidRPr="00E338C2">
        <w:t>on vistas a</w:t>
      </w:r>
      <w:r w:rsidR="007B08DF" w:rsidRPr="00E338C2">
        <w:t xml:space="preserve"> futuras iniciativas de normalización </w:t>
      </w:r>
      <w:r w:rsidR="007B59CB">
        <w:t>de</w:t>
      </w:r>
      <w:r w:rsidR="007B08DF" w:rsidRPr="00E338C2">
        <w:t xml:space="preserve"> información </w:t>
      </w:r>
      <w:r w:rsidR="007B59CB">
        <w:t>sobre</w:t>
      </w:r>
      <w:r w:rsidR="007B08DF" w:rsidRPr="00E338C2">
        <w:t xml:space="preserve"> P.I. </w:t>
      </w:r>
      <w:r w:rsidR="00C50299">
        <w:t xml:space="preserve"> </w:t>
      </w:r>
      <w:r w:rsidR="007B08DF" w:rsidRPr="00E338C2">
        <w:t xml:space="preserve">y </w:t>
      </w:r>
      <w:r w:rsidR="00C4015E" w:rsidRPr="00E338C2">
        <w:t xml:space="preserve">proporcionar </w:t>
      </w:r>
      <w:r w:rsidR="007B08DF" w:rsidRPr="00E338C2">
        <w:t>asistencia técnica en este ámbito.</w:t>
      </w:r>
    </w:p>
    <w:p w14:paraId="343B4A36" w14:textId="1CBBAE4A" w:rsidR="00830204" w:rsidRPr="00E338C2" w:rsidRDefault="00847EBC" w:rsidP="00C94971">
      <w:pPr>
        <w:pStyle w:val="ONUME"/>
      </w:pPr>
      <w:r w:rsidRPr="00E338C2">
        <w:t xml:space="preserve">La encuesta muestra que, pese a </w:t>
      </w:r>
      <w:r w:rsidR="001620C5" w:rsidRPr="00E338C2">
        <w:t>las</w:t>
      </w:r>
      <w:r w:rsidRPr="00E338C2">
        <w:t xml:space="preserve"> diferencias </w:t>
      </w:r>
      <w:r w:rsidR="007B59CB">
        <w:t>en su</w:t>
      </w:r>
      <w:r w:rsidRPr="00E338C2">
        <w:t xml:space="preserve"> aplicación por las </w:t>
      </w:r>
      <w:r w:rsidR="0090191A">
        <w:t>O</w:t>
      </w:r>
      <w:r w:rsidRPr="00E338C2">
        <w:t xml:space="preserve">ficinas de P.I., las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 xml:space="preserve">écnicas de la OMPI siguen siendo una potente herramienta para el intercambio internacional de información y documentación </w:t>
      </w:r>
      <w:r w:rsidR="005E7F3F">
        <w:t>en materia de</w:t>
      </w:r>
      <w:r w:rsidRPr="00E338C2">
        <w:t xml:space="preserve"> P.I.</w:t>
      </w:r>
    </w:p>
    <w:p w14:paraId="619ABCB7" w14:textId="56868BFA" w:rsidR="00830204" w:rsidRPr="00E338C2" w:rsidRDefault="00847EBC" w:rsidP="00C94971">
      <w:pPr>
        <w:pStyle w:val="ONUME"/>
      </w:pPr>
      <w:r w:rsidRPr="00E338C2">
        <w:t xml:space="preserve">Las respuestas enviadas por las </w:t>
      </w:r>
      <w:r w:rsidR="0090191A">
        <w:t>O</w:t>
      </w:r>
      <w:r w:rsidRPr="00E338C2">
        <w:t xml:space="preserve">ficinas de P.I., especialmente </w:t>
      </w:r>
      <w:r w:rsidR="000F08C8">
        <w:t xml:space="preserve">la </w:t>
      </w:r>
      <w:r w:rsidR="00571ABF">
        <w:t xml:space="preserve">información sobre si se aplican </w:t>
      </w:r>
      <w:r w:rsidRPr="00E338C2">
        <w:t xml:space="preserve">las </w:t>
      </w:r>
      <w:r w:rsidR="00DB3874">
        <w:t>n</w:t>
      </w:r>
      <w:r w:rsidRPr="00E338C2">
        <w:t xml:space="preserve">ormas </w:t>
      </w:r>
      <w:r w:rsidR="00DB3874">
        <w:t>t</w:t>
      </w:r>
      <w:r w:rsidRPr="00E338C2">
        <w:t>écnicas de la OMPI</w:t>
      </w:r>
      <w:r w:rsidR="00FC2C55" w:rsidRPr="00E338C2">
        <w:t xml:space="preserve"> en </w:t>
      </w:r>
      <w:r w:rsidR="00571ABF">
        <w:t>la</w:t>
      </w:r>
      <w:r w:rsidR="00FC2C55" w:rsidRPr="00E338C2">
        <w:t xml:space="preserve"> práctica habitual</w:t>
      </w:r>
      <w:r w:rsidR="00571ABF">
        <w:t xml:space="preserve"> de las </w:t>
      </w:r>
      <w:r w:rsidR="0090191A">
        <w:t>O</w:t>
      </w:r>
      <w:r w:rsidR="00571ABF">
        <w:t>ficinas de P.I.</w:t>
      </w:r>
      <w:r w:rsidRPr="00E338C2">
        <w:t>, puede</w:t>
      </w:r>
      <w:r w:rsidR="001620C5" w:rsidRPr="00E338C2">
        <w:t>n</w:t>
      </w:r>
      <w:r w:rsidRPr="00E338C2">
        <w:t xml:space="preserve"> ayudar a los usuarios de información </w:t>
      </w:r>
      <w:r w:rsidR="00571ABF">
        <w:t>sobre</w:t>
      </w:r>
      <w:r w:rsidRPr="00E338C2">
        <w:t xml:space="preserve"> P.I</w:t>
      </w:r>
      <w:r w:rsidR="00FC2C55" w:rsidRPr="00E338C2">
        <w:t xml:space="preserve">. </w:t>
      </w:r>
      <w:r w:rsidR="00C50299">
        <w:t xml:space="preserve"> </w:t>
      </w:r>
      <w:r w:rsidR="00FC2C55" w:rsidRPr="00E338C2">
        <w:t xml:space="preserve">a </w:t>
      </w:r>
      <w:r w:rsidRPr="00E338C2">
        <w:t xml:space="preserve">analizar documentos </w:t>
      </w:r>
      <w:r w:rsidR="001620C5" w:rsidRPr="00E338C2">
        <w:t>de</w:t>
      </w:r>
      <w:r w:rsidRPr="00E338C2">
        <w:t xml:space="preserve"> P.I.; </w:t>
      </w:r>
      <w:r w:rsidR="00FC2C55" w:rsidRPr="00E338C2">
        <w:t xml:space="preserve"> </w:t>
      </w:r>
      <w:r w:rsidRPr="00E338C2">
        <w:t xml:space="preserve">para otras </w:t>
      </w:r>
      <w:r w:rsidR="0090191A">
        <w:t>O</w:t>
      </w:r>
      <w:r w:rsidR="00FC2C55" w:rsidRPr="00E338C2">
        <w:t>ficinas de P.I.</w:t>
      </w:r>
      <w:r w:rsidRPr="00E338C2">
        <w:t xml:space="preserve"> </w:t>
      </w:r>
      <w:r w:rsidR="00C50299">
        <w:t xml:space="preserve"> </w:t>
      </w:r>
      <w:r w:rsidRPr="00E338C2">
        <w:t xml:space="preserve">constituyen una fuente valiosa </w:t>
      </w:r>
      <w:r w:rsidR="00571ABF">
        <w:t>para el</w:t>
      </w:r>
      <w:r w:rsidRPr="00E338C2">
        <w:t xml:space="preserve"> aprendizaje </w:t>
      </w:r>
      <w:r w:rsidR="00571ABF">
        <w:t>de</w:t>
      </w:r>
      <w:r w:rsidRPr="00E338C2">
        <w:t xml:space="preserve"> prácticas existentes en la esfera de la información y documentación </w:t>
      </w:r>
      <w:r w:rsidR="005E7F3F">
        <w:t>en materia de</w:t>
      </w:r>
      <w:r w:rsidRPr="00E338C2">
        <w:t xml:space="preserve"> P.I.</w:t>
      </w:r>
    </w:p>
    <w:p w14:paraId="0846986E" w14:textId="77777777" w:rsidR="004F35AA" w:rsidRPr="00E338C2" w:rsidRDefault="004F35AA" w:rsidP="00582E6F">
      <w:pPr>
        <w:pStyle w:val="ONUME"/>
        <w:spacing w:after="120"/>
        <w:ind w:left="5387" w:firstLine="7"/>
        <w:rPr>
          <w:i/>
        </w:rPr>
      </w:pPr>
      <w:r w:rsidRPr="00E338C2">
        <w:rPr>
          <w:i/>
          <w:lang w:val="es-ES_tradnl"/>
        </w:rPr>
        <w:t>Se invita al CWS a:</w:t>
      </w:r>
    </w:p>
    <w:p w14:paraId="17526AF6" w14:textId="70D90A13" w:rsidR="004F35AA" w:rsidRPr="00E338C2" w:rsidRDefault="0014786D" w:rsidP="00582E6F">
      <w:pPr>
        <w:pStyle w:val="ONUME"/>
        <w:numPr>
          <w:ilvl w:val="0"/>
          <w:numId w:val="0"/>
        </w:numPr>
        <w:tabs>
          <w:tab w:val="left" w:pos="6237"/>
          <w:tab w:val="left" w:pos="6379"/>
        </w:tabs>
        <w:spacing w:after="120"/>
        <w:ind w:left="5387"/>
        <w:rPr>
          <w:i/>
        </w:rPr>
      </w:pPr>
      <w:r>
        <w:rPr>
          <w:i/>
        </w:rPr>
        <w:tab/>
      </w:r>
      <w:r w:rsidR="005168CB" w:rsidRPr="00E338C2">
        <w:rPr>
          <w:i/>
        </w:rPr>
        <w:t>a)</w:t>
      </w:r>
      <w:r w:rsidR="005168CB" w:rsidRPr="00E338C2">
        <w:rPr>
          <w:i/>
        </w:rPr>
        <w:tab/>
      </w:r>
      <w:r w:rsidR="004F35AA" w:rsidRPr="00E338C2">
        <w:rPr>
          <w:i/>
          <w:lang w:val="es-ES_tradnl"/>
        </w:rPr>
        <w:t>tomar nota del contenido del presente documento;</w:t>
      </w:r>
    </w:p>
    <w:p w14:paraId="4FDE1F48" w14:textId="31F11C51" w:rsidR="004F35AA" w:rsidRPr="00E338C2" w:rsidRDefault="0014786D" w:rsidP="00582E6F">
      <w:pPr>
        <w:pStyle w:val="ONUME"/>
        <w:numPr>
          <w:ilvl w:val="0"/>
          <w:numId w:val="0"/>
        </w:numPr>
        <w:tabs>
          <w:tab w:val="left" w:pos="4680"/>
          <w:tab w:val="left" w:pos="6237"/>
        </w:tabs>
        <w:spacing w:after="120"/>
        <w:ind w:left="5387"/>
        <w:rPr>
          <w:i/>
        </w:rPr>
      </w:pPr>
      <w:r>
        <w:rPr>
          <w:i/>
        </w:rPr>
        <w:tab/>
      </w:r>
      <w:r w:rsidR="002348B0" w:rsidRPr="00E338C2">
        <w:rPr>
          <w:i/>
        </w:rPr>
        <w:t>b)</w:t>
      </w:r>
      <w:r w:rsidR="002348B0" w:rsidRPr="00E338C2">
        <w:rPr>
          <w:i/>
        </w:rPr>
        <w:tab/>
      </w:r>
      <w:r w:rsidR="008563F5" w:rsidRPr="00E338C2">
        <w:rPr>
          <w:i/>
        </w:rPr>
        <w:t>examinar y decidir sobre</w:t>
      </w:r>
      <w:r w:rsidR="002E1B82" w:rsidRPr="00E338C2">
        <w:rPr>
          <w:i/>
        </w:rPr>
        <w:t xml:space="preserve"> la publicación de l</w:t>
      </w:r>
      <w:r w:rsidR="008563F5" w:rsidRPr="00E338C2">
        <w:rPr>
          <w:i/>
        </w:rPr>
        <w:t>o</w:t>
      </w:r>
      <w:r w:rsidR="002E1B82" w:rsidRPr="00E338C2">
        <w:rPr>
          <w:i/>
        </w:rPr>
        <w:t xml:space="preserve">s </w:t>
      </w:r>
      <w:r w:rsidR="00326B85" w:rsidRPr="00E338C2">
        <w:rPr>
          <w:i/>
        </w:rPr>
        <w:t>resultados de la encuesta como P</w:t>
      </w:r>
      <w:r w:rsidR="002E1B82" w:rsidRPr="00E338C2">
        <w:rPr>
          <w:i/>
        </w:rPr>
        <w:t>arte 7.</w:t>
      </w:r>
      <w:r w:rsidR="00326B85" w:rsidRPr="00E338C2">
        <w:rPr>
          <w:i/>
        </w:rPr>
        <w:t>1</w:t>
      </w:r>
      <w:r w:rsidR="002E1B82" w:rsidRPr="00E338C2">
        <w:rPr>
          <w:i/>
        </w:rPr>
        <w:t xml:space="preserve">2 del </w:t>
      </w:r>
      <w:r w:rsidR="00326B85" w:rsidRPr="00E338C2">
        <w:rPr>
          <w:i/>
        </w:rPr>
        <w:t>M</w:t>
      </w:r>
      <w:r w:rsidR="002E1B82" w:rsidRPr="00E338C2">
        <w:rPr>
          <w:i/>
        </w:rPr>
        <w:t>anual de la OMPI, tal como se señala en el párrafo 1.c)</w:t>
      </w:r>
      <w:r w:rsidR="002348B0" w:rsidRPr="00E338C2">
        <w:rPr>
          <w:i/>
        </w:rPr>
        <w:t>;</w:t>
      </w:r>
    </w:p>
    <w:p w14:paraId="1762E4AD" w14:textId="02B4E4DE" w:rsidR="004F35AA" w:rsidRPr="00E338C2" w:rsidRDefault="0014786D" w:rsidP="00582E6F">
      <w:pPr>
        <w:pStyle w:val="ONUME"/>
        <w:numPr>
          <w:ilvl w:val="0"/>
          <w:numId w:val="0"/>
        </w:numPr>
        <w:tabs>
          <w:tab w:val="left" w:pos="4680"/>
          <w:tab w:val="left" w:pos="6237"/>
        </w:tabs>
        <w:spacing w:after="120"/>
        <w:ind w:left="5387"/>
        <w:rPr>
          <w:i/>
        </w:rPr>
      </w:pPr>
      <w:r>
        <w:rPr>
          <w:i/>
        </w:rPr>
        <w:tab/>
      </w:r>
      <w:r w:rsidR="002348B0" w:rsidRPr="00E338C2">
        <w:rPr>
          <w:i/>
        </w:rPr>
        <w:t>c)</w:t>
      </w:r>
      <w:r w:rsidR="002348B0" w:rsidRPr="00E338C2">
        <w:rPr>
          <w:i/>
        </w:rPr>
        <w:tab/>
      </w:r>
      <w:r w:rsidR="002E1B82" w:rsidRPr="00E338C2">
        <w:rPr>
          <w:i/>
        </w:rPr>
        <w:t xml:space="preserve">alentar a las </w:t>
      </w:r>
      <w:r w:rsidR="0090191A">
        <w:rPr>
          <w:i/>
        </w:rPr>
        <w:t>O</w:t>
      </w:r>
      <w:r w:rsidR="002E1B82" w:rsidRPr="00E338C2">
        <w:rPr>
          <w:i/>
        </w:rPr>
        <w:t xml:space="preserve">ficinas de P.I. </w:t>
      </w:r>
      <w:r w:rsidR="00C50299">
        <w:rPr>
          <w:i/>
        </w:rPr>
        <w:t xml:space="preserve"> </w:t>
      </w:r>
      <w:proofErr w:type="gramStart"/>
      <w:r w:rsidR="002E1B82" w:rsidRPr="00E338C2">
        <w:rPr>
          <w:i/>
        </w:rPr>
        <w:t>que</w:t>
      </w:r>
      <w:proofErr w:type="gramEnd"/>
      <w:r w:rsidR="002E1B82" w:rsidRPr="00E338C2">
        <w:rPr>
          <w:i/>
        </w:rPr>
        <w:t xml:space="preserve"> no han respondido a que lo hagan, como se señala en el párrafo 5 </w:t>
      </w:r>
      <w:r w:rsidR="002F1AA3">
        <w:rPr>
          <w:i/>
        </w:rPr>
        <w:t>supra</w:t>
      </w:r>
      <w:r w:rsidR="002348B0" w:rsidRPr="00E338C2">
        <w:rPr>
          <w:i/>
        </w:rPr>
        <w:t>;</w:t>
      </w:r>
    </w:p>
    <w:p w14:paraId="47EB7A51" w14:textId="51FC83A4" w:rsidR="004F35AA" w:rsidRPr="00E338C2" w:rsidRDefault="0014786D" w:rsidP="00582E6F">
      <w:pPr>
        <w:pStyle w:val="ONUME"/>
        <w:numPr>
          <w:ilvl w:val="0"/>
          <w:numId w:val="0"/>
        </w:numPr>
        <w:tabs>
          <w:tab w:val="left" w:pos="4680"/>
          <w:tab w:val="left" w:pos="6237"/>
        </w:tabs>
        <w:spacing w:after="120"/>
        <w:ind w:left="5387"/>
        <w:rPr>
          <w:i/>
        </w:rPr>
      </w:pPr>
      <w:r>
        <w:rPr>
          <w:i/>
        </w:rPr>
        <w:tab/>
      </w:r>
      <w:r w:rsidR="002348B0" w:rsidRPr="00E338C2">
        <w:rPr>
          <w:i/>
        </w:rPr>
        <w:t>d)</w:t>
      </w:r>
      <w:r w:rsidR="002348B0" w:rsidRPr="00E338C2">
        <w:rPr>
          <w:i/>
        </w:rPr>
        <w:tab/>
      </w:r>
      <w:r w:rsidR="008563F5" w:rsidRPr="00E338C2">
        <w:rPr>
          <w:i/>
        </w:rPr>
        <w:t xml:space="preserve">examinar y decidir sobre </w:t>
      </w:r>
      <w:r w:rsidR="002E1B82" w:rsidRPr="00E338C2">
        <w:rPr>
          <w:i/>
        </w:rPr>
        <w:t xml:space="preserve">el traslado de las </w:t>
      </w:r>
      <w:r w:rsidR="00DB3874">
        <w:rPr>
          <w:i/>
        </w:rPr>
        <w:t>n</w:t>
      </w:r>
      <w:r w:rsidR="002E1B82" w:rsidRPr="00E338C2">
        <w:rPr>
          <w:i/>
        </w:rPr>
        <w:t xml:space="preserve">ormas </w:t>
      </w:r>
      <w:r w:rsidR="00591064" w:rsidRPr="00E338C2">
        <w:rPr>
          <w:i/>
        </w:rPr>
        <w:t xml:space="preserve">ST.7 a ST.7/F y ST.30 </w:t>
      </w:r>
      <w:r w:rsidR="002E1B82" w:rsidRPr="00E338C2">
        <w:rPr>
          <w:i/>
        </w:rPr>
        <w:t>de la OMPI</w:t>
      </w:r>
      <w:r w:rsidR="002348B0" w:rsidRPr="00E338C2">
        <w:rPr>
          <w:i/>
        </w:rPr>
        <w:t xml:space="preserve"> </w:t>
      </w:r>
      <w:r w:rsidR="00FC2C55" w:rsidRPr="00E338C2">
        <w:rPr>
          <w:i/>
        </w:rPr>
        <w:t>del</w:t>
      </w:r>
      <w:r w:rsidR="002E1B82" w:rsidRPr="00E338C2">
        <w:rPr>
          <w:i/>
        </w:rPr>
        <w:t xml:space="preserve"> Manual de la OMPI </w:t>
      </w:r>
      <w:r w:rsidR="003E23CA" w:rsidRPr="00E338C2">
        <w:rPr>
          <w:i/>
        </w:rPr>
        <w:t>a los Archivos</w:t>
      </w:r>
      <w:r w:rsidR="002E1B82" w:rsidRPr="00E338C2">
        <w:rPr>
          <w:i/>
        </w:rPr>
        <w:t>, como se señala en el párrafo 9</w:t>
      </w:r>
      <w:r w:rsidR="002348B0" w:rsidRPr="00E338C2">
        <w:rPr>
          <w:i/>
        </w:rPr>
        <w:t>;</w:t>
      </w:r>
    </w:p>
    <w:p w14:paraId="2FC05B7B" w14:textId="193807A4" w:rsidR="004F35AA" w:rsidRPr="00E338C2" w:rsidRDefault="0014786D" w:rsidP="00582E6F">
      <w:pPr>
        <w:pStyle w:val="ONUME"/>
        <w:numPr>
          <w:ilvl w:val="0"/>
          <w:numId w:val="0"/>
        </w:numPr>
        <w:tabs>
          <w:tab w:val="left" w:pos="4680"/>
          <w:tab w:val="left" w:pos="6237"/>
        </w:tabs>
        <w:spacing w:after="120"/>
        <w:ind w:left="5387"/>
        <w:rPr>
          <w:i/>
        </w:rPr>
      </w:pPr>
      <w:r>
        <w:rPr>
          <w:i/>
        </w:rPr>
        <w:tab/>
      </w:r>
      <w:r w:rsidR="002348B0" w:rsidRPr="00E338C2">
        <w:rPr>
          <w:i/>
        </w:rPr>
        <w:t>e)</w:t>
      </w:r>
      <w:r w:rsidR="002348B0" w:rsidRPr="00E338C2">
        <w:rPr>
          <w:i/>
        </w:rPr>
        <w:tab/>
      </w:r>
      <w:r w:rsidR="002E1B82" w:rsidRPr="00E338C2">
        <w:rPr>
          <w:i/>
        </w:rPr>
        <w:t xml:space="preserve">proporcionar </w:t>
      </w:r>
      <w:r w:rsidR="0090191A">
        <w:rPr>
          <w:i/>
        </w:rPr>
        <w:t>directrices</w:t>
      </w:r>
      <w:r w:rsidR="002E1B82" w:rsidRPr="00E338C2">
        <w:rPr>
          <w:i/>
        </w:rPr>
        <w:t xml:space="preserve"> con respecto a las </w:t>
      </w:r>
      <w:r w:rsidR="00DB3874">
        <w:rPr>
          <w:i/>
        </w:rPr>
        <w:t>n</w:t>
      </w:r>
      <w:r w:rsidR="002E1B82" w:rsidRPr="00E338C2">
        <w:rPr>
          <w:i/>
        </w:rPr>
        <w:t xml:space="preserve">ormas </w:t>
      </w:r>
      <w:r w:rsidR="00DB3874">
        <w:rPr>
          <w:i/>
        </w:rPr>
        <w:t>t</w:t>
      </w:r>
      <w:r w:rsidR="002E1B82" w:rsidRPr="00E338C2">
        <w:rPr>
          <w:i/>
        </w:rPr>
        <w:t>écnicas de la OMPI enumeradas en los párrafos 10 y 11</w:t>
      </w:r>
      <w:r w:rsidR="002348B0" w:rsidRPr="00E338C2">
        <w:rPr>
          <w:i/>
        </w:rPr>
        <w:t xml:space="preserve">;  </w:t>
      </w:r>
      <w:r w:rsidR="002E1B82" w:rsidRPr="00E338C2">
        <w:rPr>
          <w:i/>
        </w:rPr>
        <w:t>y</w:t>
      </w:r>
    </w:p>
    <w:p w14:paraId="0182404D" w14:textId="6E368FD3" w:rsidR="002E1B82" w:rsidRPr="00E338C2" w:rsidRDefault="0014786D" w:rsidP="00582E6F">
      <w:pPr>
        <w:pStyle w:val="ONUME"/>
        <w:numPr>
          <w:ilvl w:val="0"/>
          <w:numId w:val="0"/>
        </w:numPr>
        <w:tabs>
          <w:tab w:val="left" w:pos="4680"/>
          <w:tab w:val="left" w:pos="6237"/>
        </w:tabs>
        <w:spacing w:after="0"/>
        <w:ind w:left="5387"/>
        <w:rPr>
          <w:i/>
        </w:rPr>
      </w:pPr>
      <w:r>
        <w:rPr>
          <w:i/>
        </w:rPr>
        <w:tab/>
      </w:r>
      <w:r w:rsidR="002348B0" w:rsidRPr="00E338C2">
        <w:rPr>
          <w:i/>
        </w:rPr>
        <w:t>f)</w:t>
      </w:r>
      <w:r w:rsidR="002E1B82" w:rsidRPr="00E338C2">
        <w:rPr>
          <w:i/>
        </w:rPr>
        <w:tab/>
      </w:r>
      <w:r w:rsidR="008563F5" w:rsidRPr="00E338C2">
        <w:rPr>
          <w:i/>
        </w:rPr>
        <w:t>solicitar</w:t>
      </w:r>
      <w:r w:rsidR="002E1B82" w:rsidRPr="00E338C2">
        <w:rPr>
          <w:i/>
        </w:rPr>
        <w:t xml:space="preserve"> a la Oficina Internacional </w:t>
      </w:r>
      <w:r w:rsidR="0090191A">
        <w:rPr>
          <w:i/>
        </w:rPr>
        <w:t xml:space="preserve">que haga </w:t>
      </w:r>
      <w:r w:rsidR="00FC2C55" w:rsidRPr="00E338C2">
        <w:rPr>
          <w:i/>
        </w:rPr>
        <w:t>un</w:t>
      </w:r>
      <w:r w:rsidR="002E1B82" w:rsidRPr="00E338C2">
        <w:rPr>
          <w:i/>
        </w:rPr>
        <w:t xml:space="preserve"> seguimiento de los casos a los que se hace referencia en el párrafo 8.c) y a otros casos futuros que </w:t>
      </w:r>
      <w:r w:rsidR="00FC2C55" w:rsidRPr="00E338C2">
        <w:rPr>
          <w:i/>
        </w:rPr>
        <w:t>puedan</w:t>
      </w:r>
      <w:r w:rsidR="002E1B82" w:rsidRPr="00E338C2">
        <w:rPr>
          <w:i/>
        </w:rPr>
        <w:t xml:space="preserve"> requerir la toma de concienciación y asistencia técnica</w:t>
      </w:r>
      <w:r w:rsidR="002348B0" w:rsidRPr="00E338C2">
        <w:rPr>
          <w:i/>
        </w:rPr>
        <w:t xml:space="preserve">, </w:t>
      </w:r>
      <w:r w:rsidR="0090191A">
        <w:rPr>
          <w:i/>
        </w:rPr>
        <w:t>que proporcione</w:t>
      </w:r>
      <w:r w:rsidR="002E1B82" w:rsidRPr="00E338C2">
        <w:rPr>
          <w:i/>
        </w:rPr>
        <w:t xml:space="preserve"> asistencia técnica según sea necesario </w:t>
      </w:r>
      <w:r w:rsidR="0090191A">
        <w:rPr>
          <w:i/>
        </w:rPr>
        <w:t xml:space="preserve">y que incluya </w:t>
      </w:r>
      <w:r w:rsidR="002E1B82" w:rsidRPr="00E338C2">
        <w:rPr>
          <w:i/>
        </w:rPr>
        <w:t>el resultado en el “Informe de la Oficina Internacional sobre el suministro de asistencia y asesoramiento técnico para fortalecer la capacidad de las oficinas de propiedad industria</w:t>
      </w:r>
      <w:r w:rsidR="0090191A">
        <w:rPr>
          <w:i/>
        </w:rPr>
        <w:t>l</w:t>
      </w:r>
      <w:r w:rsidR="002E1B82" w:rsidRPr="00E338C2">
        <w:rPr>
          <w:i/>
        </w:rPr>
        <w:t>” al CWS</w:t>
      </w:r>
    </w:p>
    <w:p w14:paraId="217EF8FC" w14:textId="77777777" w:rsidR="004F35AA" w:rsidRDefault="004F35AA" w:rsidP="00582E6F">
      <w:pPr>
        <w:pStyle w:val="Endofdocument-Annex"/>
        <w:ind w:left="5387"/>
        <w:rPr>
          <w:lang w:val="es-ES"/>
        </w:rPr>
      </w:pPr>
    </w:p>
    <w:p w14:paraId="2EDE7A82" w14:textId="77777777" w:rsidR="0014786D" w:rsidRPr="00E338C2" w:rsidRDefault="0014786D" w:rsidP="00582E6F">
      <w:pPr>
        <w:pStyle w:val="Endofdocument-Annex"/>
        <w:ind w:left="5387"/>
        <w:rPr>
          <w:lang w:val="es-ES"/>
        </w:rPr>
      </w:pPr>
    </w:p>
    <w:p w14:paraId="0BAD6CAA" w14:textId="280EA917" w:rsidR="00152CEA" w:rsidRPr="0014786D" w:rsidRDefault="004F35AA" w:rsidP="00582E6F">
      <w:pPr>
        <w:pStyle w:val="Endofdocument-Annex"/>
        <w:ind w:left="5387"/>
        <w:rPr>
          <w:lang w:val="es-ES"/>
        </w:rPr>
      </w:pPr>
      <w:r w:rsidRPr="00E338C2">
        <w:rPr>
          <w:lang w:val="es-ES"/>
        </w:rPr>
        <w:t>[Fin del documento]</w:t>
      </w:r>
    </w:p>
    <w:sectPr w:rsidR="00152CEA" w:rsidRPr="0014786D" w:rsidSect="00582E6F">
      <w:headerReference w:type="default" r:id="rId16"/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2BE6C" w14:textId="77777777" w:rsidR="003439F8" w:rsidRDefault="003439F8">
      <w:r>
        <w:separator/>
      </w:r>
    </w:p>
  </w:endnote>
  <w:endnote w:type="continuationSeparator" w:id="0">
    <w:p w14:paraId="273F3888" w14:textId="77777777" w:rsidR="003439F8" w:rsidRPr="009D30E6" w:rsidRDefault="003439F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F688B87" w14:textId="77777777" w:rsidR="003439F8" w:rsidRPr="007E663E" w:rsidRDefault="003439F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C52119B" w14:textId="77777777" w:rsidR="003439F8" w:rsidRPr="007E663E" w:rsidRDefault="003439F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1863B" w14:textId="77777777" w:rsidR="003439F8" w:rsidRDefault="003439F8">
      <w:r>
        <w:separator/>
      </w:r>
    </w:p>
  </w:footnote>
  <w:footnote w:type="continuationSeparator" w:id="0">
    <w:p w14:paraId="48BA0B1E" w14:textId="77777777" w:rsidR="003439F8" w:rsidRPr="009D30E6" w:rsidRDefault="003439F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4495EEF" w14:textId="77777777" w:rsidR="003439F8" w:rsidRPr="007E663E" w:rsidRDefault="003439F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A9BAEC5" w14:textId="77777777" w:rsidR="003439F8" w:rsidRPr="007E663E" w:rsidRDefault="003439F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C3720" w14:textId="77777777" w:rsidR="003439F8" w:rsidRPr="00800148" w:rsidRDefault="003439F8" w:rsidP="004F35AA">
    <w:pPr>
      <w:jc w:val="right"/>
    </w:pPr>
    <w:r w:rsidRPr="00800148">
      <w:rPr>
        <w:lang w:val="es-ES_tradnl"/>
      </w:rPr>
      <w:t>CWS/5/2</w:t>
    </w:r>
  </w:p>
  <w:p w14:paraId="4FFB9EF7" w14:textId="77777777" w:rsidR="003439F8" w:rsidRPr="00800148" w:rsidRDefault="003439F8" w:rsidP="00477D6B">
    <w:pPr>
      <w:jc w:val="right"/>
    </w:pPr>
    <w:r w:rsidRPr="00800148">
      <w:t xml:space="preserve">página </w:t>
    </w:r>
    <w:r w:rsidRPr="00800148">
      <w:fldChar w:fldCharType="begin"/>
    </w:r>
    <w:r w:rsidRPr="00800148">
      <w:instrText xml:space="preserve"> PAGE  \* MERGEFORMAT </w:instrText>
    </w:r>
    <w:r w:rsidRPr="00800148">
      <w:fldChar w:fldCharType="separate"/>
    </w:r>
    <w:r w:rsidR="00C50299">
      <w:rPr>
        <w:noProof/>
      </w:rPr>
      <w:t>6</w:t>
    </w:r>
    <w:r w:rsidRPr="00800148">
      <w:fldChar w:fldCharType="end"/>
    </w:r>
  </w:p>
  <w:p w14:paraId="030E497E" w14:textId="77777777" w:rsidR="003439F8" w:rsidRDefault="003439F8" w:rsidP="00477D6B">
    <w:pPr>
      <w:jc w:val="right"/>
    </w:pPr>
  </w:p>
  <w:p w14:paraId="0DBD851E" w14:textId="77777777" w:rsidR="00582E6F" w:rsidRPr="00800148" w:rsidRDefault="00582E6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EC7E05"/>
    <w:multiLevelType w:val="hybridMultilevel"/>
    <w:tmpl w:val="A282DEB4"/>
    <w:lvl w:ilvl="0" w:tplc="9BBE40F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F8D69DD"/>
    <w:multiLevelType w:val="hybridMultilevel"/>
    <w:tmpl w:val="261C4BD2"/>
    <w:lvl w:ilvl="0" w:tplc="81A05E4C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1C5354"/>
    <w:multiLevelType w:val="multilevel"/>
    <w:tmpl w:val="96162F8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C8D2562"/>
    <w:multiLevelType w:val="hybridMultilevel"/>
    <w:tmpl w:val="D534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5747"/>
    <w:multiLevelType w:val="hybridMultilevel"/>
    <w:tmpl w:val="F3940820"/>
    <w:lvl w:ilvl="0" w:tplc="9BBE40F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Patents &amp; Innovation\Patents Main"/>
    <w:docVar w:name="TextBaseURL" w:val="empty"/>
    <w:docVar w:name="UILng" w:val="en"/>
  </w:docVars>
  <w:rsids>
    <w:rsidRoot w:val="008C73C9"/>
    <w:rsid w:val="00010686"/>
    <w:rsid w:val="00023905"/>
    <w:rsid w:val="00052915"/>
    <w:rsid w:val="00087D85"/>
    <w:rsid w:val="00095F67"/>
    <w:rsid w:val="00096EC5"/>
    <w:rsid w:val="000A6F18"/>
    <w:rsid w:val="000E3BB3"/>
    <w:rsid w:val="000F08C8"/>
    <w:rsid w:val="000F5E56"/>
    <w:rsid w:val="00101DA4"/>
    <w:rsid w:val="00101DFD"/>
    <w:rsid w:val="00133E1A"/>
    <w:rsid w:val="001362EE"/>
    <w:rsid w:val="00142CDB"/>
    <w:rsid w:val="0014786D"/>
    <w:rsid w:val="00152CEA"/>
    <w:rsid w:val="001558A3"/>
    <w:rsid w:val="001620C5"/>
    <w:rsid w:val="001832A6"/>
    <w:rsid w:val="001907B9"/>
    <w:rsid w:val="001C1756"/>
    <w:rsid w:val="001C2BB2"/>
    <w:rsid w:val="001D6804"/>
    <w:rsid w:val="001E53BF"/>
    <w:rsid w:val="001F6D7F"/>
    <w:rsid w:val="001F7FFB"/>
    <w:rsid w:val="00202900"/>
    <w:rsid w:val="00214AD2"/>
    <w:rsid w:val="002348B0"/>
    <w:rsid w:val="00244BFB"/>
    <w:rsid w:val="002634C4"/>
    <w:rsid w:val="002E0F47"/>
    <w:rsid w:val="002E1B82"/>
    <w:rsid w:val="002F1AA3"/>
    <w:rsid w:val="002F4E68"/>
    <w:rsid w:val="002F608B"/>
    <w:rsid w:val="00325848"/>
    <w:rsid w:val="00326B85"/>
    <w:rsid w:val="00331874"/>
    <w:rsid w:val="00343359"/>
    <w:rsid w:val="003439F8"/>
    <w:rsid w:val="00354647"/>
    <w:rsid w:val="00362841"/>
    <w:rsid w:val="00377273"/>
    <w:rsid w:val="00383E6E"/>
    <w:rsid w:val="003845C1"/>
    <w:rsid w:val="00387287"/>
    <w:rsid w:val="00387C23"/>
    <w:rsid w:val="003C753B"/>
    <w:rsid w:val="003E23CA"/>
    <w:rsid w:val="003E2A2C"/>
    <w:rsid w:val="003E48F1"/>
    <w:rsid w:val="003F347A"/>
    <w:rsid w:val="00405068"/>
    <w:rsid w:val="00417478"/>
    <w:rsid w:val="00423E3E"/>
    <w:rsid w:val="00427AF4"/>
    <w:rsid w:val="0045231F"/>
    <w:rsid w:val="00462D54"/>
    <w:rsid w:val="004647DA"/>
    <w:rsid w:val="0046793F"/>
    <w:rsid w:val="00470D65"/>
    <w:rsid w:val="00477808"/>
    <w:rsid w:val="00477D6B"/>
    <w:rsid w:val="004A5067"/>
    <w:rsid w:val="004A6C37"/>
    <w:rsid w:val="004B43DE"/>
    <w:rsid w:val="004E297D"/>
    <w:rsid w:val="004E4FD2"/>
    <w:rsid w:val="004E6B50"/>
    <w:rsid w:val="004F35AA"/>
    <w:rsid w:val="004F55CF"/>
    <w:rsid w:val="005168CB"/>
    <w:rsid w:val="00531B02"/>
    <w:rsid w:val="005332F0"/>
    <w:rsid w:val="0055013B"/>
    <w:rsid w:val="00566EE0"/>
    <w:rsid w:val="00571ABF"/>
    <w:rsid w:val="00571B99"/>
    <w:rsid w:val="005744D7"/>
    <w:rsid w:val="00582E6F"/>
    <w:rsid w:val="00591064"/>
    <w:rsid w:val="005B474E"/>
    <w:rsid w:val="005E7F3F"/>
    <w:rsid w:val="005F5E21"/>
    <w:rsid w:val="00605827"/>
    <w:rsid w:val="00621BC6"/>
    <w:rsid w:val="00625CE1"/>
    <w:rsid w:val="00675021"/>
    <w:rsid w:val="006A06C6"/>
    <w:rsid w:val="006B4474"/>
    <w:rsid w:val="006B7EB6"/>
    <w:rsid w:val="006D3B14"/>
    <w:rsid w:val="006D6ECF"/>
    <w:rsid w:val="007101B7"/>
    <w:rsid w:val="00716DB4"/>
    <w:rsid w:val="007224C8"/>
    <w:rsid w:val="00723A2E"/>
    <w:rsid w:val="0072673D"/>
    <w:rsid w:val="00740BF7"/>
    <w:rsid w:val="0074398F"/>
    <w:rsid w:val="007749CB"/>
    <w:rsid w:val="00794BE2"/>
    <w:rsid w:val="007A5581"/>
    <w:rsid w:val="007B01D7"/>
    <w:rsid w:val="007B08DF"/>
    <w:rsid w:val="007B1F46"/>
    <w:rsid w:val="007B59CB"/>
    <w:rsid w:val="007B71FE"/>
    <w:rsid w:val="007D31AE"/>
    <w:rsid w:val="007D781E"/>
    <w:rsid w:val="007E5700"/>
    <w:rsid w:val="007E663E"/>
    <w:rsid w:val="00800148"/>
    <w:rsid w:val="008142B5"/>
    <w:rsid w:val="00815082"/>
    <w:rsid w:val="00827F64"/>
    <w:rsid w:val="00830204"/>
    <w:rsid w:val="00847EBC"/>
    <w:rsid w:val="008563F5"/>
    <w:rsid w:val="00867083"/>
    <w:rsid w:val="0088395E"/>
    <w:rsid w:val="00884E59"/>
    <w:rsid w:val="008B2CC1"/>
    <w:rsid w:val="008C73C9"/>
    <w:rsid w:val="008D0DB8"/>
    <w:rsid w:val="008D6F2B"/>
    <w:rsid w:val="008E6BD6"/>
    <w:rsid w:val="008F366E"/>
    <w:rsid w:val="0090191A"/>
    <w:rsid w:val="0090731E"/>
    <w:rsid w:val="00966A22"/>
    <w:rsid w:val="00967BC9"/>
    <w:rsid w:val="00972F03"/>
    <w:rsid w:val="009A0C8B"/>
    <w:rsid w:val="009A20CD"/>
    <w:rsid w:val="009B6241"/>
    <w:rsid w:val="009F58BD"/>
    <w:rsid w:val="00A16FC0"/>
    <w:rsid w:val="00A202BE"/>
    <w:rsid w:val="00A32C9E"/>
    <w:rsid w:val="00A77BED"/>
    <w:rsid w:val="00AA4CEE"/>
    <w:rsid w:val="00AB4B22"/>
    <w:rsid w:val="00AB613D"/>
    <w:rsid w:val="00AB6785"/>
    <w:rsid w:val="00AC4CEB"/>
    <w:rsid w:val="00AC7ABB"/>
    <w:rsid w:val="00AD0EAE"/>
    <w:rsid w:val="00AE7F20"/>
    <w:rsid w:val="00AF1C3A"/>
    <w:rsid w:val="00B212F4"/>
    <w:rsid w:val="00B534D5"/>
    <w:rsid w:val="00B65A0A"/>
    <w:rsid w:val="00B67CDC"/>
    <w:rsid w:val="00B72D36"/>
    <w:rsid w:val="00B802A7"/>
    <w:rsid w:val="00B802F6"/>
    <w:rsid w:val="00B847B2"/>
    <w:rsid w:val="00B94976"/>
    <w:rsid w:val="00BC4164"/>
    <w:rsid w:val="00BD2DCC"/>
    <w:rsid w:val="00BF2AA6"/>
    <w:rsid w:val="00C11437"/>
    <w:rsid w:val="00C13B1B"/>
    <w:rsid w:val="00C206D0"/>
    <w:rsid w:val="00C2358C"/>
    <w:rsid w:val="00C4015E"/>
    <w:rsid w:val="00C50299"/>
    <w:rsid w:val="00C57AF2"/>
    <w:rsid w:val="00C80AAC"/>
    <w:rsid w:val="00C80C22"/>
    <w:rsid w:val="00C90559"/>
    <w:rsid w:val="00C94971"/>
    <w:rsid w:val="00CA2251"/>
    <w:rsid w:val="00CA39EB"/>
    <w:rsid w:val="00CC57B8"/>
    <w:rsid w:val="00D25676"/>
    <w:rsid w:val="00D36382"/>
    <w:rsid w:val="00D50113"/>
    <w:rsid w:val="00D56C7C"/>
    <w:rsid w:val="00D61556"/>
    <w:rsid w:val="00D71B4D"/>
    <w:rsid w:val="00D74B2A"/>
    <w:rsid w:val="00D90289"/>
    <w:rsid w:val="00D93D55"/>
    <w:rsid w:val="00DB0E4D"/>
    <w:rsid w:val="00DB2033"/>
    <w:rsid w:val="00DB3874"/>
    <w:rsid w:val="00DC4C60"/>
    <w:rsid w:val="00E0079A"/>
    <w:rsid w:val="00E338C2"/>
    <w:rsid w:val="00E425DE"/>
    <w:rsid w:val="00E42989"/>
    <w:rsid w:val="00E444DA"/>
    <w:rsid w:val="00E45C84"/>
    <w:rsid w:val="00E504E5"/>
    <w:rsid w:val="00E54A31"/>
    <w:rsid w:val="00E7625B"/>
    <w:rsid w:val="00E96B57"/>
    <w:rsid w:val="00EB7A3E"/>
    <w:rsid w:val="00EB7BD5"/>
    <w:rsid w:val="00EC401A"/>
    <w:rsid w:val="00ED2884"/>
    <w:rsid w:val="00EF3921"/>
    <w:rsid w:val="00EF530A"/>
    <w:rsid w:val="00EF6622"/>
    <w:rsid w:val="00EF78A9"/>
    <w:rsid w:val="00F00596"/>
    <w:rsid w:val="00F12434"/>
    <w:rsid w:val="00F27005"/>
    <w:rsid w:val="00F55408"/>
    <w:rsid w:val="00F65A2D"/>
    <w:rsid w:val="00F66152"/>
    <w:rsid w:val="00F70FE2"/>
    <w:rsid w:val="00F80845"/>
    <w:rsid w:val="00F84474"/>
    <w:rsid w:val="00FA0F0D"/>
    <w:rsid w:val="00FC14AA"/>
    <w:rsid w:val="00FC2C55"/>
    <w:rsid w:val="00FD480C"/>
    <w:rsid w:val="00FD59D1"/>
    <w:rsid w:val="00FE1519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824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2348B0"/>
    <w:rPr>
      <w:color w:val="0000FF" w:themeColor="hyperlink"/>
      <w:u w:val="single"/>
    </w:rPr>
  </w:style>
  <w:style w:type="table" w:styleId="TableGrid">
    <w:name w:val="Table Grid"/>
    <w:basedOn w:val="TableNormal"/>
    <w:rsid w:val="0023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8142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2348B0"/>
    <w:rPr>
      <w:color w:val="0000FF" w:themeColor="hyperlink"/>
      <w:u w:val="single"/>
    </w:rPr>
  </w:style>
  <w:style w:type="table" w:styleId="TableGrid">
    <w:name w:val="Table Grid"/>
    <w:basedOn w:val="TableNormal"/>
    <w:rsid w:val="0023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814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confluence/x/MALD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ws.surveys@wipo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confluence/x/OALDB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yperlink" Target="https://www3.wipo.int/confluence/x/OADD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Sheet1!$A$3:$A$5</c:f>
              <c:strCache>
                <c:ptCount val="3"/>
                <c:pt idx="0">
                  <c:v>Standards related to outdated technologies (sub-paragraph 8(a))</c:v>
                </c:pt>
                <c:pt idx="1">
                  <c:v>Administrative constraints (sub-paragraph 8(b))</c:v>
                </c:pt>
                <c:pt idx="2">
                  <c:v>Awareness and technical assistance required (sub-paragraph 8(c))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20</c:v>
                </c:pt>
                <c:pt idx="1">
                  <c:v>23</c:v>
                </c:pt>
                <c:pt idx="2">
                  <c:v>4</c:v>
                </c:pt>
              </c:numCache>
            </c:numRef>
          </c:val>
        </c:ser>
        <c:dLbls>
          <c:dLblPos val="ctr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34DA-30F1-44D5-AF05-94E2A717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1918</Words>
  <Characters>10934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CWS/5/2</vt:lpstr>
      <vt:lpstr>CWS/5/2</vt:lpstr>
    </vt:vector>
  </TitlesOfParts>
  <Company>WIPO</Company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 (in Spanish)</dc:title>
  <dc:subject>Report on the Survey on the Use of WIPO Standards</dc:subject>
  <dc:creator>WIPO</dc:creator>
  <cp:keywords>CWS</cp:keywords>
  <dc:description/>
  <cp:lastModifiedBy>ZAGO Bétina</cp:lastModifiedBy>
  <cp:revision>10</cp:revision>
  <dcterms:created xsi:type="dcterms:W3CDTF">2017-04-28T09:26:00Z</dcterms:created>
  <dcterms:modified xsi:type="dcterms:W3CDTF">2017-04-28T12:28:00Z</dcterms:modified>
</cp:coreProperties>
</file>