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B666B" w:rsidTr="0088395E">
        <w:tc>
          <w:tcPr>
            <w:tcW w:w="4513" w:type="dxa"/>
            <w:tcBorders>
              <w:bottom w:val="single" w:sz="4" w:space="0" w:color="auto"/>
            </w:tcBorders>
            <w:tcMar>
              <w:bottom w:w="170" w:type="dxa"/>
            </w:tcMar>
          </w:tcPr>
          <w:p w:rsidR="00E504E5" w:rsidRPr="00CB666B" w:rsidRDefault="00E504E5" w:rsidP="00AB613D"/>
        </w:tc>
        <w:tc>
          <w:tcPr>
            <w:tcW w:w="4337" w:type="dxa"/>
            <w:tcBorders>
              <w:bottom w:val="single" w:sz="4" w:space="0" w:color="auto"/>
            </w:tcBorders>
            <w:tcMar>
              <w:left w:w="0" w:type="dxa"/>
              <w:right w:w="0" w:type="dxa"/>
            </w:tcMar>
          </w:tcPr>
          <w:p w:rsidR="00E504E5" w:rsidRPr="00CB666B" w:rsidRDefault="001F7FFB" w:rsidP="00AB613D">
            <w:r w:rsidRPr="00CB666B">
              <w:rPr>
                <w:noProof/>
                <w:lang w:val="en-US" w:eastAsia="en-US"/>
              </w:rPr>
              <w:drawing>
                <wp:inline distT="0" distB="0" distL="0" distR="0" wp14:anchorId="76BEA90C" wp14:editId="0B6824C1">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B666B" w:rsidRDefault="00E504E5" w:rsidP="00AB613D">
            <w:pPr>
              <w:jc w:val="right"/>
            </w:pPr>
            <w:r w:rsidRPr="00CB666B">
              <w:rPr>
                <w:b/>
                <w:sz w:val="40"/>
                <w:szCs w:val="40"/>
              </w:rPr>
              <w:t>S</w:t>
            </w:r>
          </w:p>
        </w:tc>
      </w:tr>
      <w:tr w:rsidR="008B2CC1" w:rsidRPr="00CB666B"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CB666B" w:rsidRDefault="001F7FFB" w:rsidP="00AB613D">
            <w:pPr>
              <w:jc w:val="right"/>
              <w:rPr>
                <w:rFonts w:ascii="Arial Black" w:hAnsi="Arial Black"/>
                <w:caps/>
                <w:sz w:val="15"/>
              </w:rPr>
            </w:pPr>
            <w:r w:rsidRPr="00CB666B">
              <w:rPr>
                <w:rFonts w:ascii="Arial Black" w:hAnsi="Arial Black"/>
                <w:caps/>
                <w:sz w:val="15"/>
              </w:rPr>
              <w:t>CWS/5/</w:t>
            </w:r>
            <w:r w:rsidR="008A02ED" w:rsidRPr="00CB666B">
              <w:rPr>
                <w:rFonts w:ascii="Arial Black" w:hAnsi="Arial Black"/>
                <w:caps/>
                <w:sz w:val="15"/>
              </w:rPr>
              <w:t>10</w:t>
            </w:r>
          </w:p>
        </w:tc>
      </w:tr>
      <w:tr w:rsidR="008B2CC1" w:rsidRPr="00CB666B" w:rsidTr="00AB613D">
        <w:trPr>
          <w:trHeight w:hRule="exact" w:val="170"/>
        </w:trPr>
        <w:tc>
          <w:tcPr>
            <w:tcW w:w="9356" w:type="dxa"/>
            <w:gridSpan w:val="3"/>
            <w:noWrap/>
            <w:tcMar>
              <w:left w:w="0" w:type="dxa"/>
              <w:right w:w="0" w:type="dxa"/>
            </w:tcMar>
            <w:vAlign w:val="bottom"/>
          </w:tcPr>
          <w:p w:rsidR="008B2CC1" w:rsidRPr="00CB666B" w:rsidRDefault="008B2CC1" w:rsidP="0046793F">
            <w:pPr>
              <w:jc w:val="right"/>
              <w:rPr>
                <w:rFonts w:ascii="Arial Black" w:hAnsi="Arial Black"/>
                <w:caps/>
                <w:sz w:val="15"/>
              </w:rPr>
            </w:pPr>
            <w:r w:rsidRPr="00CB666B">
              <w:rPr>
                <w:rFonts w:ascii="Arial Black" w:hAnsi="Arial Black"/>
                <w:caps/>
                <w:sz w:val="15"/>
              </w:rPr>
              <w:t>ORIGINAL:</w:t>
            </w:r>
            <w:r w:rsidR="009A20CD" w:rsidRPr="00CB666B">
              <w:rPr>
                <w:rFonts w:ascii="Arial Black" w:hAnsi="Arial Black"/>
                <w:caps/>
                <w:sz w:val="15"/>
              </w:rPr>
              <w:t xml:space="preserve">  </w:t>
            </w:r>
            <w:r w:rsidR="008A02ED" w:rsidRPr="00CB666B">
              <w:rPr>
                <w:rFonts w:ascii="Arial Black" w:hAnsi="Arial Black"/>
                <w:caps/>
                <w:sz w:val="15"/>
              </w:rPr>
              <w:t>INGLÉS</w:t>
            </w:r>
            <w:r w:rsidRPr="00CB666B">
              <w:rPr>
                <w:rFonts w:ascii="Arial Black" w:hAnsi="Arial Black"/>
                <w:caps/>
                <w:sz w:val="15"/>
              </w:rPr>
              <w:t xml:space="preserve"> </w:t>
            </w:r>
          </w:p>
        </w:tc>
      </w:tr>
      <w:tr w:rsidR="008B2CC1" w:rsidRPr="00CB666B" w:rsidTr="00AB613D">
        <w:trPr>
          <w:trHeight w:hRule="exact" w:val="198"/>
        </w:trPr>
        <w:tc>
          <w:tcPr>
            <w:tcW w:w="9356" w:type="dxa"/>
            <w:gridSpan w:val="3"/>
            <w:tcMar>
              <w:left w:w="0" w:type="dxa"/>
              <w:right w:w="0" w:type="dxa"/>
            </w:tcMar>
            <w:vAlign w:val="bottom"/>
          </w:tcPr>
          <w:p w:rsidR="008B2CC1" w:rsidRPr="00CB666B" w:rsidRDefault="00675021" w:rsidP="0046793F">
            <w:pPr>
              <w:jc w:val="right"/>
              <w:rPr>
                <w:rFonts w:ascii="Arial Black" w:hAnsi="Arial Black"/>
                <w:caps/>
                <w:sz w:val="15"/>
              </w:rPr>
            </w:pPr>
            <w:r w:rsidRPr="00CB666B">
              <w:rPr>
                <w:rFonts w:ascii="Arial Black" w:hAnsi="Arial Black"/>
                <w:caps/>
                <w:sz w:val="15"/>
              </w:rPr>
              <w:t>fecha</w:t>
            </w:r>
            <w:r w:rsidR="008B2CC1" w:rsidRPr="00CB666B">
              <w:rPr>
                <w:rFonts w:ascii="Arial Black" w:hAnsi="Arial Black"/>
                <w:caps/>
                <w:sz w:val="15"/>
              </w:rPr>
              <w:t>:</w:t>
            </w:r>
            <w:r w:rsidR="009A20CD" w:rsidRPr="00CB666B">
              <w:rPr>
                <w:rFonts w:ascii="Arial Black" w:hAnsi="Arial Black"/>
                <w:caps/>
                <w:sz w:val="15"/>
              </w:rPr>
              <w:t xml:space="preserve">  </w:t>
            </w:r>
            <w:r w:rsidR="008A02ED" w:rsidRPr="00CB666B">
              <w:rPr>
                <w:rFonts w:ascii="Arial Black" w:hAnsi="Arial Black"/>
                <w:caps/>
                <w:sz w:val="15"/>
              </w:rPr>
              <w:t>4 DE ABRIL DE 2017</w:t>
            </w:r>
            <w:r w:rsidR="008B2CC1" w:rsidRPr="00CB666B">
              <w:rPr>
                <w:rFonts w:ascii="Arial Black" w:hAnsi="Arial Black"/>
                <w:caps/>
                <w:sz w:val="15"/>
              </w:rPr>
              <w:t xml:space="preserve"> </w:t>
            </w:r>
          </w:p>
        </w:tc>
      </w:tr>
    </w:tbl>
    <w:p w:rsidR="008B2CC1" w:rsidRPr="00CB666B" w:rsidRDefault="008B2CC1" w:rsidP="008B2CC1"/>
    <w:p w:rsidR="008B2CC1" w:rsidRPr="00CB666B" w:rsidRDefault="008B2CC1" w:rsidP="008B2CC1"/>
    <w:p w:rsidR="008B2CC1" w:rsidRPr="00CB666B" w:rsidRDefault="008B2CC1" w:rsidP="008B2CC1"/>
    <w:p w:rsidR="008B2CC1" w:rsidRPr="00CB666B" w:rsidRDefault="008B2CC1" w:rsidP="008B2CC1"/>
    <w:p w:rsidR="008B2CC1" w:rsidRPr="00CB666B" w:rsidRDefault="008B2CC1" w:rsidP="008B2CC1"/>
    <w:p w:rsidR="00B67CDC" w:rsidRPr="00CB666B" w:rsidRDefault="001F7FFB" w:rsidP="00B67CDC">
      <w:pPr>
        <w:rPr>
          <w:b/>
          <w:sz w:val="28"/>
          <w:szCs w:val="28"/>
        </w:rPr>
      </w:pPr>
      <w:r w:rsidRPr="00CB666B">
        <w:rPr>
          <w:b/>
          <w:sz w:val="28"/>
          <w:szCs w:val="28"/>
        </w:rPr>
        <w:t>Comité de Normas Técnicas de la OMPI (CWS)</w:t>
      </w:r>
    </w:p>
    <w:p w:rsidR="003845C1" w:rsidRPr="00CB666B" w:rsidRDefault="003845C1" w:rsidP="003845C1"/>
    <w:p w:rsidR="003845C1" w:rsidRPr="00CB666B" w:rsidRDefault="003845C1" w:rsidP="003845C1"/>
    <w:p w:rsidR="001F7FFB" w:rsidRPr="00CB666B" w:rsidRDefault="001F7FFB" w:rsidP="001F7FFB">
      <w:pPr>
        <w:rPr>
          <w:b/>
          <w:sz w:val="24"/>
          <w:szCs w:val="24"/>
        </w:rPr>
      </w:pPr>
      <w:r w:rsidRPr="00CB666B">
        <w:rPr>
          <w:b/>
          <w:sz w:val="24"/>
          <w:szCs w:val="24"/>
        </w:rPr>
        <w:t xml:space="preserve">Quinta </w:t>
      </w:r>
      <w:r w:rsidR="004E6197">
        <w:rPr>
          <w:b/>
          <w:sz w:val="24"/>
          <w:szCs w:val="24"/>
        </w:rPr>
        <w:t>S</w:t>
      </w:r>
      <w:r w:rsidRPr="00CB666B">
        <w:rPr>
          <w:b/>
          <w:sz w:val="24"/>
          <w:szCs w:val="24"/>
        </w:rPr>
        <w:t>esión</w:t>
      </w:r>
    </w:p>
    <w:p w:rsidR="00B67CDC" w:rsidRPr="00CB666B" w:rsidRDefault="00716DB4" w:rsidP="001F7FFB">
      <w:pPr>
        <w:rPr>
          <w:b/>
          <w:sz w:val="24"/>
          <w:szCs w:val="24"/>
        </w:rPr>
      </w:pPr>
      <w:r w:rsidRPr="00CB666B">
        <w:rPr>
          <w:b/>
          <w:sz w:val="24"/>
          <w:szCs w:val="24"/>
        </w:rPr>
        <w:t>Ginebra, 29 de mayo a 2 de junio de 2017</w:t>
      </w:r>
    </w:p>
    <w:p w:rsidR="008B2CC1" w:rsidRPr="00CB666B" w:rsidRDefault="008B2CC1" w:rsidP="008B2CC1"/>
    <w:p w:rsidR="008B2CC1" w:rsidRPr="00CB666B" w:rsidRDefault="008B2CC1" w:rsidP="008B2CC1"/>
    <w:p w:rsidR="00442CEA" w:rsidRPr="00CB666B" w:rsidRDefault="00442CEA" w:rsidP="008A02ED">
      <w:pPr>
        <w:rPr>
          <w:caps/>
          <w:sz w:val="24"/>
        </w:rPr>
      </w:pPr>
      <w:r w:rsidRPr="00CB666B">
        <w:rPr>
          <w:caps/>
          <w:sz w:val="24"/>
        </w:rPr>
        <w:t>INFORME SOBRE LA PREPARACIÓN DE UNA NUEVA NORMA TÉCNICA DE LA OMPI RELATIVA A LA GESTIÓN ELECTRÓNICA DE LAS MARCAS ANIMADAS O MULTIMEDIA</w:t>
      </w:r>
    </w:p>
    <w:p w:rsidR="008A02ED" w:rsidRPr="004E6197" w:rsidRDefault="008A02ED" w:rsidP="008A02ED">
      <w:pPr>
        <w:rPr>
          <w:caps/>
        </w:rPr>
      </w:pPr>
    </w:p>
    <w:p w:rsidR="008A02ED" w:rsidRPr="004E6197" w:rsidRDefault="008A02ED" w:rsidP="008A02ED">
      <w:pPr>
        <w:rPr>
          <w:caps/>
        </w:rPr>
      </w:pPr>
    </w:p>
    <w:p w:rsidR="008A02ED" w:rsidRPr="00CB666B" w:rsidRDefault="00442CEA" w:rsidP="008A02ED">
      <w:pPr>
        <w:rPr>
          <w:i/>
        </w:rPr>
      </w:pPr>
      <w:r w:rsidRPr="00CB666B">
        <w:rPr>
          <w:i/>
        </w:rPr>
        <w:t>Documento preparado por la Secretaría</w:t>
      </w:r>
    </w:p>
    <w:p w:rsidR="008A02ED" w:rsidRPr="00CB666B" w:rsidRDefault="008A02ED" w:rsidP="008A02ED"/>
    <w:p w:rsidR="008A02ED" w:rsidRPr="00CB666B" w:rsidRDefault="008A02ED" w:rsidP="008A02ED"/>
    <w:p w:rsidR="008A02ED" w:rsidRPr="004E6197" w:rsidRDefault="008A02ED" w:rsidP="008A02ED">
      <w:pPr>
        <w:rPr>
          <w:szCs w:val="22"/>
        </w:rPr>
      </w:pPr>
    </w:p>
    <w:p w:rsidR="008A02ED" w:rsidRPr="004E6197" w:rsidRDefault="008A02ED" w:rsidP="008A02ED">
      <w:pPr>
        <w:rPr>
          <w:caps/>
          <w:szCs w:val="22"/>
        </w:rPr>
      </w:pPr>
    </w:p>
    <w:p w:rsidR="004E6197" w:rsidRPr="004E6197" w:rsidRDefault="004E6197" w:rsidP="008A02ED">
      <w:pPr>
        <w:rPr>
          <w:caps/>
          <w:szCs w:val="22"/>
        </w:rPr>
      </w:pPr>
    </w:p>
    <w:p w:rsidR="00D57714" w:rsidRPr="00CB666B" w:rsidRDefault="00D57714" w:rsidP="008A02ED">
      <w:pPr>
        <w:pStyle w:val="ONUME"/>
      </w:pPr>
      <w:r w:rsidRPr="00CB666B">
        <w:t xml:space="preserve">Durante la reanudación de su cuarta sesión, celebrada del 21 al 24 de marzo de 2016, el Comité de Normas Técnicas de la OMPI (CWS) tomó nota de los resultados del debate del Equipo Técnico de Normas sobre Marcas, en particular, de la necesidad de realizar un seguimiento de los avances en el ámbito de la gestión electrónica de las marcas animadas y multimedia. </w:t>
      </w:r>
      <w:r w:rsidR="006F4E67" w:rsidRPr="00CB666B">
        <w:t xml:space="preserve"> </w:t>
      </w:r>
      <w:r w:rsidRPr="00CB666B">
        <w:t>El CWS pidió al Equipo Técnico que inform</w:t>
      </w:r>
      <w:r w:rsidR="007740FE">
        <w:t>ara</w:t>
      </w:r>
      <w:r w:rsidRPr="00CB666B">
        <w:t xml:space="preserve"> de los avances en la preparación de la recomendación en el marco de la Tarea Nº 49 en su </w:t>
      </w:r>
      <w:r w:rsidR="00A34CD0" w:rsidRPr="00CB666B">
        <w:t>quinta</w:t>
      </w:r>
      <w:r w:rsidRPr="00CB666B">
        <w:t xml:space="preserve"> sesión (véanse los párrafos </w:t>
      </w:r>
      <w:r w:rsidR="00CB666B" w:rsidRPr="00CB666B">
        <w:t>88 y </w:t>
      </w:r>
      <w:r w:rsidRPr="00CB666B">
        <w:t>89</w:t>
      </w:r>
      <w:r w:rsidR="00AD26EF" w:rsidRPr="00CB666B">
        <w:t xml:space="preserve"> del documento CWS/4BIS/16</w:t>
      </w:r>
      <w:r w:rsidR="001A7B28">
        <w:t>).</w:t>
      </w:r>
    </w:p>
    <w:p w:rsidR="00AD26EF" w:rsidRPr="00CB666B" w:rsidRDefault="00AD26EF" w:rsidP="00AD26EF">
      <w:pPr>
        <w:pStyle w:val="ONUME"/>
      </w:pPr>
      <w:r w:rsidRPr="00CB666B">
        <w:t xml:space="preserve">En julio de 2016, el Equipo Técnico de Normas sobre Marcas realizó una encuesta </w:t>
      </w:r>
      <w:r w:rsidR="007740FE">
        <w:t>entre</w:t>
      </w:r>
      <w:r w:rsidRPr="00CB666B">
        <w:t xml:space="preserve"> sus miembros acerca de las prácticas relativas a las marcas animadas y multimedia. </w:t>
      </w:r>
      <w:r w:rsidR="006F4E67" w:rsidRPr="00CB666B">
        <w:t xml:space="preserve"> </w:t>
      </w:r>
      <w:r w:rsidRPr="00CB666B">
        <w:t xml:space="preserve">En el Anexo </w:t>
      </w:r>
      <w:r w:rsidR="00AE5217" w:rsidRPr="00CB666B">
        <w:t>de</w:t>
      </w:r>
      <w:r w:rsidRPr="00CB666B">
        <w:t>l presente documento figura un resumen de</w:t>
      </w:r>
      <w:r w:rsidR="00CB666B">
        <w:t xml:space="preserve"> los resultados de la encuesta.</w:t>
      </w:r>
    </w:p>
    <w:p w:rsidR="00AD26EF" w:rsidRPr="00CB666B" w:rsidRDefault="00AD26EF" w:rsidP="008A02ED">
      <w:pPr>
        <w:pStyle w:val="ONUME"/>
      </w:pPr>
      <w:r w:rsidRPr="00CB666B">
        <w:t xml:space="preserve">El Equipo Técnico también </w:t>
      </w:r>
      <w:r w:rsidR="00FC04AF" w:rsidRPr="00CB666B">
        <w:t>revisó</w:t>
      </w:r>
      <w:r w:rsidRPr="00CB666B">
        <w:t xml:space="preserve"> la definición de “marca multimedia”, en particular, </w:t>
      </w:r>
      <w:r w:rsidR="00D73F6E" w:rsidRPr="00CB666B">
        <w:t xml:space="preserve">si </w:t>
      </w:r>
      <w:r w:rsidR="006F4E67" w:rsidRPr="00CB666B">
        <w:t xml:space="preserve">esa denominación </w:t>
      </w:r>
      <w:r w:rsidRPr="00CB666B">
        <w:t xml:space="preserve">debería </w:t>
      </w:r>
      <w:r w:rsidR="006F4E67" w:rsidRPr="00CB666B">
        <w:t>limitarse a</w:t>
      </w:r>
      <w:r w:rsidRPr="00CB666B">
        <w:t xml:space="preserve"> la combinación de movimiento y sonido</w:t>
      </w:r>
      <w:r w:rsidR="00D73F6E" w:rsidRPr="00CB666B">
        <w:t>, o si podría incluir otros elementos.</w:t>
      </w:r>
    </w:p>
    <w:p w:rsidR="00AE5217" w:rsidRPr="00CB666B" w:rsidRDefault="00CB666B" w:rsidP="008A02ED">
      <w:pPr>
        <w:pStyle w:val="ONUME"/>
      </w:pPr>
      <w:r w:rsidRPr="00CB666B">
        <w:t>Algun</w:t>
      </w:r>
      <w:r>
        <w:t>o</w:t>
      </w:r>
      <w:r w:rsidRPr="00CB666B">
        <w:t>s</w:t>
      </w:r>
      <w:r w:rsidR="00AE5217" w:rsidRPr="00CB666B">
        <w:t xml:space="preserve"> miembros del Equipo Técnico propusieron </w:t>
      </w:r>
      <w:r w:rsidR="009D28D3" w:rsidRPr="00CB666B">
        <w:t>aplazar</w:t>
      </w:r>
      <w:r w:rsidR="00AE5217" w:rsidRPr="00CB666B">
        <w:t xml:space="preserve"> la formulación de recomendaciones sobre la gestión electrónica de las marcas animadas </w:t>
      </w:r>
      <w:r w:rsidR="006F4E67" w:rsidRPr="00CB666B">
        <w:t>y</w:t>
      </w:r>
      <w:r w:rsidR="00AE5217" w:rsidRPr="00CB666B">
        <w:t xml:space="preserve"> multimedia hasta </w:t>
      </w:r>
      <w:r w:rsidR="006F4E67" w:rsidRPr="00CB666B">
        <w:t xml:space="preserve">que las oficinas de propiedad industrial </w:t>
      </w:r>
      <w:r w:rsidR="007740FE">
        <w:t>interesadas</w:t>
      </w:r>
      <w:r w:rsidR="006F4E67" w:rsidRPr="00CB666B">
        <w:t xml:space="preserve"> apliquen</w:t>
      </w:r>
      <w:r w:rsidR="007740FE">
        <w:t xml:space="preserve"> la Directiva Nº 2008/95/</w:t>
      </w:r>
      <w:r w:rsidR="00AE5217" w:rsidRPr="00CB666B">
        <w:t>C</w:t>
      </w:r>
      <w:r w:rsidR="007740FE">
        <w:t>E</w:t>
      </w:r>
      <w:r w:rsidRPr="00CB666B">
        <w:t>, de </w:t>
      </w:r>
      <w:r w:rsidR="00AE5217" w:rsidRPr="00CB666B">
        <w:t xml:space="preserve">22 de octubre de </w:t>
      </w:r>
      <w:r w:rsidR="006F4E67" w:rsidRPr="00CB666B">
        <w:t>2008</w:t>
      </w:r>
      <w:r w:rsidR="00AE5217" w:rsidRPr="00CB666B">
        <w:t xml:space="preserve">. </w:t>
      </w:r>
      <w:r w:rsidR="001A7B28">
        <w:t xml:space="preserve"> </w:t>
      </w:r>
      <w:r w:rsidR="00AD2FC3" w:rsidRPr="00CB666B">
        <w:t xml:space="preserve">La </w:t>
      </w:r>
      <w:r w:rsidR="00FC04AF" w:rsidRPr="00CB666B">
        <w:t xml:space="preserve">aplicación </w:t>
      </w:r>
      <w:r w:rsidR="00AD2FC3" w:rsidRPr="00CB666B">
        <w:t xml:space="preserve">de esta directiva </w:t>
      </w:r>
      <w:r w:rsidR="00FC04AF" w:rsidRPr="00CB666B">
        <w:t xml:space="preserve">está prevista en </w:t>
      </w:r>
      <w:r w:rsidR="00B01777">
        <w:t>2019 (véanse los párrafos 2 a </w:t>
      </w:r>
      <w:r w:rsidR="00AE5217" w:rsidRPr="00CB666B">
        <w:t xml:space="preserve">10.a) del Anexo del presente documento). </w:t>
      </w:r>
      <w:r w:rsidR="006F4E67" w:rsidRPr="00CB666B">
        <w:t xml:space="preserve"> </w:t>
      </w:r>
      <w:r w:rsidR="00A262AB" w:rsidRPr="00CB666B">
        <w:t>Teniendo en cuenta</w:t>
      </w:r>
      <w:r w:rsidR="00AE5217" w:rsidRPr="00CB666B">
        <w:t xml:space="preserve"> la </w:t>
      </w:r>
      <w:r w:rsidR="00A262AB" w:rsidRPr="00CB666B">
        <w:t>falta de</w:t>
      </w:r>
      <w:r w:rsidR="00AE5217" w:rsidRPr="00CB666B">
        <w:t xml:space="preserve"> experiencia en materia de marcas anima</w:t>
      </w:r>
      <w:r w:rsidR="006F4E67" w:rsidRPr="00CB666B">
        <w:t>da</w:t>
      </w:r>
      <w:r w:rsidR="00AE5217" w:rsidRPr="00CB666B">
        <w:t>s y multimedia (véase el párrafo 3 del Anexo del presente documento), otros miembros del Equipo Técnico no se opusieron a la propuesta.</w:t>
      </w:r>
    </w:p>
    <w:p w:rsidR="008A02ED" w:rsidRPr="00CB666B" w:rsidRDefault="00591171" w:rsidP="008A02ED">
      <w:pPr>
        <w:pStyle w:val="ONUME"/>
        <w:ind w:left="5529" w:firstLine="7"/>
        <w:rPr>
          <w:i/>
        </w:rPr>
      </w:pPr>
      <w:r w:rsidRPr="00CB666B">
        <w:rPr>
          <w:i/>
        </w:rPr>
        <w:lastRenderedPageBreak/>
        <w:t>Se invita al CWS a:</w:t>
      </w:r>
    </w:p>
    <w:p w:rsidR="008A02ED" w:rsidRPr="00CB666B" w:rsidRDefault="008A02ED" w:rsidP="008A02ED">
      <w:pPr>
        <w:pStyle w:val="ONUME"/>
        <w:numPr>
          <w:ilvl w:val="0"/>
          <w:numId w:val="0"/>
        </w:numPr>
        <w:ind w:left="5531" w:firstLine="565"/>
        <w:rPr>
          <w:i/>
        </w:rPr>
      </w:pPr>
      <w:r w:rsidRPr="00CB666B">
        <w:rPr>
          <w:i/>
        </w:rPr>
        <w:t>a)</w:t>
      </w:r>
      <w:r w:rsidRPr="00CB666B">
        <w:rPr>
          <w:i/>
        </w:rPr>
        <w:tab/>
      </w:r>
      <w:r w:rsidR="00591171" w:rsidRPr="00CB666B">
        <w:rPr>
          <w:i/>
        </w:rPr>
        <w:t xml:space="preserve">tomar nota del contenido </w:t>
      </w:r>
      <w:r w:rsidR="00DE2C5A" w:rsidRPr="00CB666B">
        <w:rPr>
          <w:i/>
        </w:rPr>
        <w:t>del presente documento y</w:t>
      </w:r>
      <w:r w:rsidR="007740FE">
        <w:rPr>
          <w:i/>
        </w:rPr>
        <w:t xml:space="preserve"> de</w:t>
      </w:r>
      <w:r w:rsidR="00DE2C5A" w:rsidRPr="00CB666B">
        <w:rPr>
          <w:i/>
        </w:rPr>
        <w:t xml:space="preserve"> su Anexo, en particular, de los comentarios y las propuestas del párrafo 10 del Anexo</w:t>
      </w:r>
      <w:bookmarkStart w:id="0" w:name="_GoBack"/>
      <w:r w:rsidR="00DE2C5A" w:rsidRPr="00CB666B">
        <w:rPr>
          <w:i/>
        </w:rPr>
        <w:t>;</w:t>
      </w:r>
      <w:bookmarkEnd w:id="0"/>
      <w:r w:rsidR="00DE2C5A" w:rsidRPr="00CB666B">
        <w:rPr>
          <w:i/>
        </w:rPr>
        <w:t xml:space="preserve"> </w:t>
      </w:r>
      <w:r w:rsidR="00CB666B">
        <w:rPr>
          <w:i/>
        </w:rPr>
        <w:t xml:space="preserve"> </w:t>
      </w:r>
      <w:r w:rsidR="00DE2C5A" w:rsidRPr="00CB666B">
        <w:rPr>
          <w:i/>
        </w:rPr>
        <w:t>y</w:t>
      </w:r>
    </w:p>
    <w:p w:rsidR="00DE2C5A" w:rsidRPr="00CB666B" w:rsidRDefault="008A02ED" w:rsidP="008A02ED">
      <w:pPr>
        <w:pStyle w:val="ONUME"/>
        <w:numPr>
          <w:ilvl w:val="0"/>
          <w:numId w:val="0"/>
        </w:numPr>
        <w:tabs>
          <w:tab w:val="left" w:pos="6096"/>
        </w:tabs>
        <w:spacing w:after="0"/>
        <w:ind w:left="5529"/>
        <w:rPr>
          <w:i/>
        </w:rPr>
      </w:pPr>
      <w:r w:rsidRPr="00CB666B">
        <w:rPr>
          <w:i/>
        </w:rPr>
        <w:tab/>
        <w:t>b)</w:t>
      </w:r>
      <w:r w:rsidRPr="00CB666B">
        <w:rPr>
          <w:i/>
        </w:rPr>
        <w:tab/>
      </w:r>
      <w:r w:rsidR="002A34B5" w:rsidRPr="00CB666B">
        <w:rPr>
          <w:i/>
        </w:rPr>
        <w:t xml:space="preserve">examinar </w:t>
      </w:r>
      <w:r w:rsidR="009D28D3" w:rsidRPr="00CB666B">
        <w:rPr>
          <w:i/>
        </w:rPr>
        <w:t xml:space="preserve">y aprobar la propuesta de aplazar </w:t>
      </w:r>
      <w:r w:rsidR="00A262AB" w:rsidRPr="00CB666B">
        <w:rPr>
          <w:i/>
        </w:rPr>
        <w:t xml:space="preserve">hasta 2019 la </w:t>
      </w:r>
      <w:r w:rsidR="009D28D3" w:rsidRPr="00CB666B">
        <w:rPr>
          <w:i/>
        </w:rPr>
        <w:t>formulación</w:t>
      </w:r>
      <w:r w:rsidR="00A262AB" w:rsidRPr="00CB666B">
        <w:rPr>
          <w:i/>
        </w:rPr>
        <w:t xml:space="preserve"> de </w:t>
      </w:r>
      <w:r w:rsidR="00DE2C5A" w:rsidRPr="00CB666B">
        <w:rPr>
          <w:i/>
        </w:rPr>
        <w:t xml:space="preserve">recomendaciones sobre la gestión electrónica de las marcas animadas y multimedia (véase </w:t>
      </w:r>
      <w:r w:rsidR="007740FE">
        <w:rPr>
          <w:i/>
        </w:rPr>
        <w:t xml:space="preserve">el </w:t>
      </w:r>
      <w:r w:rsidR="00DE2C5A" w:rsidRPr="00CB666B">
        <w:rPr>
          <w:i/>
        </w:rPr>
        <w:t xml:space="preserve">párrafo 4 del presente documento) y </w:t>
      </w:r>
      <w:r w:rsidR="009D28D3" w:rsidRPr="00CB666B">
        <w:rPr>
          <w:i/>
        </w:rPr>
        <w:t xml:space="preserve">de dejar en suspenso </w:t>
      </w:r>
      <w:r w:rsidR="007740FE" w:rsidRPr="00CB666B">
        <w:rPr>
          <w:i/>
        </w:rPr>
        <w:t xml:space="preserve">hasta entonces </w:t>
      </w:r>
      <w:r w:rsidR="00DE2C5A" w:rsidRPr="00CB666B">
        <w:rPr>
          <w:i/>
        </w:rPr>
        <w:t>la Tarea Nº 49.</w:t>
      </w:r>
    </w:p>
    <w:p w:rsidR="008A02ED" w:rsidRPr="00CB666B" w:rsidRDefault="008A02ED" w:rsidP="001A7B28">
      <w:pPr>
        <w:pStyle w:val="Endofdocument-Annex"/>
        <w:ind w:left="5529"/>
        <w:rPr>
          <w:lang w:val="es-ES"/>
        </w:rPr>
      </w:pPr>
    </w:p>
    <w:p w:rsidR="008A02ED" w:rsidRPr="00CB666B" w:rsidRDefault="008A02ED" w:rsidP="001A7B28">
      <w:pPr>
        <w:pStyle w:val="Endofdocument-Annex"/>
        <w:ind w:left="5529"/>
        <w:rPr>
          <w:lang w:val="es-ES"/>
        </w:rPr>
      </w:pPr>
    </w:p>
    <w:p w:rsidR="00152CEA" w:rsidRPr="00CB666B" w:rsidRDefault="008A02ED" w:rsidP="001A7B28">
      <w:pPr>
        <w:pStyle w:val="Endofdocument-Annex"/>
        <w:ind w:left="5529"/>
        <w:rPr>
          <w:lang w:val="es-ES"/>
        </w:rPr>
      </w:pPr>
      <w:r w:rsidRPr="00CB666B">
        <w:rPr>
          <w:lang w:val="es-ES"/>
        </w:rPr>
        <w:t>[</w:t>
      </w:r>
      <w:r w:rsidR="00DE2C5A" w:rsidRPr="00CB666B">
        <w:rPr>
          <w:lang w:val="es-ES"/>
        </w:rPr>
        <w:t>Sigue el Anexo</w:t>
      </w:r>
      <w:r w:rsidRPr="00CB666B">
        <w:rPr>
          <w:lang w:val="es-ES"/>
        </w:rPr>
        <w:t>]</w:t>
      </w:r>
    </w:p>
    <w:sectPr w:rsidR="00152CEA" w:rsidRPr="00CB666B" w:rsidSect="008A02E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ED" w:rsidRDefault="008A02ED">
      <w:r>
        <w:separator/>
      </w:r>
    </w:p>
  </w:endnote>
  <w:endnote w:type="continuationSeparator" w:id="0">
    <w:p w:rsidR="008A02ED" w:rsidRPr="009D30E6" w:rsidRDefault="008A02ED" w:rsidP="007E663E">
      <w:pPr>
        <w:rPr>
          <w:sz w:val="17"/>
          <w:szCs w:val="17"/>
        </w:rPr>
      </w:pPr>
      <w:r w:rsidRPr="009D30E6">
        <w:rPr>
          <w:sz w:val="17"/>
          <w:szCs w:val="17"/>
        </w:rPr>
        <w:separator/>
      </w:r>
    </w:p>
    <w:p w:rsidR="008A02ED" w:rsidRPr="007E663E" w:rsidRDefault="008A02ED" w:rsidP="007E663E">
      <w:pPr>
        <w:spacing w:after="60"/>
        <w:rPr>
          <w:sz w:val="17"/>
          <w:szCs w:val="17"/>
        </w:rPr>
      </w:pPr>
      <w:r>
        <w:rPr>
          <w:sz w:val="17"/>
        </w:rPr>
        <w:t>[Continuación de la nota de la página anterior]</w:t>
      </w:r>
    </w:p>
  </w:endnote>
  <w:endnote w:type="continuationNotice" w:id="1">
    <w:p w:rsidR="008A02ED" w:rsidRPr="007E663E" w:rsidRDefault="008A02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ED" w:rsidRDefault="008A02ED">
      <w:r>
        <w:separator/>
      </w:r>
    </w:p>
  </w:footnote>
  <w:footnote w:type="continuationSeparator" w:id="0">
    <w:p w:rsidR="008A02ED" w:rsidRPr="009D30E6" w:rsidRDefault="008A02ED" w:rsidP="007E663E">
      <w:pPr>
        <w:rPr>
          <w:sz w:val="17"/>
          <w:szCs w:val="17"/>
        </w:rPr>
      </w:pPr>
      <w:r w:rsidRPr="009D30E6">
        <w:rPr>
          <w:sz w:val="17"/>
          <w:szCs w:val="17"/>
        </w:rPr>
        <w:separator/>
      </w:r>
    </w:p>
    <w:p w:rsidR="008A02ED" w:rsidRPr="007E663E" w:rsidRDefault="008A02ED" w:rsidP="007E663E">
      <w:pPr>
        <w:spacing w:after="60"/>
        <w:rPr>
          <w:sz w:val="17"/>
          <w:szCs w:val="17"/>
        </w:rPr>
      </w:pPr>
      <w:r>
        <w:rPr>
          <w:sz w:val="17"/>
        </w:rPr>
        <w:t>[Continuación de la nota de la página anterior]</w:t>
      </w:r>
    </w:p>
  </w:footnote>
  <w:footnote w:type="continuationNotice" w:id="1">
    <w:p w:rsidR="008A02ED" w:rsidRPr="007E663E" w:rsidRDefault="008A02E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8A02ED" w:rsidP="00477D6B">
    <w:pPr>
      <w:jc w:val="right"/>
    </w:pPr>
    <w:r>
      <w:t>CWS/5/10</w:t>
    </w:r>
  </w:p>
  <w:p w:rsidR="00AE7F20" w:rsidRDefault="00AE7F20" w:rsidP="00477D6B">
    <w:pPr>
      <w:jc w:val="right"/>
    </w:pPr>
    <w:r>
      <w:t xml:space="preserve">página </w:t>
    </w:r>
    <w:r>
      <w:fldChar w:fldCharType="begin"/>
    </w:r>
    <w:r>
      <w:instrText xml:space="preserve"> PAGE  \* MERGEFORMAT </w:instrText>
    </w:r>
    <w:r>
      <w:fldChar w:fldCharType="separate"/>
    </w:r>
    <w:r w:rsidR="001A7B28">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ED"/>
    <w:rsid w:val="00010686"/>
    <w:rsid w:val="00052915"/>
    <w:rsid w:val="000A6D68"/>
    <w:rsid w:val="000E3BB3"/>
    <w:rsid w:val="000F5E56"/>
    <w:rsid w:val="001362EE"/>
    <w:rsid w:val="00152CEA"/>
    <w:rsid w:val="001832A6"/>
    <w:rsid w:val="001A7B28"/>
    <w:rsid w:val="001C30E3"/>
    <w:rsid w:val="001D3285"/>
    <w:rsid w:val="001F7FFB"/>
    <w:rsid w:val="002634C4"/>
    <w:rsid w:val="002A34B5"/>
    <w:rsid w:val="002E0F47"/>
    <w:rsid w:val="002F4E68"/>
    <w:rsid w:val="00354647"/>
    <w:rsid w:val="00377273"/>
    <w:rsid w:val="003845C1"/>
    <w:rsid w:val="00387287"/>
    <w:rsid w:val="003E48F1"/>
    <w:rsid w:val="003F347A"/>
    <w:rsid w:val="00423E3E"/>
    <w:rsid w:val="00427AF4"/>
    <w:rsid w:val="00442CEA"/>
    <w:rsid w:val="0045231F"/>
    <w:rsid w:val="004647DA"/>
    <w:rsid w:val="0046793F"/>
    <w:rsid w:val="00477808"/>
    <w:rsid w:val="00477D6B"/>
    <w:rsid w:val="004A6C37"/>
    <w:rsid w:val="004D57D7"/>
    <w:rsid w:val="004E297D"/>
    <w:rsid w:val="004E6197"/>
    <w:rsid w:val="00531B02"/>
    <w:rsid w:val="005332F0"/>
    <w:rsid w:val="0055013B"/>
    <w:rsid w:val="00571B99"/>
    <w:rsid w:val="00576613"/>
    <w:rsid w:val="00591171"/>
    <w:rsid w:val="00605827"/>
    <w:rsid w:val="00630CB9"/>
    <w:rsid w:val="006506CA"/>
    <w:rsid w:val="0067394E"/>
    <w:rsid w:val="00675021"/>
    <w:rsid w:val="006A06C6"/>
    <w:rsid w:val="006B7EB6"/>
    <w:rsid w:val="006F4E67"/>
    <w:rsid w:val="00716DB4"/>
    <w:rsid w:val="007224C8"/>
    <w:rsid w:val="00722B8D"/>
    <w:rsid w:val="007740FE"/>
    <w:rsid w:val="00794BE2"/>
    <w:rsid w:val="007A5581"/>
    <w:rsid w:val="007B71FE"/>
    <w:rsid w:val="007D781E"/>
    <w:rsid w:val="007E663E"/>
    <w:rsid w:val="00815082"/>
    <w:rsid w:val="00872224"/>
    <w:rsid w:val="0088395E"/>
    <w:rsid w:val="008A02ED"/>
    <w:rsid w:val="008B2CC1"/>
    <w:rsid w:val="008D0EA4"/>
    <w:rsid w:val="008E6BD6"/>
    <w:rsid w:val="0090731E"/>
    <w:rsid w:val="00966A22"/>
    <w:rsid w:val="00972F03"/>
    <w:rsid w:val="009A0C8B"/>
    <w:rsid w:val="009A20CD"/>
    <w:rsid w:val="009B6241"/>
    <w:rsid w:val="009D28D3"/>
    <w:rsid w:val="00A16FC0"/>
    <w:rsid w:val="00A262AB"/>
    <w:rsid w:val="00A32C9E"/>
    <w:rsid w:val="00A34CD0"/>
    <w:rsid w:val="00AB613D"/>
    <w:rsid w:val="00AD26EF"/>
    <w:rsid w:val="00AD2FC3"/>
    <w:rsid w:val="00AE5217"/>
    <w:rsid w:val="00AE7F20"/>
    <w:rsid w:val="00B01777"/>
    <w:rsid w:val="00B02968"/>
    <w:rsid w:val="00B534D5"/>
    <w:rsid w:val="00B65A0A"/>
    <w:rsid w:val="00B67CDC"/>
    <w:rsid w:val="00B72D36"/>
    <w:rsid w:val="00BC4164"/>
    <w:rsid w:val="00BD2DCC"/>
    <w:rsid w:val="00C90559"/>
    <w:rsid w:val="00CA2251"/>
    <w:rsid w:val="00CB666B"/>
    <w:rsid w:val="00D56C7C"/>
    <w:rsid w:val="00D57714"/>
    <w:rsid w:val="00D71B4D"/>
    <w:rsid w:val="00D73F6E"/>
    <w:rsid w:val="00D90289"/>
    <w:rsid w:val="00D93D55"/>
    <w:rsid w:val="00DC4C60"/>
    <w:rsid w:val="00DE2C5A"/>
    <w:rsid w:val="00E0079A"/>
    <w:rsid w:val="00E444DA"/>
    <w:rsid w:val="00E45C84"/>
    <w:rsid w:val="00E504E5"/>
    <w:rsid w:val="00E95475"/>
    <w:rsid w:val="00EB7A3E"/>
    <w:rsid w:val="00EC401A"/>
    <w:rsid w:val="00EF530A"/>
    <w:rsid w:val="00EF6622"/>
    <w:rsid w:val="00EF7766"/>
    <w:rsid w:val="00EF78A9"/>
    <w:rsid w:val="00F55408"/>
    <w:rsid w:val="00F66152"/>
    <w:rsid w:val="00F80845"/>
    <w:rsid w:val="00F84474"/>
    <w:rsid w:val="00FA0F0D"/>
    <w:rsid w:val="00FC04AF"/>
    <w:rsid w:val="00FD5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(S)</Template>
  <TotalTime>13</TotalTime>
  <Pages>2</Pages>
  <Words>408</Words>
  <Characters>2018</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CWS/5/10 (in Spanish)</vt:lpstr>
    </vt:vector>
  </TitlesOfParts>
  <Company>WIPO</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CWS/5/10 (in Spanish)</dc:title>
  <dc:subject>Report on the Preparation of a new WIPO Standard for the electronic management of motion and multimedia marks</dc:subject>
  <dc:creator>WIPO</dc:creator>
  <cp:keywords>CWS</cp:keywords>
  <dc:description/>
  <cp:lastModifiedBy>ZAGO Bétina</cp:lastModifiedBy>
  <cp:revision>4</cp:revision>
  <cp:lastPrinted>2017-04-11T16:39:00Z</cp:lastPrinted>
  <dcterms:created xsi:type="dcterms:W3CDTF">2017-04-27T11:55:00Z</dcterms:created>
  <dcterms:modified xsi:type="dcterms:W3CDTF">2017-04-27T12:31:00Z</dcterms:modified>
</cp:coreProperties>
</file>