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7A" w:rsidRPr="00863A15" w:rsidRDefault="0014477A" w:rsidP="006A0482">
      <w:pPr>
        <w:spacing w:after="220"/>
        <w:ind w:left="10" w:hanging="10"/>
        <w:rPr>
          <w:rFonts w:eastAsia="Arial"/>
          <w:b/>
          <w:color w:val="000000"/>
          <w:szCs w:val="22"/>
          <w:lang w:val="es-ES" w:eastAsia="en-GB"/>
        </w:rPr>
      </w:pPr>
      <w:bookmarkStart w:id="0" w:name="cws_5_10_annex"/>
      <w:r w:rsidRPr="00863A15">
        <w:rPr>
          <w:rFonts w:eastAsia="Arial"/>
          <w:b/>
          <w:color w:val="000000"/>
          <w:szCs w:val="22"/>
          <w:lang w:val="es-ES" w:eastAsia="en-GB"/>
        </w:rPr>
        <w:t>RESUMEN DE LA ENCUESTA SOBRE LAS PRÁCTICAS DE LAS OFICINAS DE P.I. RELATIVAS A LAS MARCAS ANIMADAS Y MULTIMEDIA</w:t>
      </w:r>
    </w:p>
    <w:bookmarkEnd w:id="0"/>
    <w:p w:rsidR="004B0BDB" w:rsidRPr="00863A15" w:rsidRDefault="004B0BDB" w:rsidP="006A0482">
      <w:pPr>
        <w:pStyle w:val="ONUME"/>
        <w:numPr>
          <w:ilvl w:val="0"/>
          <w:numId w:val="11"/>
        </w:numPr>
        <w:spacing w:after="120"/>
        <w:rPr>
          <w:lang w:val="es-ES"/>
        </w:rPr>
      </w:pPr>
      <w:r w:rsidRPr="00863A15">
        <w:rPr>
          <w:lang w:val="es-ES"/>
        </w:rPr>
        <w:t xml:space="preserve">Las siguientes seis oficinas de propiedad intelectual (oficinas de P.I.) </w:t>
      </w:r>
      <w:r w:rsidR="009D2E64" w:rsidRPr="00863A15">
        <w:rPr>
          <w:lang w:val="es-ES"/>
        </w:rPr>
        <w:t>proporciona</w:t>
      </w:r>
      <w:r w:rsidR="000F344A" w:rsidRPr="00863A15">
        <w:rPr>
          <w:lang w:val="es-ES"/>
        </w:rPr>
        <w:t>ro</w:t>
      </w:r>
      <w:r w:rsidR="009D2E64" w:rsidRPr="00863A15">
        <w:rPr>
          <w:lang w:val="es-ES"/>
        </w:rPr>
        <w:t>n</w:t>
      </w:r>
      <w:r w:rsidRPr="00863A15">
        <w:rPr>
          <w:lang w:val="es-ES"/>
        </w:rPr>
        <w:t xml:space="preserve"> información sobre </w:t>
      </w:r>
      <w:r w:rsidR="00CC5BBE">
        <w:rPr>
          <w:lang w:val="es-ES"/>
        </w:rPr>
        <w:t>las</w:t>
      </w:r>
      <w:r w:rsidRPr="00863A15">
        <w:rPr>
          <w:lang w:val="es-ES"/>
        </w:rPr>
        <w:t xml:space="preserve"> prácticas </w:t>
      </w:r>
      <w:r w:rsidR="00CC5BBE">
        <w:rPr>
          <w:lang w:val="es-ES"/>
        </w:rPr>
        <w:t>que aplican</w:t>
      </w:r>
      <w:r w:rsidRPr="00863A15">
        <w:rPr>
          <w:lang w:val="es-ES"/>
        </w:rPr>
        <w:t xml:space="preserve"> </w:t>
      </w:r>
      <w:r w:rsidR="00CC5BBE">
        <w:rPr>
          <w:lang w:val="es-ES"/>
        </w:rPr>
        <w:t>en relación con las</w:t>
      </w:r>
      <w:r w:rsidRPr="00863A15">
        <w:rPr>
          <w:lang w:val="es-ES"/>
        </w:rPr>
        <w:t xml:space="preserve"> marcas animadas y multimedia:</w:t>
      </w:r>
    </w:p>
    <w:p w:rsidR="00252185" w:rsidRPr="00863A15" w:rsidRDefault="0014477A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 w:rsidRPr="00863A15">
        <w:rPr>
          <w:lang w:val="es-ES"/>
        </w:rPr>
        <w:t>Oficina Austríaca de Patentes</w:t>
      </w:r>
      <w:r w:rsidR="00252185" w:rsidRPr="00863A15">
        <w:rPr>
          <w:lang w:val="es-ES"/>
        </w:rPr>
        <w:t xml:space="preserve"> (AT);</w:t>
      </w:r>
    </w:p>
    <w:p w:rsidR="00252185" w:rsidRPr="00863A15" w:rsidRDefault="00252185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 w:rsidRPr="00863A15">
        <w:rPr>
          <w:lang w:val="es-ES"/>
        </w:rPr>
        <w:t>IP Australia (AU);</w:t>
      </w:r>
    </w:p>
    <w:p w:rsidR="00252185" w:rsidRPr="00863A15" w:rsidRDefault="0014477A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 w:rsidRPr="00863A15">
        <w:rPr>
          <w:lang w:val="es-ES"/>
        </w:rPr>
        <w:t>Oficina C</w:t>
      </w:r>
      <w:bookmarkStart w:id="1" w:name="_GoBack"/>
      <w:bookmarkEnd w:id="1"/>
      <w:r w:rsidRPr="00863A15">
        <w:rPr>
          <w:lang w:val="es-ES"/>
        </w:rPr>
        <w:t>anadiense de Propiedad Intelectual</w:t>
      </w:r>
      <w:r w:rsidR="00252185" w:rsidRPr="00863A15">
        <w:rPr>
          <w:lang w:val="es-ES"/>
        </w:rPr>
        <w:t xml:space="preserve"> (CA);</w:t>
      </w:r>
    </w:p>
    <w:p w:rsidR="00252185" w:rsidRPr="00863A15" w:rsidRDefault="005A153F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 w:rsidRPr="00863A15">
        <w:rPr>
          <w:lang w:val="es-ES"/>
        </w:rPr>
        <w:t>Oficina Alemana de Patentes y Marcas</w:t>
      </w:r>
      <w:r w:rsidR="00252185" w:rsidRPr="00863A15">
        <w:rPr>
          <w:lang w:val="es-ES"/>
        </w:rPr>
        <w:t xml:space="preserve"> (DE);</w:t>
      </w:r>
    </w:p>
    <w:p w:rsidR="00252185" w:rsidRPr="00863A15" w:rsidRDefault="005A153F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 w:rsidRPr="00863A15">
        <w:rPr>
          <w:lang w:val="es-ES"/>
        </w:rPr>
        <w:t xml:space="preserve">Oficina Japonesa de Patentes </w:t>
      </w:r>
      <w:r w:rsidR="00252185" w:rsidRPr="00863A15">
        <w:rPr>
          <w:lang w:val="es-ES"/>
        </w:rPr>
        <w:t xml:space="preserve">(JP);  </w:t>
      </w:r>
      <w:r w:rsidRPr="00863A15">
        <w:rPr>
          <w:lang w:val="es-ES"/>
        </w:rPr>
        <w:t>y</w:t>
      </w:r>
    </w:p>
    <w:p w:rsidR="00252185" w:rsidRPr="00863A15" w:rsidRDefault="005A153F" w:rsidP="00CF2317">
      <w:pPr>
        <w:pStyle w:val="ONUME"/>
        <w:numPr>
          <w:ilvl w:val="0"/>
          <w:numId w:val="9"/>
        </w:numPr>
        <w:ind w:left="851" w:hanging="425"/>
        <w:rPr>
          <w:lang w:val="es-ES"/>
        </w:rPr>
      </w:pPr>
      <w:r w:rsidRPr="00863A15">
        <w:rPr>
          <w:lang w:val="es-ES"/>
        </w:rPr>
        <w:t>Servicio Estatal de Propiedad Intelectual de Ucrania</w:t>
      </w:r>
      <w:r w:rsidR="00252185" w:rsidRPr="00863A15">
        <w:rPr>
          <w:lang w:val="es-ES"/>
        </w:rPr>
        <w:t xml:space="preserve"> (UA).</w:t>
      </w:r>
    </w:p>
    <w:p w:rsidR="004B0BDB" w:rsidRPr="00863A15" w:rsidRDefault="004B0BDB" w:rsidP="006A0482">
      <w:pPr>
        <w:pStyle w:val="ONUME"/>
        <w:numPr>
          <w:ilvl w:val="0"/>
          <w:numId w:val="11"/>
        </w:numPr>
        <w:rPr>
          <w:lang w:val="es-ES"/>
        </w:rPr>
      </w:pPr>
      <w:r w:rsidRPr="00863A15">
        <w:rPr>
          <w:lang w:val="es-ES"/>
        </w:rPr>
        <w:t xml:space="preserve">Tres de </w:t>
      </w:r>
      <w:r w:rsidR="000F344A" w:rsidRPr="00863A15">
        <w:rPr>
          <w:lang w:val="es-ES"/>
        </w:rPr>
        <w:t>estas</w:t>
      </w:r>
      <w:r w:rsidRPr="00863A15">
        <w:rPr>
          <w:lang w:val="es-ES"/>
        </w:rPr>
        <w:t xml:space="preserve"> seis oficinas de P.I. (AT, DE y JP) </w:t>
      </w:r>
      <w:r w:rsidR="009D2E64" w:rsidRPr="00863A15">
        <w:rPr>
          <w:lang w:val="es-ES"/>
        </w:rPr>
        <w:t>aceptan</w:t>
      </w:r>
      <w:r w:rsidRPr="00863A15">
        <w:rPr>
          <w:lang w:val="es-ES"/>
        </w:rPr>
        <w:t xml:space="preserve"> marcas animadas, pero </w:t>
      </w:r>
      <w:r w:rsidR="009D2E64" w:rsidRPr="00863A15">
        <w:rPr>
          <w:lang w:val="es-ES"/>
        </w:rPr>
        <w:t>no</w:t>
      </w:r>
      <w:r w:rsidRPr="00863A15">
        <w:rPr>
          <w:lang w:val="es-ES"/>
        </w:rPr>
        <w:t xml:space="preserve"> marca</w:t>
      </w:r>
      <w:r w:rsidR="009D2E64" w:rsidRPr="00863A15">
        <w:rPr>
          <w:lang w:val="es-ES"/>
        </w:rPr>
        <w:t>s</w:t>
      </w:r>
      <w:r w:rsidRPr="00863A15">
        <w:rPr>
          <w:lang w:val="es-ES"/>
        </w:rPr>
        <w:t xml:space="preserve"> multimedia;  una oficina de P.I. (AU) acept</w:t>
      </w:r>
      <w:r w:rsidR="009D2E64" w:rsidRPr="00863A15">
        <w:rPr>
          <w:lang w:val="es-ES"/>
        </w:rPr>
        <w:t>a</w:t>
      </w:r>
      <w:r w:rsidRPr="00863A15">
        <w:rPr>
          <w:lang w:val="es-ES"/>
        </w:rPr>
        <w:t xml:space="preserve"> ambos tipos de marcas, mientras que dos oficinas de P.I. (CA y UA) aún </w:t>
      </w:r>
      <w:r w:rsidR="009D2E64" w:rsidRPr="00863A15">
        <w:rPr>
          <w:lang w:val="es-ES"/>
        </w:rPr>
        <w:t>carecen de</w:t>
      </w:r>
      <w:r w:rsidRPr="00863A15">
        <w:rPr>
          <w:lang w:val="es-ES"/>
        </w:rPr>
        <w:t xml:space="preserve"> disposiciones al respecto en su legislación nacional, pero </w:t>
      </w:r>
      <w:r w:rsidR="009D2E64" w:rsidRPr="00863A15">
        <w:rPr>
          <w:lang w:val="es-ES"/>
        </w:rPr>
        <w:t>prevén</w:t>
      </w:r>
      <w:r w:rsidRPr="00863A15">
        <w:rPr>
          <w:lang w:val="es-ES"/>
        </w:rPr>
        <w:t xml:space="preserve"> incorporar estos tipos de marcas</w:t>
      </w:r>
      <w:r w:rsidR="009D2E64" w:rsidRPr="00863A15">
        <w:rPr>
          <w:lang w:val="es-ES"/>
        </w:rPr>
        <w:t xml:space="preserve"> en el futuro</w:t>
      </w:r>
      <w:r w:rsidRPr="00863A15">
        <w:rPr>
          <w:lang w:val="es-ES"/>
        </w:rPr>
        <w:t>.</w:t>
      </w:r>
      <w:r w:rsidR="009D2E64" w:rsidRPr="00863A15">
        <w:rPr>
          <w:lang w:val="es-ES"/>
        </w:rPr>
        <w:t xml:space="preserve"> </w:t>
      </w:r>
      <w:r w:rsidRPr="00863A15">
        <w:rPr>
          <w:lang w:val="es-ES"/>
        </w:rPr>
        <w:t xml:space="preserve"> </w:t>
      </w:r>
      <w:r w:rsidR="00192036" w:rsidRPr="00863A15">
        <w:rPr>
          <w:lang w:val="es-ES"/>
        </w:rPr>
        <w:t>La</w:t>
      </w:r>
      <w:r w:rsidRPr="00863A15">
        <w:rPr>
          <w:lang w:val="es-ES"/>
        </w:rPr>
        <w:t xml:space="preserve"> apli</w:t>
      </w:r>
      <w:r w:rsidR="0029119F">
        <w:rPr>
          <w:lang w:val="es-ES"/>
        </w:rPr>
        <w:t>cación de la Directiva 2008/95/</w:t>
      </w:r>
      <w:r w:rsidRPr="00863A15">
        <w:rPr>
          <w:lang w:val="es-ES"/>
        </w:rPr>
        <w:t>C</w:t>
      </w:r>
      <w:r w:rsidR="0029119F">
        <w:rPr>
          <w:lang w:val="es-ES"/>
        </w:rPr>
        <w:t>E</w:t>
      </w:r>
      <w:r w:rsidRPr="00863A15">
        <w:rPr>
          <w:lang w:val="es-ES"/>
        </w:rPr>
        <w:t xml:space="preserve"> </w:t>
      </w:r>
      <w:r w:rsidR="00192036" w:rsidRPr="00863A15">
        <w:rPr>
          <w:lang w:val="es-ES"/>
        </w:rPr>
        <w:t>posiblemente afectará</w:t>
      </w:r>
      <w:r w:rsidRPr="00863A15">
        <w:rPr>
          <w:lang w:val="es-ES"/>
        </w:rPr>
        <w:t xml:space="preserve"> las prácticas de las oficinas de P.I. en relación con las marcas multimedia.</w:t>
      </w:r>
    </w:p>
    <w:p w:rsidR="00E1782A" w:rsidRPr="00863A15" w:rsidRDefault="000F344A" w:rsidP="006A0482">
      <w:pPr>
        <w:pStyle w:val="ONUME"/>
        <w:numPr>
          <w:ilvl w:val="0"/>
          <w:numId w:val="11"/>
        </w:numPr>
        <w:rPr>
          <w:lang w:val="es-ES"/>
        </w:rPr>
      </w:pPr>
      <w:r w:rsidRPr="00863A15">
        <w:rPr>
          <w:lang w:val="es-ES"/>
        </w:rPr>
        <w:t>Las oficinas consultadas</w:t>
      </w:r>
      <w:r w:rsidR="00CB3421" w:rsidRPr="00863A15">
        <w:rPr>
          <w:lang w:val="es-ES"/>
        </w:rPr>
        <w:t xml:space="preserve"> no </w:t>
      </w:r>
      <w:r w:rsidR="00192036" w:rsidRPr="00863A15">
        <w:rPr>
          <w:lang w:val="es-ES"/>
        </w:rPr>
        <w:t>tienen</w:t>
      </w:r>
      <w:r w:rsidR="00CB3421" w:rsidRPr="00863A15">
        <w:rPr>
          <w:lang w:val="es-ES"/>
        </w:rPr>
        <w:t xml:space="preserve"> experiencia en marcas multimedia (no </w:t>
      </w:r>
      <w:r w:rsidR="00CC6ABB" w:rsidRPr="00863A15">
        <w:rPr>
          <w:lang w:val="es-ES"/>
        </w:rPr>
        <w:t>se</w:t>
      </w:r>
      <w:r w:rsidR="0029119F">
        <w:rPr>
          <w:lang w:val="es-ES"/>
        </w:rPr>
        <w:t xml:space="preserve"> han</w:t>
      </w:r>
      <w:r w:rsidR="00CC6ABB" w:rsidRPr="00863A15">
        <w:rPr>
          <w:lang w:val="es-ES"/>
        </w:rPr>
        <w:t xml:space="preserve"> </w:t>
      </w:r>
      <w:r w:rsidR="0029119F">
        <w:rPr>
          <w:lang w:val="es-ES"/>
        </w:rPr>
        <w:t>presentado</w:t>
      </w:r>
      <w:r w:rsidR="00CB3421" w:rsidRPr="00863A15">
        <w:rPr>
          <w:lang w:val="es-ES"/>
        </w:rPr>
        <w:t xml:space="preserve"> solicitudes</w:t>
      </w:r>
      <w:r w:rsidR="0029119F">
        <w:rPr>
          <w:lang w:val="es-ES"/>
        </w:rPr>
        <w:t xml:space="preserve"> de ese tipo</w:t>
      </w:r>
      <w:r w:rsidR="00CB3421" w:rsidRPr="00863A15">
        <w:rPr>
          <w:lang w:val="es-ES"/>
        </w:rPr>
        <w:t xml:space="preserve">) y la proporción de solicitudes de marcas animadas </w:t>
      </w:r>
      <w:r w:rsidRPr="00863A15">
        <w:rPr>
          <w:lang w:val="es-ES"/>
        </w:rPr>
        <w:t>es</w:t>
      </w:r>
      <w:r w:rsidR="00CB3421" w:rsidRPr="00863A15">
        <w:rPr>
          <w:lang w:val="es-ES"/>
        </w:rPr>
        <w:t xml:space="preserve"> muy baja.</w:t>
      </w:r>
    </w:p>
    <w:p w:rsidR="00CB3421" w:rsidRPr="00863A15" w:rsidRDefault="00CB3421" w:rsidP="006A0482">
      <w:pPr>
        <w:pStyle w:val="ONUME"/>
        <w:numPr>
          <w:ilvl w:val="0"/>
          <w:numId w:val="11"/>
        </w:numPr>
        <w:rPr>
          <w:lang w:val="es-ES"/>
        </w:rPr>
      </w:pPr>
      <w:r w:rsidRPr="00863A15">
        <w:rPr>
          <w:lang w:val="es-ES"/>
        </w:rPr>
        <w:t>Tres de</w:t>
      </w:r>
      <w:r w:rsidR="0029119F">
        <w:rPr>
          <w:lang w:val="es-ES"/>
        </w:rPr>
        <w:t xml:space="preserve"> las</w:t>
      </w:r>
      <w:r w:rsidRPr="00863A15">
        <w:rPr>
          <w:lang w:val="es-ES"/>
        </w:rPr>
        <w:t xml:space="preserve"> ci</w:t>
      </w:r>
      <w:r w:rsidR="00CC6ABB" w:rsidRPr="00863A15">
        <w:rPr>
          <w:lang w:val="es-ES"/>
        </w:rPr>
        <w:t>nco oficinas de P.I. que aceptan</w:t>
      </w:r>
      <w:r w:rsidRPr="00863A15">
        <w:rPr>
          <w:lang w:val="es-ES"/>
        </w:rPr>
        <w:t xml:space="preserve"> marcas animadas (o </w:t>
      </w:r>
      <w:r w:rsidR="0029119F">
        <w:rPr>
          <w:lang w:val="es-ES"/>
        </w:rPr>
        <w:t>tienen previsto</w:t>
      </w:r>
      <w:r w:rsidRPr="00863A15">
        <w:rPr>
          <w:lang w:val="es-ES"/>
        </w:rPr>
        <w:t xml:space="preserve"> aceptarlas </w:t>
      </w:r>
      <w:r w:rsidR="0029119F">
        <w:rPr>
          <w:lang w:val="es-ES"/>
        </w:rPr>
        <w:t>a</w:t>
      </w:r>
      <w:r w:rsidRPr="00863A15">
        <w:rPr>
          <w:lang w:val="es-ES"/>
        </w:rPr>
        <w:t xml:space="preserve"> </w:t>
      </w:r>
      <w:r w:rsidR="009C63B1" w:rsidRPr="00863A15">
        <w:rPr>
          <w:lang w:val="es-ES"/>
        </w:rPr>
        <w:t>corto plazo</w:t>
      </w:r>
      <w:r w:rsidRPr="00863A15">
        <w:rPr>
          <w:lang w:val="es-ES"/>
        </w:rPr>
        <w:t xml:space="preserve">), a saber: AU, CA y JP, </w:t>
      </w:r>
      <w:r w:rsidR="00192036" w:rsidRPr="00863A15">
        <w:rPr>
          <w:lang w:val="es-ES"/>
        </w:rPr>
        <w:t>exigen</w:t>
      </w:r>
      <w:r w:rsidRPr="00863A15">
        <w:rPr>
          <w:lang w:val="es-ES"/>
        </w:rPr>
        <w:t xml:space="preserve"> </w:t>
      </w:r>
      <w:r w:rsidR="00192036" w:rsidRPr="00863A15">
        <w:rPr>
          <w:lang w:val="es-ES"/>
        </w:rPr>
        <w:t>que en las solicitudes se incluya</w:t>
      </w:r>
      <w:r w:rsidRPr="00863A15">
        <w:rPr>
          <w:lang w:val="es-ES"/>
        </w:rPr>
        <w:t xml:space="preserve"> la indicación “marca animada”</w:t>
      </w:r>
      <w:r w:rsidR="00192036" w:rsidRPr="00863A15">
        <w:rPr>
          <w:lang w:val="es-ES"/>
        </w:rPr>
        <w:t>. En u</w:t>
      </w:r>
      <w:r w:rsidR="0033397D" w:rsidRPr="00863A15">
        <w:rPr>
          <w:lang w:val="es-ES"/>
        </w:rPr>
        <w:t>na oficina de P.I. (DE)</w:t>
      </w:r>
      <w:r w:rsidR="00192036" w:rsidRPr="00863A15">
        <w:rPr>
          <w:lang w:val="es-ES"/>
        </w:rPr>
        <w:t xml:space="preserve">, </w:t>
      </w:r>
      <w:r w:rsidR="0033397D" w:rsidRPr="00863A15">
        <w:rPr>
          <w:lang w:val="es-ES"/>
        </w:rPr>
        <w:t xml:space="preserve">este tipo de marca (animada) </w:t>
      </w:r>
      <w:r w:rsidR="00192036" w:rsidRPr="00863A15">
        <w:rPr>
          <w:lang w:val="es-ES"/>
        </w:rPr>
        <w:t>forma parte de la</w:t>
      </w:r>
      <w:r w:rsidR="0033397D" w:rsidRPr="00863A15">
        <w:rPr>
          <w:lang w:val="es-ES"/>
        </w:rPr>
        <w:t xml:space="preserve"> categoría más general “otras marcas”. </w:t>
      </w:r>
      <w:r w:rsidR="00D33B5B" w:rsidRPr="00863A15">
        <w:rPr>
          <w:lang w:val="es-ES"/>
        </w:rPr>
        <w:t xml:space="preserve"> </w:t>
      </w:r>
      <w:r w:rsidR="009C63B1" w:rsidRPr="00863A15">
        <w:rPr>
          <w:lang w:val="es-ES"/>
        </w:rPr>
        <w:t>En d</w:t>
      </w:r>
      <w:r w:rsidR="00D33B5B" w:rsidRPr="00863A15">
        <w:rPr>
          <w:lang w:val="es-ES"/>
        </w:rPr>
        <w:t xml:space="preserve">os oficinas de P.I. (AU y, </w:t>
      </w:r>
      <w:r w:rsidR="00192036" w:rsidRPr="00863A15">
        <w:rPr>
          <w:lang w:val="es-ES"/>
        </w:rPr>
        <w:t>cuando entre</w:t>
      </w:r>
      <w:r w:rsidR="00D33B5B" w:rsidRPr="00863A15">
        <w:rPr>
          <w:lang w:val="es-ES"/>
        </w:rPr>
        <w:t xml:space="preserve"> en vigor la nueva legislación, CA) </w:t>
      </w:r>
      <w:r w:rsidR="009C63B1" w:rsidRPr="00863A15">
        <w:rPr>
          <w:lang w:val="es-ES"/>
        </w:rPr>
        <w:t>se pueden presentar solicitudes de</w:t>
      </w:r>
      <w:r w:rsidR="003758EF">
        <w:rPr>
          <w:lang w:val="es-ES"/>
        </w:rPr>
        <w:t xml:space="preserve"> registro de</w:t>
      </w:r>
      <w:r w:rsidR="00D33B5B" w:rsidRPr="00863A15">
        <w:rPr>
          <w:lang w:val="es-ES"/>
        </w:rPr>
        <w:t xml:space="preserve"> marcas multimedia como marcas compuestas (combinación de movimiento y sonido)</w:t>
      </w:r>
      <w:r w:rsidR="0033397D" w:rsidRPr="00863A15">
        <w:rPr>
          <w:lang w:val="es-ES"/>
        </w:rPr>
        <w:t xml:space="preserve">, </w:t>
      </w:r>
      <w:r w:rsidR="00192036" w:rsidRPr="00863A15">
        <w:rPr>
          <w:lang w:val="es-ES"/>
        </w:rPr>
        <w:t>teniendo que</w:t>
      </w:r>
      <w:r w:rsidR="0033397D" w:rsidRPr="00863A15">
        <w:rPr>
          <w:lang w:val="es-ES"/>
        </w:rPr>
        <w:t xml:space="preserve"> reivindicar (identificar) </w:t>
      </w:r>
      <w:r w:rsidR="003758EF" w:rsidRPr="00863A15">
        <w:rPr>
          <w:lang w:val="es-ES"/>
        </w:rPr>
        <w:t xml:space="preserve">por separado </w:t>
      </w:r>
      <w:r w:rsidR="00192036" w:rsidRPr="00863A15">
        <w:rPr>
          <w:lang w:val="es-ES"/>
        </w:rPr>
        <w:t>cada tipo:</w:t>
      </w:r>
      <w:r w:rsidR="0033397D" w:rsidRPr="00863A15">
        <w:rPr>
          <w:lang w:val="es-ES"/>
        </w:rPr>
        <w:t xml:space="preserve"> </w:t>
      </w:r>
      <w:r w:rsidR="00F9090D" w:rsidRPr="00863A15">
        <w:rPr>
          <w:lang w:val="es-ES"/>
        </w:rPr>
        <w:t>movimiento y sonido</w:t>
      </w:r>
      <w:r w:rsidR="00192036" w:rsidRPr="00863A15">
        <w:rPr>
          <w:lang w:val="es-ES"/>
        </w:rPr>
        <w:t>.</w:t>
      </w:r>
    </w:p>
    <w:p w:rsidR="00DE460F" w:rsidRPr="00863A15" w:rsidRDefault="00DE460F" w:rsidP="006A0482">
      <w:pPr>
        <w:pStyle w:val="ONUME"/>
        <w:numPr>
          <w:ilvl w:val="0"/>
          <w:numId w:val="11"/>
        </w:numPr>
        <w:rPr>
          <w:lang w:val="es-ES"/>
        </w:rPr>
      </w:pPr>
      <w:r w:rsidRPr="00863A15">
        <w:rPr>
          <w:lang w:val="es-ES"/>
        </w:rPr>
        <w:t xml:space="preserve">Se observó que la descripción textual </w:t>
      </w:r>
      <w:r w:rsidR="00192036" w:rsidRPr="00863A15">
        <w:rPr>
          <w:lang w:val="es-ES"/>
        </w:rPr>
        <w:t>es</w:t>
      </w:r>
      <w:r w:rsidR="002A507A" w:rsidRPr="00863A15">
        <w:rPr>
          <w:lang w:val="es-ES"/>
        </w:rPr>
        <w:t xml:space="preserve"> un requisito</w:t>
      </w:r>
      <w:r w:rsidRPr="00863A15">
        <w:rPr>
          <w:lang w:val="es-ES"/>
        </w:rPr>
        <w:t xml:space="preserve"> </w:t>
      </w:r>
      <w:r w:rsidR="002A507A" w:rsidRPr="00863A15">
        <w:rPr>
          <w:lang w:val="es-ES"/>
        </w:rPr>
        <w:t>obligatorio</w:t>
      </w:r>
      <w:r w:rsidRPr="00863A15">
        <w:rPr>
          <w:lang w:val="es-ES"/>
        </w:rPr>
        <w:t xml:space="preserve"> </w:t>
      </w:r>
      <w:r w:rsidR="005911F9">
        <w:rPr>
          <w:lang w:val="es-ES"/>
        </w:rPr>
        <w:t>para presentar</w:t>
      </w:r>
      <w:r w:rsidRPr="00863A15">
        <w:rPr>
          <w:lang w:val="es-ES"/>
        </w:rPr>
        <w:t xml:space="preserve"> una solicitud de </w:t>
      </w:r>
      <w:r w:rsidR="005911F9">
        <w:rPr>
          <w:lang w:val="es-ES"/>
        </w:rPr>
        <w:t xml:space="preserve">registro de </w:t>
      </w:r>
      <w:r w:rsidRPr="00863A15">
        <w:rPr>
          <w:lang w:val="es-ES"/>
        </w:rPr>
        <w:t xml:space="preserve">marca de movimiento en las cinco oficinas de P.I. (AT, AU, CA, DE y JP) que aceptan este tipo de marca. En tres de ellas (AT, DE y JP) también </w:t>
      </w:r>
      <w:r w:rsidR="00F251F0" w:rsidRPr="00863A15">
        <w:rPr>
          <w:lang w:val="es-ES"/>
        </w:rPr>
        <w:t>es</w:t>
      </w:r>
      <w:r w:rsidRPr="00863A15">
        <w:rPr>
          <w:lang w:val="es-ES"/>
        </w:rPr>
        <w:t xml:space="preserve"> obligatorio presentar una representación gráfica de una marca de movimiento; en las otras dos oficinas de P.I. (AU y CA), la representación gráfica </w:t>
      </w:r>
      <w:r w:rsidR="00F251F0" w:rsidRPr="00863A15">
        <w:rPr>
          <w:lang w:val="es-ES"/>
        </w:rPr>
        <w:t>puede</w:t>
      </w:r>
      <w:r w:rsidRPr="00863A15">
        <w:rPr>
          <w:lang w:val="es-ES"/>
        </w:rPr>
        <w:t xml:space="preserve"> </w:t>
      </w:r>
      <w:r w:rsidR="002A507A" w:rsidRPr="00863A15">
        <w:rPr>
          <w:lang w:val="es-ES"/>
        </w:rPr>
        <w:t>reemplazarse</w:t>
      </w:r>
      <w:r w:rsidRPr="00863A15">
        <w:rPr>
          <w:lang w:val="es-ES"/>
        </w:rPr>
        <w:t xml:space="preserve"> (o sustit</w:t>
      </w:r>
      <w:r w:rsidR="002A507A" w:rsidRPr="00863A15">
        <w:rPr>
          <w:lang w:val="es-ES"/>
        </w:rPr>
        <w:t>uirse</w:t>
      </w:r>
      <w:r w:rsidR="00192036" w:rsidRPr="00863A15">
        <w:rPr>
          <w:lang w:val="es-ES"/>
        </w:rPr>
        <w:t xml:space="preserve">) mediante la grabación </w:t>
      </w:r>
      <w:r w:rsidRPr="00863A15">
        <w:rPr>
          <w:lang w:val="es-ES"/>
        </w:rPr>
        <w:t xml:space="preserve">del movimiento, </w:t>
      </w:r>
      <w:r w:rsidR="00192036" w:rsidRPr="00863A15">
        <w:rPr>
          <w:lang w:val="es-ES"/>
        </w:rPr>
        <w:t>en la medida en que</w:t>
      </w:r>
      <w:r w:rsidRPr="00863A15">
        <w:rPr>
          <w:lang w:val="es-ES"/>
        </w:rPr>
        <w:t xml:space="preserve"> </w:t>
      </w:r>
      <w:r w:rsidR="002A507A" w:rsidRPr="00863A15">
        <w:rPr>
          <w:lang w:val="es-ES"/>
        </w:rPr>
        <w:t xml:space="preserve">se </w:t>
      </w:r>
      <w:r w:rsidR="00CA1EE8" w:rsidRPr="00863A15">
        <w:rPr>
          <w:lang w:val="es-ES"/>
        </w:rPr>
        <w:t>defina</w:t>
      </w:r>
      <w:r w:rsidRPr="00863A15">
        <w:rPr>
          <w:lang w:val="es-ES"/>
        </w:rPr>
        <w:t xml:space="preserve"> claramente el alcance de la protecci</w:t>
      </w:r>
      <w:r w:rsidR="00CA1EE8" w:rsidRPr="00863A15">
        <w:rPr>
          <w:lang w:val="es-ES"/>
        </w:rPr>
        <w:t xml:space="preserve">ón solicitada.  Las </w:t>
      </w:r>
      <w:r w:rsidR="009C63B1" w:rsidRPr="00863A15">
        <w:rPr>
          <w:lang w:val="es-ES"/>
        </w:rPr>
        <w:t>reivindicaciones</w:t>
      </w:r>
      <w:r w:rsidR="00D539C2" w:rsidRPr="00863A15">
        <w:rPr>
          <w:lang w:val="es-ES"/>
        </w:rPr>
        <w:t xml:space="preserve"> de color y </w:t>
      </w:r>
      <w:r w:rsidR="009C63B1" w:rsidRPr="00863A15">
        <w:rPr>
          <w:lang w:val="es-ES"/>
        </w:rPr>
        <w:t xml:space="preserve">las muestras </w:t>
      </w:r>
      <w:r w:rsidR="00F251F0" w:rsidRPr="00863A15">
        <w:rPr>
          <w:lang w:val="es-ES"/>
        </w:rPr>
        <w:t>se consideran</w:t>
      </w:r>
      <w:r w:rsidR="00D539C2" w:rsidRPr="00863A15">
        <w:rPr>
          <w:lang w:val="es-ES"/>
        </w:rPr>
        <w:t xml:space="preserve"> elementos opcionales de </w:t>
      </w:r>
      <w:r w:rsidR="00BC2BF7" w:rsidRPr="00863A15">
        <w:rPr>
          <w:lang w:val="es-ES"/>
        </w:rPr>
        <w:t>la</w:t>
      </w:r>
      <w:r w:rsidR="00D539C2" w:rsidRPr="00863A15">
        <w:rPr>
          <w:lang w:val="es-ES"/>
        </w:rPr>
        <w:t xml:space="preserve"> solicitud de</w:t>
      </w:r>
      <w:r w:rsidR="005911F9">
        <w:rPr>
          <w:lang w:val="es-ES"/>
        </w:rPr>
        <w:t xml:space="preserve"> registro de</w:t>
      </w:r>
      <w:r w:rsidR="00D539C2" w:rsidRPr="00863A15">
        <w:rPr>
          <w:lang w:val="es-ES"/>
        </w:rPr>
        <w:t xml:space="preserve"> marca animada.</w:t>
      </w:r>
    </w:p>
    <w:p w:rsidR="00D539C2" w:rsidRPr="00863A15" w:rsidRDefault="00D539C2" w:rsidP="006A0482">
      <w:pPr>
        <w:pStyle w:val="ONUME"/>
        <w:numPr>
          <w:ilvl w:val="0"/>
          <w:numId w:val="11"/>
        </w:numPr>
        <w:rPr>
          <w:lang w:val="es-ES"/>
        </w:rPr>
      </w:pPr>
      <w:r w:rsidRPr="00863A15">
        <w:rPr>
          <w:lang w:val="es-ES"/>
        </w:rPr>
        <w:t xml:space="preserve">En tres de las cinco oficinas de P.I. (AT, AU y CA) se </w:t>
      </w:r>
      <w:r w:rsidR="000A65F2" w:rsidRPr="00863A15">
        <w:rPr>
          <w:lang w:val="es-ES"/>
        </w:rPr>
        <w:t>debe</w:t>
      </w:r>
      <w:r w:rsidRPr="00863A15">
        <w:rPr>
          <w:lang w:val="es-ES"/>
        </w:rPr>
        <w:t xml:space="preserve"> presentar una sola imagen como descripción textual de una marca animada.  En las otras dos oficinas de P.I. (DE y JP) se </w:t>
      </w:r>
      <w:r w:rsidR="000A65F2" w:rsidRPr="00863A15">
        <w:rPr>
          <w:lang w:val="es-ES"/>
        </w:rPr>
        <w:t>admiten</w:t>
      </w:r>
      <w:r w:rsidRPr="00863A15">
        <w:rPr>
          <w:lang w:val="es-ES"/>
        </w:rPr>
        <w:t xml:space="preserve"> </w:t>
      </w:r>
      <w:r w:rsidR="005911F9">
        <w:rPr>
          <w:lang w:val="es-ES"/>
        </w:rPr>
        <w:t>varias</w:t>
      </w:r>
      <w:r w:rsidRPr="00863A15">
        <w:rPr>
          <w:lang w:val="es-ES"/>
        </w:rPr>
        <w:t xml:space="preserve"> imágenes.</w:t>
      </w:r>
    </w:p>
    <w:p w:rsidR="006A0482" w:rsidRDefault="007E23F1" w:rsidP="006A0482">
      <w:pPr>
        <w:pStyle w:val="ONUME"/>
        <w:numPr>
          <w:ilvl w:val="0"/>
          <w:numId w:val="11"/>
        </w:numPr>
        <w:ind w:right="283"/>
        <w:rPr>
          <w:lang w:val="es-ES"/>
        </w:rPr>
      </w:pPr>
      <w:r w:rsidRPr="00863A15">
        <w:rPr>
          <w:lang w:val="es-ES"/>
        </w:rPr>
        <w:t xml:space="preserve">Ambas oficinas de P.I. </w:t>
      </w:r>
      <w:r w:rsidR="000A65F2" w:rsidRPr="00863A15">
        <w:rPr>
          <w:lang w:val="es-ES"/>
        </w:rPr>
        <w:t>que aceptan</w:t>
      </w:r>
      <w:r w:rsidRPr="00863A15">
        <w:rPr>
          <w:lang w:val="es-ES"/>
        </w:rPr>
        <w:t xml:space="preserve"> el registro del movimiento utilizan el formato de </w:t>
      </w:r>
      <w:r w:rsidR="000E73E9" w:rsidRPr="00863A15">
        <w:rPr>
          <w:lang w:val="es-ES"/>
        </w:rPr>
        <w:t xml:space="preserve">archivo </w:t>
      </w:r>
      <w:r w:rsidRPr="00863A15">
        <w:rPr>
          <w:lang w:val="es-ES"/>
        </w:rPr>
        <w:t>MPEG</w:t>
      </w:r>
      <w:r w:rsidR="00084660" w:rsidRPr="00863A15">
        <w:rPr>
          <w:lang w:val="es-ES"/>
        </w:rPr>
        <w:t xml:space="preserve"> </w:t>
      </w:r>
      <w:r w:rsidR="000E73E9" w:rsidRPr="00863A15">
        <w:rPr>
          <w:lang w:val="es-ES"/>
        </w:rPr>
        <w:t>(AU y CA).</w:t>
      </w:r>
    </w:p>
    <w:p w:rsidR="006A0482" w:rsidRDefault="006A0482">
      <w:pPr>
        <w:rPr>
          <w:lang w:val="es-ES"/>
        </w:rPr>
      </w:pPr>
      <w:r>
        <w:rPr>
          <w:lang w:val="es-ES"/>
        </w:rPr>
        <w:br w:type="page"/>
      </w:r>
    </w:p>
    <w:p w:rsidR="000E73E9" w:rsidRPr="00863A15" w:rsidRDefault="002A507A" w:rsidP="006A0482">
      <w:pPr>
        <w:pStyle w:val="ONUME"/>
        <w:numPr>
          <w:ilvl w:val="0"/>
          <w:numId w:val="11"/>
        </w:numPr>
        <w:spacing w:after="120"/>
        <w:rPr>
          <w:lang w:val="es-ES"/>
        </w:rPr>
      </w:pPr>
      <w:r w:rsidRPr="00863A15">
        <w:rPr>
          <w:lang w:val="es-ES"/>
        </w:rPr>
        <w:lastRenderedPageBreak/>
        <w:t>En las respuestas se mencionaron los</w:t>
      </w:r>
      <w:r w:rsidR="000E73E9" w:rsidRPr="00863A15">
        <w:rPr>
          <w:lang w:val="es-ES"/>
        </w:rPr>
        <w:t xml:space="preserve"> siguientes requisitos relativos a las descripciones textuales de las marcas animadas:</w:t>
      </w:r>
    </w:p>
    <w:p w:rsidR="000E73E9" w:rsidRPr="00863A15" w:rsidRDefault="00A136D8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>
        <w:rPr>
          <w:lang w:val="es-ES"/>
        </w:rPr>
        <w:t xml:space="preserve">que sea </w:t>
      </w:r>
      <w:r w:rsidR="000E73E9" w:rsidRPr="00863A15">
        <w:rPr>
          <w:lang w:val="es-ES"/>
        </w:rPr>
        <w:t>co</w:t>
      </w:r>
      <w:r>
        <w:rPr>
          <w:lang w:val="es-ES"/>
        </w:rPr>
        <w:t>herente</w:t>
      </w:r>
      <w:r w:rsidR="000E73E9" w:rsidRPr="00863A15">
        <w:rPr>
          <w:lang w:val="es-ES"/>
        </w:rPr>
        <w:t xml:space="preserve"> con la representación gráfica;</w:t>
      </w:r>
    </w:p>
    <w:p w:rsidR="000E73E9" w:rsidRPr="00863A15" w:rsidRDefault="00A136D8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>
        <w:rPr>
          <w:lang w:val="es-ES"/>
        </w:rPr>
        <w:t>que describa</w:t>
      </w:r>
      <w:r w:rsidR="000E73E9" w:rsidRPr="00863A15">
        <w:rPr>
          <w:lang w:val="es-ES"/>
        </w:rPr>
        <w:t xml:space="preserve"> </w:t>
      </w:r>
      <w:r w:rsidR="00BC2BF7" w:rsidRPr="00863A15">
        <w:rPr>
          <w:lang w:val="es-ES"/>
        </w:rPr>
        <w:t>el objeto de la protección</w:t>
      </w:r>
      <w:r w:rsidR="000E73E9" w:rsidRPr="00863A15">
        <w:rPr>
          <w:lang w:val="es-ES"/>
        </w:rPr>
        <w:t xml:space="preserve"> de manera clara y objetiva;</w:t>
      </w:r>
    </w:p>
    <w:p w:rsidR="000E73E9" w:rsidRPr="00863A15" w:rsidRDefault="00A136D8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>
        <w:rPr>
          <w:lang w:val="es-ES"/>
        </w:rPr>
        <w:t>que describa</w:t>
      </w:r>
      <w:r w:rsidR="000E73E9" w:rsidRPr="00863A15">
        <w:rPr>
          <w:lang w:val="es-ES"/>
        </w:rPr>
        <w:t xml:space="preserve"> el cambio de forma, el orden de los cambios y </w:t>
      </w:r>
      <w:r w:rsidR="00BC2BF7" w:rsidRPr="00863A15">
        <w:rPr>
          <w:lang w:val="es-ES"/>
        </w:rPr>
        <w:t>la secuencia temporal</w:t>
      </w:r>
      <w:r w:rsidR="000E73E9" w:rsidRPr="00863A15">
        <w:rPr>
          <w:lang w:val="es-ES"/>
        </w:rPr>
        <w:t>;</w:t>
      </w:r>
    </w:p>
    <w:p w:rsidR="000E73E9" w:rsidRPr="00863A15" w:rsidRDefault="00A136D8" w:rsidP="00CF2317">
      <w:pPr>
        <w:pStyle w:val="ONUME"/>
        <w:numPr>
          <w:ilvl w:val="0"/>
          <w:numId w:val="9"/>
        </w:numPr>
        <w:spacing w:after="60"/>
        <w:ind w:left="851" w:hanging="425"/>
        <w:rPr>
          <w:lang w:val="es-ES"/>
        </w:rPr>
      </w:pPr>
      <w:r>
        <w:rPr>
          <w:lang w:val="es-ES"/>
        </w:rPr>
        <w:t>que describa</w:t>
      </w:r>
      <w:r w:rsidR="005911F9">
        <w:rPr>
          <w:lang w:val="es-ES"/>
        </w:rPr>
        <w:t xml:space="preserve"> </w:t>
      </w:r>
      <w:r w:rsidR="000E73E9" w:rsidRPr="00863A15">
        <w:rPr>
          <w:lang w:val="es-ES"/>
        </w:rPr>
        <w:t xml:space="preserve">los elementos auxiliares de la representación gráfica, de haberlos (leyenda); y </w:t>
      </w:r>
    </w:p>
    <w:p w:rsidR="00834EA2" w:rsidRPr="00863A15" w:rsidRDefault="005911F9" w:rsidP="00CF2317">
      <w:pPr>
        <w:pStyle w:val="ONUME"/>
        <w:numPr>
          <w:ilvl w:val="0"/>
          <w:numId w:val="9"/>
        </w:numPr>
        <w:ind w:left="851" w:hanging="425"/>
        <w:rPr>
          <w:lang w:val="es-ES"/>
        </w:rPr>
      </w:pPr>
      <w:r>
        <w:rPr>
          <w:lang w:val="es-ES"/>
        </w:rPr>
        <w:t>que contenga</w:t>
      </w:r>
      <w:r w:rsidR="00834EA2" w:rsidRPr="00863A15">
        <w:rPr>
          <w:lang w:val="es-ES"/>
        </w:rPr>
        <w:t xml:space="preserve"> únicamente texto, hasta 100 palabras.</w:t>
      </w:r>
    </w:p>
    <w:p w:rsidR="00834EA2" w:rsidRPr="00863A15" w:rsidRDefault="009D5A78" w:rsidP="006A0482">
      <w:pPr>
        <w:pStyle w:val="ONUME"/>
        <w:numPr>
          <w:ilvl w:val="0"/>
          <w:numId w:val="11"/>
        </w:numPr>
        <w:rPr>
          <w:lang w:val="es-ES"/>
        </w:rPr>
      </w:pPr>
      <w:r w:rsidRPr="00863A15">
        <w:rPr>
          <w:lang w:val="es-ES"/>
        </w:rPr>
        <w:t xml:space="preserve">La publicación de las marcas animadas debería contener (ya sea en forma obligatoria u opcional) elementos que se consideran partes fundamentales de la representación de la marca. </w:t>
      </w:r>
      <w:r w:rsidR="00BC2BF7" w:rsidRPr="00863A15">
        <w:rPr>
          <w:lang w:val="es-ES"/>
        </w:rPr>
        <w:t xml:space="preserve">En caso </w:t>
      </w:r>
      <w:r w:rsidR="00A136D8">
        <w:rPr>
          <w:lang w:val="es-ES"/>
        </w:rPr>
        <w:t>d</w:t>
      </w:r>
      <w:r w:rsidR="00BC2BF7" w:rsidRPr="00863A15">
        <w:rPr>
          <w:lang w:val="es-ES"/>
        </w:rPr>
        <w:t>e que el</w:t>
      </w:r>
      <w:r w:rsidR="00FD6D96" w:rsidRPr="00863A15">
        <w:rPr>
          <w:lang w:val="es-ES"/>
        </w:rPr>
        <w:t xml:space="preserve"> registro del movimiento </w:t>
      </w:r>
      <w:r w:rsidR="00BC2BF7" w:rsidRPr="00863A15">
        <w:rPr>
          <w:lang w:val="es-ES"/>
        </w:rPr>
        <w:t>s</w:t>
      </w:r>
      <w:r w:rsidR="00A136D8">
        <w:rPr>
          <w:lang w:val="es-ES"/>
        </w:rPr>
        <w:t>ea</w:t>
      </w:r>
      <w:r w:rsidR="00FD6D96" w:rsidRPr="00863A15">
        <w:rPr>
          <w:lang w:val="es-ES"/>
        </w:rPr>
        <w:t xml:space="preserve"> uno de ellos, una oficina de P.I. (CA)</w:t>
      </w:r>
      <w:r w:rsidR="00A136D8">
        <w:rPr>
          <w:lang w:val="es-ES"/>
        </w:rPr>
        <w:t>,</w:t>
      </w:r>
      <w:r w:rsidR="00FD6D96" w:rsidRPr="00863A15">
        <w:rPr>
          <w:lang w:val="es-ES"/>
        </w:rPr>
        <w:t xml:space="preserve"> </w:t>
      </w:r>
      <w:r w:rsidR="00BC2BF7" w:rsidRPr="00863A15">
        <w:rPr>
          <w:lang w:val="es-ES"/>
        </w:rPr>
        <w:t>en lugar de publicar el fichero, incluye el</w:t>
      </w:r>
      <w:r w:rsidR="00FD6D96" w:rsidRPr="00863A15">
        <w:rPr>
          <w:lang w:val="es-ES"/>
        </w:rPr>
        <w:t xml:space="preserve"> enlace a la base de datos en línea </w:t>
      </w:r>
      <w:r w:rsidR="00BC2BF7" w:rsidRPr="00863A15">
        <w:rPr>
          <w:lang w:val="es-ES"/>
        </w:rPr>
        <w:t>en</w:t>
      </w:r>
      <w:r w:rsidR="00FD6D96" w:rsidRPr="00863A15">
        <w:rPr>
          <w:lang w:val="es-ES"/>
        </w:rPr>
        <w:t xml:space="preserve"> la </w:t>
      </w:r>
      <w:r w:rsidR="000234BE" w:rsidRPr="00863A15">
        <w:rPr>
          <w:lang w:val="es-ES"/>
        </w:rPr>
        <w:t>publicación de la marca.</w:t>
      </w:r>
    </w:p>
    <w:p w:rsidR="000234BE" w:rsidRPr="00863A15" w:rsidRDefault="00003500" w:rsidP="006A0482">
      <w:pPr>
        <w:pStyle w:val="ONUME"/>
        <w:numPr>
          <w:ilvl w:val="0"/>
          <w:numId w:val="11"/>
        </w:numPr>
        <w:spacing w:after="120"/>
        <w:rPr>
          <w:lang w:val="es-ES"/>
        </w:rPr>
      </w:pPr>
      <w:r w:rsidRPr="00863A15">
        <w:rPr>
          <w:lang w:val="es-ES"/>
        </w:rPr>
        <w:t>En sus respuestas a la encuesta, los miembros del Equipo Técnico realizaron los siguientes comentarios y propuestas:</w:t>
      </w:r>
    </w:p>
    <w:p w:rsidR="002C7E8A" w:rsidRPr="00863A15" w:rsidRDefault="002C7E8A" w:rsidP="00CF2317">
      <w:pPr>
        <w:pStyle w:val="ONUME"/>
        <w:numPr>
          <w:ilvl w:val="0"/>
          <w:numId w:val="10"/>
        </w:numPr>
        <w:tabs>
          <w:tab w:val="clear" w:pos="1134"/>
          <w:tab w:val="num" w:pos="851"/>
        </w:tabs>
        <w:spacing w:after="60"/>
        <w:ind w:left="426"/>
        <w:rPr>
          <w:lang w:val="es-ES"/>
        </w:rPr>
      </w:pPr>
      <w:r w:rsidRPr="00863A15">
        <w:rPr>
          <w:lang w:val="es-ES"/>
        </w:rPr>
        <w:t>Las Oficinas de P.I. deberían comenzar a aplicar la Directiva Nº 2008/95/C</w:t>
      </w:r>
      <w:r w:rsidR="00A136D8">
        <w:rPr>
          <w:lang w:val="es-ES"/>
        </w:rPr>
        <w:t>E</w:t>
      </w:r>
      <w:r w:rsidRPr="00863A15">
        <w:rPr>
          <w:lang w:val="es-ES"/>
        </w:rPr>
        <w:t xml:space="preserve"> de la Comisión Europea a más tardar en 2019. Se ha propuesto </w:t>
      </w:r>
      <w:r w:rsidR="000A65F2" w:rsidRPr="00863A15">
        <w:rPr>
          <w:lang w:val="es-ES"/>
        </w:rPr>
        <w:t>aplazar</w:t>
      </w:r>
      <w:r w:rsidRPr="00863A15">
        <w:rPr>
          <w:lang w:val="es-ES"/>
        </w:rPr>
        <w:t xml:space="preserve"> </w:t>
      </w:r>
      <w:r w:rsidR="00A136D8" w:rsidRPr="00863A15">
        <w:rPr>
          <w:lang w:val="es-ES"/>
        </w:rPr>
        <w:t xml:space="preserve">hasta entonces </w:t>
      </w:r>
      <w:r w:rsidRPr="00863A15">
        <w:rPr>
          <w:lang w:val="es-ES"/>
        </w:rPr>
        <w:t>la elaboración de la norma</w:t>
      </w:r>
      <w:r w:rsidR="001E4EE2">
        <w:rPr>
          <w:lang w:val="es-ES"/>
        </w:rPr>
        <w:t xml:space="preserve"> técnica</w:t>
      </w:r>
      <w:r w:rsidRPr="00863A15">
        <w:rPr>
          <w:lang w:val="es-ES"/>
        </w:rPr>
        <w:t>;</w:t>
      </w:r>
    </w:p>
    <w:p w:rsidR="002C7E8A" w:rsidRPr="00863A15" w:rsidRDefault="002C7E8A" w:rsidP="00CF2317">
      <w:pPr>
        <w:pStyle w:val="ONUME"/>
        <w:numPr>
          <w:ilvl w:val="0"/>
          <w:numId w:val="10"/>
        </w:numPr>
        <w:tabs>
          <w:tab w:val="clear" w:pos="1134"/>
          <w:tab w:val="num" w:pos="851"/>
        </w:tabs>
        <w:spacing w:after="60"/>
        <w:ind w:left="426"/>
        <w:rPr>
          <w:lang w:val="es-ES"/>
        </w:rPr>
      </w:pPr>
      <w:r w:rsidRPr="00863A15">
        <w:rPr>
          <w:lang w:val="es-ES"/>
        </w:rPr>
        <w:t xml:space="preserve">Las recomendaciones relativas a la gestión electrónica de las marcas animadas y multimedia </w:t>
      </w:r>
      <w:r w:rsidR="00BC5207" w:rsidRPr="00863A15">
        <w:rPr>
          <w:lang w:val="es-ES"/>
        </w:rPr>
        <w:t xml:space="preserve">no deberían ser obligatorias y las oficinas de P.I. </w:t>
      </w:r>
      <w:r w:rsidR="00685D4E" w:rsidRPr="00863A15">
        <w:rPr>
          <w:lang w:val="es-ES"/>
        </w:rPr>
        <w:t>deberían tener la posibilidad de adoptarlas</w:t>
      </w:r>
      <w:r w:rsidR="00BC5207" w:rsidRPr="00863A15">
        <w:rPr>
          <w:lang w:val="es-ES"/>
        </w:rPr>
        <w:t xml:space="preserve"> parcialmente;</w:t>
      </w:r>
    </w:p>
    <w:p w:rsidR="00BC5207" w:rsidRPr="00863A15" w:rsidRDefault="00BC5207" w:rsidP="00CF2317">
      <w:pPr>
        <w:pStyle w:val="ONUME"/>
        <w:numPr>
          <w:ilvl w:val="0"/>
          <w:numId w:val="10"/>
        </w:numPr>
        <w:tabs>
          <w:tab w:val="clear" w:pos="1134"/>
          <w:tab w:val="num" w:pos="851"/>
        </w:tabs>
        <w:spacing w:after="60"/>
        <w:ind w:left="426"/>
        <w:rPr>
          <w:lang w:val="es-ES"/>
        </w:rPr>
      </w:pPr>
      <w:r w:rsidRPr="00863A15">
        <w:rPr>
          <w:lang w:val="es-ES"/>
        </w:rPr>
        <w:t xml:space="preserve">Se ha propuesto que todos los formatos recomendados </w:t>
      </w:r>
      <w:r w:rsidR="00BC2BF7" w:rsidRPr="00863A15">
        <w:rPr>
          <w:lang w:val="es-ES"/>
        </w:rPr>
        <w:t>en</w:t>
      </w:r>
      <w:r w:rsidRPr="00863A15">
        <w:rPr>
          <w:lang w:val="es-ES"/>
        </w:rPr>
        <w:t xml:space="preserve"> la norma </w:t>
      </w:r>
      <w:r w:rsidR="00685D4E" w:rsidRPr="00863A15">
        <w:rPr>
          <w:lang w:val="es-ES"/>
        </w:rPr>
        <w:t>sean</w:t>
      </w:r>
      <w:r w:rsidRPr="00863A15">
        <w:rPr>
          <w:lang w:val="es-ES"/>
        </w:rPr>
        <w:t xml:space="preserve"> de uso general y que no se </w:t>
      </w:r>
      <w:r w:rsidR="00685D4E" w:rsidRPr="00863A15">
        <w:rPr>
          <w:lang w:val="es-ES"/>
        </w:rPr>
        <w:t>adopten</w:t>
      </w:r>
      <w:r w:rsidRPr="00863A15">
        <w:rPr>
          <w:lang w:val="es-ES"/>
        </w:rPr>
        <w:t xml:space="preserve"> los formatos menos utilizados;</w:t>
      </w:r>
    </w:p>
    <w:p w:rsidR="00BC5207" w:rsidRPr="00863A15" w:rsidRDefault="00BC5207" w:rsidP="00CF2317">
      <w:pPr>
        <w:pStyle w:val="ONUME"/>
        <w:numPr>
          <w:ilvl w:val="0"/>
          <w:numId w:val="10"/>
        </w:numPr>
        <w:tabs>
          <w:tab w:val="clear" w:pos="1134"/>
          <w:tab w:val="num" w:pos="851"/>
        </w:tabs>
        <w:spacing w:after="60"/>
        <w:ind w:left="426"/>
        <w:rPr>
          <w:lang w:val="es-ES"/>
        </w:rPr>
      </w:pPr>
      <w:r w:rsidRPr="00863A15">
        <w:rPr>
          <w:lang w:val="es-ES"/>
        </w:rPr>
        <w:t xml:space="preserve">Se </w:t>
      </w:r>
      <w:r w:rsidR="000A65F2" w:rsidRPr="00863A15">
        <w:rPr>
          <w:lang w:val="es-ES"/>
        </w:rPr>
        <w:t>ha propuesto</w:t>
      </w:r>
      <w:r w:rsidRPr="00863A15">
        <w:rPr>
          <w:lang w:val="es-ES"/>
        </w:rPr>
        <w:t xml:space="preserve"> utiliz</w:t>
      </w:r>
      <w:r w:rsidR="00685D4E" w:rsidRPr="00863A15">
        <w:rPr>
          <w:lang w:val="es-ES"/>
        </w:rPr>
        <w:t>a</w:t>
      </w:r>
      <w:r w:rsidRPr="00863A15">
        <w:rPr>
          <w:lang w:val="es-ES"/>
        </w:rPr>
        <w:t>r el</w:t>
      </w:r>
      <w:r w:rsidR="000A65F2" w:rsidRPr="00863A15">
        <w:rPr>
          <w:lang w:val="es-ES"/>
        </w:rPr>
        <w:t xml:space="preserve"> formato MPEG-4</w:t>
      </w:r>
      <w:r w:rsidRPr="00863A15">
        <w:rPr>
          <w:lang w:val="es-ES"/>
        </w:rPr>
        <w:t xml:space="preserve"> para el intercambio de datos a nivel internacional; y</w:t>
      </w:r>
    </w:p>
    <w:p w:rsidR="00BC5207" w:rsidRPr="00863A15" w:rsidRDefault="00BC5207" w:rsidP="00CF2317">
      <w:pPr>
        <w:pStyle w:val="ONUME"/>
        <w:numPr>
          <w:ilvl w:val="0"/>
          <w:numId w:val="10"/>
        </w:numPr>
        <w:tabs>
          <w:tab w:val="clear" w:pos="1134"/>
          <w:tab w:val="num" w:pos="851"/>
        </w:tabs>
        <w:spacing w:after="0"/>
        <w:ind w:left="426"/>
        <w:rPr>
          <w:lang w:val="es-ES"/>
        </w:rPr>
      </w:pPr>
      <w:r w:rsidRPr="00863A15">
        <w:rPr>
          <w:lang w:val="es-ES"/>
        </w:rPr>
        <w:t xml:space="preserve">El Equipo Técnico también </w:t>
      </w:r>
      <w:r w:rsidR="00A136D8">
        <w:rPr>
          <w:lang w:val="es-ES"/>
        </w:rPr>
        <w:t>aclaró el uso de la categoría “C</w:t>
      </w:r>
      <w:r w:rsidRPr="00863A15">
        <w:rPr>
          <w:lang w:val="es-ES"/>
        </w:rPr>
        <w:t>ombinado” en la norma ST.96 de la OMPI, en particular</w:t>
      </w:r>
      <w:r w:rsidR="00550C5E" w:rsidRPr="00863A15">
        <w:rPr>
          <w:lang w:val="es-ES"/>
        </w:rPr>
        <w:t>, si abarcaba</w:t>
      </w:r>
      <w:r w:rsidRPr="00863A15">
        <w:rPr>
          <w:lang w:val="es-ES"/>
        </w:rPr>
        <w:t xml:space="preserve"> </w:t>
      </w:r>
      <w:r w:rsidR="00A136D8">
        <w:rPr>
          <w:lang w:val="es-ES"/>
        </w:rPr>
        <w:t xml:space="preserve">las </w:t>
      </w:r>
      <w:r w:rsidRPr="00863A15">
        <w:rPr>
          <w:lang w:val="es-ES"/>
        </w:rPr>
        <w:t>marcas multimedia.</w:t>
      </w:r>
    </w:p>
    <w:p w:rsidR="00252185" w:rsidRPr="00863A15" w:rsidRDefault="00252185" w:rsidP="006A0482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252185" w:rsidRPr="00863A15" w:rsidRDefault="00252185" w:rsidP="006A0482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6A0482" w:rsidRPr="00863A15" w:rsidRDefault="00252185" w:rsidP="006A0482">
      <w:pPr>
        <w:pStyle w:val="Endofdocument-Annex"/>
        <w:ind w:left="5529"/>
        <w:rPr>
          <w:lang w:val="es-ES"/>
        </w:rPr>
      </w:pPr>
      <w:r w:rsidRPr="00863A15">
        <w:rPr>
          <w:lang w:val="es-ES"/>
        </w:rPr>
        <w:t>[</w:t>
      </w:r>
      <w:r w:rsidR="00BC5207" w:rsidRPr="00863A15">
        <w:rPr>
          <w:lang w:val="es-ES"/>
        </w:rPr>
        <w:t>Fin del Anexo y del documento</w:t>
      </w:r>
      <w:r w:rsidRPr="00863A15">
        <w:rPr>
          <w:lang w:val="es-ES"/>
        </w:rPr>
        <w:t>]</w:t>
      </w:r>
    </w:p>
    <w:sectPr w:rsidR="006A0482" w:rsidRPr="00863A15" w:rsidSect="00D31FF1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4B" w:rsidRDefault="00633C4B">
      <w:r>
        <w:separator/>
      </w:r>
    </w:p>
  </w:endnote>
  <w:endnote w:type="continuationSeparator" w:id="0">
    <w:p w:rsidR="00633C4B" w:rsidRDefault="00633C4B" w:rsidP="003B38C1">
      <w:r>
        <w:separator/>
      </w:r>
    </w:p>
    <w:p w:rsidR="00633C4B" w:rsidRPr="003B38C1" w:rsidRDefault="00633C4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33C4B" w:rsidRPr="003B38C1" w:rsidRDefault="00633C4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4B" w:rsidRDefault="00633C4B">
      <w:r>
        <w:separator/>
      </w:r>
    </w:p>
  </w:footnote>
  <w:footnote w:type="continuationSeparator" w:id="0">
    <w:p w:rsidR="00633C4B" w:rsidRDefault="00633C4B" w:rsidP="008B60B2">
      <w:r>
        <w:separator/>
      </w:r>
    </w:p>
    <w:p w:rsidR="00633C4B" w:rsidRPr="00ED77FB" w:rsidRDefault="00633C4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33C4B" w:rsidRPr="00ED77FB" w:rsidRDefault="00633C4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2" w:rsidRPr="00B60126" w:rsidRDefault="00B90912">
    <w:pPr>
      <w:pStyle w:val="Header"/>
      <w:jc w:val="right"/>
      <w:rPr>
        <w:lang w:val="es-ES"/>
      </w:rPr>
    </w:pPr>
    <w:r w:rsidRPr="00B60126">
      <w:rPr>
        <w:lang w:val="es-ES"/>
      </w:rPr>
      <w:t>CWS/5/10</w:t>
    </w:r>
  </w:p>
  <w:p w:rsidR="00B90912" w:rsidRPr="00B60126" w:rsidRDefault="00B60126">
    <w:pPr>
      <w:pStyle w:val="Header"/>
      <w:jc w:val="right"/>
      <w:rPr>
        <w:lang w:val="es-ES"/>
      </w:rPr>
    </w:pPr>
    <w:r w:rsidRPr="00B60126">
      <w:rPr>
        <w:lang w:val="es-ES"/>
      </w:rPr>
      <w:t>An</w:t>
    </w:r>
    <w:r w:rsidR="00B90912" w:rsidRPr="00B60126">
      <w:rPr>
        <w:lang w:val="es-ES"/>
      </w:rPr>
      <w:t>ex</w:t>
    </w:r>
    <w:r w:rsidRPr="00B60126">
      <w:rPr>
        <w:lang w:val="es-ES"/>
      </w:rPr>
      <w:t>o</w:t>
    </w:r>
    <w:r w:rsidR="00B90912" w:rsidRPr="00B60126">
      <w:rPr>
        <w:lang w:val="es-ES"/>
      </w:rPr>
      <w:t>, p</w:t>
    </w:r>
    <w:r w:rsidRPr="00B60126">
      <w:rPr>
        <w:lang w:val="es-ES"/>
      </w:rPr>
      <w:t>ágina</w:t>
    </w:r>
    <w:r w:rsidR="00B90912" w:rsidRPr="00B60126">
      <w:rPr>
        <w:lang w:val="es-ES"/>
      </w:rPr>
      <w:t xml:space="preserve"> </w:t>
    </w:r>
    <w:sdt>
      <w:sdtPr>
        <w:rPr>
          <w:lang w:val="es-ES"/>
        </w:rPr>
        <w:id w:val="-12387838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0912" w:rsidRPr="00B60126">
          <w:rPr>
            <w:lang w:val="es-ES"/>
          </w:rPr>
          <w:fldChar w:fldCharType="begin"/>
        </w:r>
        <w:r w:rsidR="00B90912" w:rsidRPr="00B60126">
          <w:rPr>
            <w:lang w:val="es-ES"/>
          </w:rPr>
          <w:instrText xml:space="preserve"> PAGE   \* MERGEFORMAT </w:instrText>
        </w:r>
        <w:r w:rsidR="00B90912" w:rsidRPr="00B60126">
          <w:rPr>
            <w:lang w:val="es-ES"/>
          </w:rPr>
          <w:fldChar w:fldCharType="separate"/>
        </w:r>
        <w:r w:rsidR="00CF2317">
          <w:rPr>
            <w:noProof/>
            <w:lang w:val="es-ES"/>
          </w:rPr>
          <w:t>2</w:t>
        </w:r>
        <w:r w:rsidR="00B90912" w:rsidRPr="00B60126">
          <w:rPr>
            <w:noProof/>
            <w:lang w:val="es-ES"/>
          </w:rPr>
          <w:fldChar w:fldCharType="end"/>
        </w:r>
      </w:sdtContent>
    </w:sdt>
  </w:p>
  <w:p w:rsidR="00B90912" w:rsidRDefault="00B90912" w:rsidP="00B6246A">
    <w:pPr>
      <w:pStyle w:val="Header"/>
      <w:jc w:val="right"/>
      <w:rPr>
        <w:lang w:val="es-ES"/>
      </w:rPr>
    </w:pPr>
  </w:p>
  <w:p w:rsidR="006A0482" w:rsidRPr="00B60126" w:rsidRDefault="006A0482" w:rsidP="00B6246A">
    <w:pPr>
      <w:pStyle w:val="Header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2" w:rsidRDefault="00B90912" w:rsidP="00B90912">
    <w:pPr>
      <w:pStyle w:val="Header"/>
      <w:jc w:val="right"/>
    </w:pPr>
    <w:r>
      <w:t>CWS/5/10</w:t>
    </w:r>
  </w:p>
  <w:p w:rsidR="00B90912" w:rsidRDefault="00B90912" w:rsidP="00B90912">
    <w:pPr>
      <w:pStyle w:val="Header"/>
      <w:jc w:val="right"/>
    </w:pPr>
    <w:r>
      <w:t>ANEX</w:t>
    </w:r>
    <w:r w:rsidR="00B60126">
      <w:t>O</w:t>
    </w:r>
  </w:p>
  <w:p w:rsidR="00B90912" w:rsidRDefault="00B90912" w:rsidP="00B90912">
    <w:pPr>
      <w:pStyle w:val="Header"/>
      <w:jc w:val="right"/>
    </w:pPr>
  </w:p>
  <w:p w:rsidR="006A0482" w:rsidRDefault="006A0482" w:rsidP="00B909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B1986"/>
    <w:multiLevelType w:val="hybridMultilevel"/>
    <w:tmpl w:val="B290EE0A"/>
    <w:lvl w:ilvl="0" w:tplc="BF42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E32E8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8">
    <w:nsid w:val="595F551F"/>
    <w:multiLevelType w:val="hybridMultilevel"/>
    <w:tmpl w:val="9710B682"/>
    <w:lvl w:ilvl="0" w:tplc="EFEE3688">
      <w:start w:val="1"/>
      <w:numFmt w:val="lowerLetter"/>
      <w:lvlText w:val="(%1)"/>
      <w:lvlJc w:val="left"/>
      <w:pPr>
        <w:ind w:left="5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42" w:hanging="360"/>
      </w:pPr>
    </w:lvl>
    <w:lvl w:ilvl="2" w:tplc="0409001B" w:tentative="1">
      <w:start w:val="1"/>
      <w:numFmt w:val="lowerRoman"/>
      <w:lvlText w:val="%3."/>
      <w:lvlJc w:val="right"/>
      <w:pPr>
        <w:ind w:left="6662" w:hanging="180"/>
      </w:pPr>
    </w:lvl>
    <w:lvl w:ilvl="3" w:tplc="0409000F" w:tentative="1">
      <w:start w:val="1"/>
      <w:numFmt w:val="decimal"/>
      <w:lvlText w:val="%4."/>
      <w:lvlJc w:val="left"/>
      <w:pPr>
        <w:ind w:left="7382" w:hanging="360"/>
      </w:pPr>
    </w:lvl>
    <w:lvl w:ilvl="4" w:tplc="04090019" w:tentative="1">
      <w:start w:val="1"/>
      <w:numFmt w:val="lowerLetter"/>
      <w:lvlText w:val="%5."/>
      <w:lvlJc w:val="left"/>
      <w:pPr>
        <w:ind w:left="8102" w:hanging="360"/>
      </w:pPr>
    </w:lvl>
    <w:lvl w:ilvl="5" w:tplc="0409001B" w:tentative="1">
      <w:start w:val="1"/>
      <w:numFmt w:val="lowerRoman"/>
      <w:lvlText w:val="%6."/>
      <w:lvlJc w:val="right"/>
      <w:pPr>
        <w:ind w:left="8822" w:hanging="180"/>
      </w:pPr>
    </w:lvl>
    <w:lvl w:ilvl="6" w:tplc="0409000F" w:tentative="1">
      <w:start w:val="1"/>
      <w:numFmt w:val="decimal"/>
      <w:lvlText w:val="%7."/>
      <w:lvlJc w:val="left"/>
      <w:pPr>
        <w:ind w:left="9542" w:hanging="360"/>
      </w:pPr>
    </w:lvl>
    <w:lvl w:ilvl="7" w:tplc="04090019" w:tentative="1">
      <w:start w:val="1"/>
      <w:numFmt w:val="lowerLetter"/>
      <w:lvlText w:val="%8."/>
      <w:lvlJc w:val="left"/>
      <w:pPr>
        <w:ind w:left="10262" w:hanging="360"/>
      </w:pPr>
    </w:lvl>
    <w:lvl w:ilvl="8" w:tplc="0409001B" w:tentative="1">
      <w:start w:val="1"/>
      <w:numFmt w:val="lowerRoman"/>
      <w:lvlText w:val="%9."/>
      <w:lvlJc w:val="right"/>
      <w:pPr>
        <w:ind w:left="10982" w:hanging="180"/>
      </w:pPr>
    </w:lvl>
  </w:abstractNum>
  <w:abstractNum w:abstractNumId="9">
    <w:nsid w:val="5EA82C42"/>
    <w:multiLevelType w:val="multilevel"/>
    <w:tmpl w:val="2688A716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4B"/>
    <w:rsid w:val="00003500"/>
    <w:rsid w:val="000234BE"/>
    <w:rsid w:val="00043CAA"/>
    <w:rsid w:val="00044D72"/>
    <w:rsid w:val="00075432"/>
    <w:rsid w:val="00084660"/>
    <w:rsid w:val="000968ED"/>
    <w:rsid w:val="000A65F2"/>
    <w:rsid w:val="000D7883"/>
    <w:rsid w:val="000E73E9"/>
    <w:rsid w:val="000F344A"/>
    <w:rsid w:val="000F5E56"/>
    <w:rsid w:val="001362EE"/>
    <w:rsid w:val="0014477A"/>
    <w:rsid w:val="001647D5"/>
    <w:rsid w:val="001832A6"/>
    <w:rsid w:val="00192036"/>
    <w:rsid w:val="001A0690"/>
    <w:rsid w:val="001E4EE2"/>
    <w:rsid w:val="0021217E"/>
    <w:rsid w:val="00252185"/>
    <w:rsid w:val="002634C4"/>
    <w:rsid w:val="0029119F"/>
    <w:rsid w:val="002928D3"/>
    <w:rsid w:val="002A507A"/>
    <w:rsid w:val="002C7E8A"/>
    <w:rsid w:val="002F1FE6"/>
    <w:rsid w:val="002F4E68"/>
    <w:rsid w:val="00312F7F"/>
    <w:rsid w:val="0033397D"/>
    <w:rsid w:val="00361450"/>
    <w:rsid w:val="003673CF"/>
    <w:rsid w:val="003736BD"/>
    <w:rsid w:val="003758EF"/>
    <w:rsid w:val="003845C1"/>
    <w:rsid w:val="003A48D3"/>
    <w:rsid w:val="003A6F89"/>
    <w:rsid w:val="003B38C1"/>
    <w:rsid w:val="00423E3E"/>
    <w:rsid w:val="00427AF4"/>
    <w:rsid w:val="004647DA"/>
    <w:rsid w:val="00474062"/>
    <w:rsid w:val="00477D6B"/>
    <w:rsid w:val="004B0BDB"/>
    <w:rsid w:val="005019FF"/>
    <w:rsid w:val="0053057A"/>
    <w:rsid w:val="00546CF8"/>
    <w:rsid w:val="00550C5E"/>
    <w:rsid w:val="00560A29"/>
    <w:rsid w:val="00577BCE"/>
    <w:rsid w:val="005911F9"/>
    <w:rsid w:val="005A153F"/>
    <w:rsid w:val="005C6649"/>
    <w:rsid w:val="00605827"/>
    <w:rsid w:val="00633C4B"/>
    <w:rsid w:val="00646050"/>
    <w:rsid w:val="006713CA"/>
    <w:rsid w:val="00676130"/>
    <w:rsid w:val="00676C5C"/>
    <w:rsid w:val="00685D4E"/>
    <w:rsid w:val="006A0482"/>
    <w:rsid w:val="006A6DBF"/>
    <w:rsid w:val="00794D28"/>
    <w:rsid w:val="007D1613"/>
    <w:rsid w:val="007E23F1"/>
    <w:rsid w:val="007E4C0E"/>
    <w:rsid w:val="007F2036"/>
    <w:rsid w:val="00830549"/>
    <w:rsid w:val="00834EA2"/>
    <w:rsid w:val="00863A15"/>
    <w:rsid w:val="008B2CC1"/>
    <w:rsid w:val="008B60B2"/>
    <w:rsid w:val="008B66FE"/>
    <w:rsid w:val="008D4A3E"/>
    <w:rsid w:val="0090731E"/>
    <w:rsid w:val="00916EE2"/>
    <w:rsid w:val="00966A22"/>
    <w:rsid w:val="0096722F"/>
    <w:rsid w:val="00980843"/>
    <w:rsid w:val="009C63B1"/>
    <w:rsid w:val="009D2E64"/>
    <w:rsid w:val="009D5A78"/>
    <w:rsid w:val="009E2791"/>
    <w:rsid w:val="009E3F6F"/>
    <w:rsid w:val="009F499F"/>
    <w:rsid w:val="00A010E9"/>
    <w:rsid w:val="00A136D8"/>
    <w:rsid w:val="00A26578"/>
    <w:rsid w:val="00A42DAF"/>
    <w:rsid w:val="00A45BD8"/>
    <w:rsid w:val="00A76056"/>
    <w:rsid w:val="00A869B7"/>
    <w:rsid w:val="00AC205C"/>
    <w:rsid w:val="00AF0A6B"/>
    <w:rsid w:val="00B05A69"/>
    <w:rsid w:val="00B53D75"/>
    <w:rsid w:val="00B60126"/>
    <w:rsid w:val="00B6246A"/>
    <w:rsid w:val="00B90912"/>
    <w:rsid w:val="00B9734B"/>
    <w:rsid w:val="00BA30E2"/>
    <w:rsid w:val="00BC2BF7"/>
    <w:rsid w:val="00BC5207"/>
    <w:rsid w:val="00C11BFE"/>
    <w:rsid w:val="00C5068F"/>
    <w:rsid w:val="00C86D74"/>
    <w:rsid w:val="00C91172"/>
    <w:rsid w:val="00CA1EE8"/>
    <w:rsid w:val="00CB3421"/>
    <w:rsid w:val="00CC5BBE"/>
    <w:rsid w:val="00CC6ABB"/>
    <w:rsid w:val="00CD04F1"/>
    <w:rsid w:val="00CF2317"/>
    <w:rsid w:val="00D31FF1"/>
    <w:rsid w:val="00D33B5B"/>
    <w:rsid w:val="00D45252"/>
    <w:rsid w:val="00D539C2"/>
    <w:rsid w:val="00D71B4D"/>
    <w:rsid w:val="00D8241C"/>
    <w:rsid w:val="00D93D55"/>
    <w:rsid w:val="00DE460F"/>
    <w:rsid w:val="00E15015"/>
    <w:rsid w:val="00E1782A"/>
    <w:rsid w:val="00E335FE"/>
    <w:rsid w:val="00EC090B"/>
    <w:rsid w:val="00EC4E49"/>
    <w:rsid w:val="00EC59D6"/>
    <w:rsid w:val="00ED77FB"/>
    <w:rsid w:val="00EE45FA"/>
    <w:rsid w:val="00EF6AC8"/>
    <w:rsid w:val="00F251F0"/>
    <w:rsid w:val="00F66152"/>
    <w:rsid w:val="00F675F1"/>
    <w:rsid w:val="00F9090D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A319-4468-4C74-8629-5445BA15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3</TotalTime>
  <Pages>2</Pages>
  <Words>756</Words>
  <Characters>3811</Characters>
  <Application>Microsoft Office Word</Application>
  <DocSecurity>0</DocSecurity>
  <Lines>127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CWS/5/10 Anexo</vt:lpstr>
    </vt:vector>
  </TitlesOfParts>
  <Company>WIPO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CWS/5/10 Annex (in Spanish)</dc:title>
  <dc:subject>Report on the Preparation of a new WIPO Standard for the electronic management of motion and multimedia marks</dc:subject>
  <dc:creator>WIPO</dc:creator>
  <cp:keywords>CWS</cp:keywords>
  <dc:description/>
  <cp:lastModifiedBy>ZAGO Bétina</cp:lastModifiedBy>
  <cp:revision>4</cp:revision>
  <cp:lastPrinted>2017-04-11T16:37:00Z</cp:lastPrinted>
  <dcterms:created xsi:type="dcterms:W3CDTF">2017-04-27T11:55:00Z</dcterms:created>
  <dcterms:modified xsi:type="dcterms:W3CDTF">2017-04-27T12:35:00Z</dcterms:modified>
</cp:coreProperties>
</file>