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78B" w:rsidRPr="008F2284" w:rsidRDefault="00E121C9" w:rsidP="00B72302">
      <w:pPr>
        <w:pStyle w:val="Heading1"/>
        <w:rPr>
          <w:lang w:val="es-ES" w:eastAsia="en-US"/>
        </w:rPr>
      </w:pPr>
      <w:r w:rsidRPr="008F2284">
        <w:rPr>
          <w:lang w:val="es-ES" w:eastAsia="en-US"/>
        </w:rPr>
        <w:t xml:space="preserve">PROPUESTA </w:t>
      </w:r>
      <w:r w:rsidRPr="002407BC">
        <w:rPr>
          <w:lang w:val="es-CO"/>
        </w:rPr>
        <w:t>RELATIVA</w:t>
      </w:r>
      <w:r w:rsidRPr="008F2284">
        <w:rPr>
          <w:lang w:val="es-ES" w:eastAsia="en-US"/>
        </w:rPr>
        <w:t xml:space="preserve"> A LA APLICACIÓN DEL PÁRRAFO 14 DE LA NORMA ST.14 DE LA OMPI  </w:t>
      </w:r>
    </w:p>
    <w:p w:rsidR="00EB778B" w:rsidRPr="008F2284" w:rsidRDefault="00EB778B" w:rsidP="00EA2686">
      <w:pPr>
        <w:rPr>
          <w:rFonts w:eastAsia="Times New Roman"/>
          <w:lang w:val="es-ES" w:eastAsia="en-US"/>
        </w:rPr>
      </w:pPr>
    </w:p>
    <w:p w:rsidR="00EB778B" w:rsidRPr="008F2284" w:rsidRDefault="00E121C9" w:rsidP="00B72302">
      <w:pPr>
        <w:pStyle w:val="ONUMFS"/>
        <w:rPr>
          <w:lang w:val="es-ES"/>
        </w:rPr>
      </w:pPr>
      <w:r w:rsidRPr="008F2284">
        <w:rPr>
          <w:lang w:val="es-ES"/>
        </w:rPr>
        <w:t>Este documento contiene la propuesta relativa a la aplicación del párrafo</w:t>
      </w:r>
      <w:r w:rsidR="00B72302">
        <w:rPr>
          <w:lang w:val="es-ES"/>
        </w:rPr>
        <w:t> </w:t>
      </w:r>
      <w:r w:rsidRPr="008F2284">
        <w:rPr>
          <w:lang w:val="es-ES"/>
        </w:rPr>
        <w:t>14 de la Norma</w:t>
      </w:r>
      <w:r w:rsidR="00792560">
        <w:rPr>
          <w:lang w:val="es-ES"/>
        </w:rPr>
        <w:t> </w:t>
      </w:r>
      <w:r w:rsidRPr="008F2284">
        <w:rPr>
          <w:lang w:val="es-ES"/>
        </w:rPr>
        <w:t>ST.14 de la OMPI preparada por el Equipo Técnico ST.14, de conformidad con el primer componente de la Tarea Nº</w:t>
      </w:r>
      <w:r w:rsidR="003F04D1">
        <w:rPr>
          <w:lang w:val="es-ES"/>
        </w:rPr>
        <w:t xml:space="preserve"> </w:t>
      </w:r>
      <w:r w:rsidRPr="008F2284">
        <w:rPr>
          <w:lang w:val="es-ES"/>
        </w:rPr>
        <w:t xml:space="preserve">45 del programa de trabajo del CWS, y a </w:t>
      </w:r>
      <w:r w:rsidR="004D6C20">
        <w:rPr>
          <w:lang w:val="es-ES"/>
        </w:rPr>
        <w:t>petición</w:t>
      </w:r>
      <w:r w:rsidRPr="008F2284">
        <w:rPr>
          <w:lang w:val="es-ES"/>
        </w:rPr>
        <w:t xml:space="preserve"> de</w:t>
      </w:r>
      <w:r w:rsidR="003A15C8" w:rsidRPr="008F2284">
        <w:rPr>
          <w:lang w:val="es-ES"/>
        </w:rPr>
        <w:t xml:space="preserve"> dicho Comité </w:t>
      </w:r>
      <w:r w:rsidRPr="008F2284">
        <w:rPr>
          <w:lang w:val="es-ES"/>
        </w:rPr>
        <w:t>(véase el párrafo</w:t>
      </w:r>
      <w:r w:rsidR="00792560">
        <w:rPr>
          <w:lang w:val="es-ES"/>
        </w:rPr>
        <w:t> </w:t>
      </w:r>
      <w:r w:rsidRPr="008F2284">
        <w:rPr>
          <w:lang w:val="es-ES"/>
        </w:rPr>
        <w:t>39 del documento</w:t>
      </w:r>
      <w:r w:rsidR="00792560">
        <w:rPr>
          <w:lang w:val="es-ES"/>
        </w:rPr>
        <w:t> </w:t>
      </w:r>
      <w:r w:rsidRPr="008F2284">
        <w:rPr>
          <w:lang w:val="es-ES"/>
        </w:rPr>
        <w:t xml:space="preserve">CWS/3/14). </w:t>
      </w:r>
    </w:p>
    <w:p w:rsidR="00EB778B" w:rsidRPr="008F2284" w:rsidRDefault="00FF4CDD" w:rsidP="00B72302">
      <w:pPr>
        <w:pStyle w:val="ONUMFS"/>
        <w:rPr>
          <w:lang w:val="es-ES"/>
        </w:rPr>
      </w:pPr>
      <w:r w:rsidRPr="008F2284">
        <w:rPr>
          <w:lang w:val="es-ES"/>
        </w:rPr>
        <w:t>A fin de disponer de tiempo suficiente (no menos de un año) para que las oficinas de propiedad industrial puedan aplicar la Norma revisada, y para alinear la revisión de la Norma</w:t>
      </w:r>
      <w:r w:rsidR="00792560">
        <w:rPr>
          <w:lang w:val="es-ES"/>
        </w:rPr>
        <w:t> </w:t>
      </w:r>
      <w:r w:rsidRPr="008F2284">
        <w:rPr>
          <w:lang w:val="es-ES"/>
        </w:rPr>
        <w:t>ST.14 con la</w:t>
      </w:r>
      <w:r w:rsidR="004D6C20">
        <w:rPr>
          <w:lang w:val="es-ES"/>
        </w:rPr>
        <w:t xml:space="preserve"> revisión de la</w:t>
      </w:r>
      <w:r w:rsidRPr="008F2284">
        <w:rPr>
          <w:lang w:val="es-ES"/>
        </w:rPr>
        <w:t xml:space="preserve"> Instrucción Administrativa del PCT, se propone como fecha de aplicación</w:t>
      </w:r>
      <w:r w:rsidR="003A15C8" w:rsidRPr="008F2284">
        <w:rPr>
          <w:lang w:val="es-ES"/>
        </w:rPr>
        <w:t xml:space="preserve"> el 1</w:t>
      </w:r>
      <w:r w:rsidR="00792560">
        <w:rPr>
          <w:lang w:val="es-ES"/>
        </w:rPr>
        <w:t> </w:t>
      </w:r>
      <w:r w:rsidR="003A15C8" w:rsidRPr="008F2284">
        <w:rPr>
          <w:lang w:val="es-ES"/>
        </w:rPr>
        <w:t>de julio de</w:t>
      </w:r>
      <w:r w:rsidR="00792560">
        <w:rPr>
          <w:lang w:val="es-ES"/>
        </w:rPr>
        <w:t> </w:t>
      </w:r>
      <w:r w:rsidR="003A15C8" w:rsidRPr="008F2284">
        <w:rPr>
          <w:lang w:val="es-ES"/>
        </w:rPr>
        <w:t>2015</w:t>
      </w:r>
      <w:r w:rsidRPr="008F2284">
        <w:rPr>
          <w:lang w:val="es-ES"/>
        </w:rPr>
        <w:t>, siempre y cuando el CWS adopte la revisión durante su cuarta sesión</w:t>
      </w:r>
      <w:r w:rsidR="00047B59">
        <w:rPr>
          <w:lang w:val="es-ES"/>
        </w:rPr>
        <w:t>,</w:t>
      </w:r>
      <w:r w:rsidRPr="008F2284">
        <w:rPr>
          <w:lang w:val="es-ES"/>
        </w:rPr>
        <w:t xml:space="preserve"> en mayo de</w:t>
      </w:r>
      <w:r w:rsidR="00792560">
        <w:rPr>
          <w:lang w:val="es-ES"/>
        </w:rPr>
        <w:t> </w:t>
      </w:r>
      <w:r w:rsidRPr="008F2284">
        <w:rPr>
          <w:lang w:val="es-ES"/>
        </w:rPr>
        <w:t>2014.</w:t>
      </w:r>
    </w:p>
    <w:p w:rsidR="00EB778B" w:rsidRPr="008F2284" w:rsidRDefault="00FF4CDD" w:rsidP="00B72302">
      <w:pPr>
        <w:pStyle w:val="ONUMFS"/>
        <w:rPr>
          <w:lang w:val="es-ES"/>
        </w:rPr>
      </w:pPr>
      <w:r w:rsidRPr="008F2284">
        <w:rPr>
          <w:lang w:val="es-ES"/>
        </w:rPr>
        <w:t xml:space="preserve">En cuanto al período de transición para la utilización </w:t>
      </w:r>
      <w:r w:rsidR="004D6C20">
        <w:rPr>
          <w:lang w:val="es-ES"/>
        </w:rPr>
        <w:t>al mismo tiempo</w:t>
      </w:r>
      <w:r w:rsidRPr="008F2284">
        <w:rPr>
          <w:lang w:val="es-ES"/>
        </w:rPr>
        <w:t xml:space="preserve"> de los tres códigos “X”, “N” e “I”, el Equipo Técnico llegó a la conclusión de que no es aconsejable</w:t>
      </w:r>
      <w:r w:rsidR="00202DF9">
        <w:rPr>
          <w:lang w:val="es-ES"/>
        </w:rPr>
        <w:t xml:space="preserve"> establecer dicho período</w:t>
      </w:r>
      <w:r w:rsidRPr="008F2284">
        <w:rPr>
          <w:lang w:val="es-ES"/>
        </w:rPr>
        <w:t xml:space="preserve">. </w:t>
      </w:r>
      <w:r w:rsidR="00D91A0E" w:rsidRPr="008F2284">
        <w:rPr>
          <w:lang w:val="es-ES"/>
        </w:rPr>
        <w:t xml:space="preserve"> </w:t>
      </w:r>
      <w:r w:rsidR="00545D96" w:rsidRPr="008F2284">
        <w:rPr>
          <w:lang w:val="es-ES"/>
        </w:rPr>
        <w:t xml:space="preserve">Se explicó que el uso paralelo de los tres códigos </w:t>
      </w:r>
      <w:r w:rsidR="00792560">
        <w:rPr>
          <w:lang w:val="es-ES"/>
        </w:rPr>
        <w:t>“</w:t>
      </w:r>
      <w:r w:rsidR="00545D96" w:rsidRPr="008F2284">
        <w:rPr>
          <w:lang w:val="es-ES"/>
        </w:rPr>
        <w:t>X</w:t>
      </w:r>
      <w:r w:rsidR="00792560">
        <w:rPr>
          <w:lang w:val="es-ES"/>
        </w:rPr>
        <w:t>”</w:t>
      </w:r>
      <w:r w:rsidR="00545D96" w:rsidRPr="008F2284">
        <w:rPr>
          <w:lang w:val="es-ES"/>
        </w:rPr>
        <w:t xml:space="preserve">, </w:t>
      </w:r>
      <w:r w:rsidR="00792560">
        <w:rPr>
          <w:lang w:val="es-ES"/>
        </w:rPr>
        <w:t>“</w:t>
      </w:r>
      <w:r w:rsidR="00545D96" w:rsidRPr="008F2284">
        <w:rPr>
          <w:lang w:val="es-ES"/>
        </w:rPr>
        <w:t>N</w:t>
      </w:r>
      <w:r w:rsidR="00792560">
        <w:rPr>
          <w:lang w:val="es-ES"/>
        </w:rPr>
        <w:t>”</w:t>
      </w:r>
      <w:r w:rsidR="00545D96" w:rsidRPr="008F2284">
        <w:rPr>
          <w:lang w:val="es-ES"/>
        </w:rPr>
        <w:t xml:space="preserve"> e </w:t>
      </w:r>
      <w:r w:rsidR="00792560">
        <w:rPr>
          <w:lang w:val="es-ES"/>
        </w:rPr>
        <w:t>“</w:t>
      </w:r>
      <w:r w:rsidR="00545D96" w:rsidRPr="008F2284">
        <w:rPr>
          <w:lang w:val="es-ES"/>
        </w:rPr>
        <w:t>I</w:t>
      </w:r>
      <w:r w:rsidR="00792560">
        <w:rPr>
          <w:lang w:val="es-ES"/>
        </w:rPr>
        <w:t>”</w:t>
      </w:r>
      <w:r w:rsidR="00545D96" w:rsidRPr="008F2284">
        <w:rPr>
          <w:lang w:val="es-ES"/>
        </w:rPr>
        <w:t xml:space="preserve"> podría dar lugar a confusión y, por </w:t>
      </w:r>
      <w:r w:rsidR="003A15C8" w:rsidRPr="008F2284">
        <w:rPr>
          <w:lang w:val="es-ES"/>
        </w:rPr>
        <w:t xml:space="preserve">lo </w:t>
      </w:r>
      <w:r w:rsidR="00545D96" w:rsidRPr="008F2284">
        <w:rPr>
          <w:lang w:val="es-ES"/>
        </w:rPr>
        <w:t>tanto, el Equipo Técnico propuso al CWS que consider</w:t>
      </w:r>
      <w:r w:rsidR="003A15C8" w:rsidRPr="008F2284">
        <w:rPr>
          <w:lang w:val="es-ES"/>
        </w:rPr>
        <w:t>ara</w:t>
      </w:r>
      <w:r w:rsidR="00545D96" w:rsidRPr="008F2284">
        <w:rPr>
          <w:lang w:val="es-ES"/>
        </w:rPr>
        <w:t xml:space="preserve"> una </w:t>
      </w:r>
      <w:r w:rsidR="00792560">
        <w:rPr>
          <w:lang w:val="es-ES"/>
        </w:rPr>
        <w:t>“</w:t>
      </w:r>
      <w:r w:rsidR="00545D96" w:rsidRPr="008F2284">
        <w:rPr>
          <w:lang w:val="es-ES"/>
        </w:rPr>
        <w:t>transición clara</w:t>
      </w:r>
      <w:r w:rsidR="00792560">
        <w:rPr>
          <w:lang w:val="es-ES"/>
        </w:rPr>
        <w:t>”</w:t>
      </w:r>
      <w:r w:rsidR="00545D96" w:rsidRPr="008F2284">
        <w:rPr>
          <w:lang w:val="es-ES"/>
        </w:rPr>
        <w:t xml:space="preserve"> de la categoría </w:t>
      </w:r>
      <w:r w:rsidR="00792560">
        <w:rPr>
          <w:lang w:val="es-ES"/>
        </w:rPr>
        <w:t>“</w:t>
      </w:r>
      <w:r w:rsidR="00545D96" w:rsidRPr="008F2284">
        <w:rPr>
          <w:lang w:val="es-ES"/>
        </w:rPr>
        <w:t>X</w:t>
      </w:r>
      <w:r w:rsidR="00792560">
        <w:rPr>
          <w:lang w:val="es-ES"/>
        </w:rPr>
        <w:t>”</w:t>
      </w:r>
      <w:r w:rsidR="00545D96" w:rsidRPr="008F2284">
        <w:rPr>
          <w:lang w:val="es-ES"/>
        </w:rPr>
        <w:t xml:space="preserve"> a las categorías </w:t>
      </w:r>
      <w:r w:rsidR="00792560">
        <w:rPr>
          <w:lang w:val="es-ES"/>
        </w:rPr>
        <w:t>“</w:t>
      </w:r>
      <w:r w:rsidR="00545D96" w:rsidRPr="008F2284">
        <w:rPr>
          <w:lang w:val="es-ES"/>
        </w:rPr>
        <w:t>N</w:t>
      </w:r>
      <w:r w:rsidR="00792560">
        <w:rPr>
          <w:lang w:val="es-ES"/>
        </w:rPr>
        <w:t>”</w:t>
      </w:r>
      <w:bookmarkStart w:id="0" w:name="_GoBack"/>
      <w:bookmarkEnd w:id="0"/>
      <w:r w:rsidR="00545D96" w:rsidRPr="008F2284">
        <w:rPr>
          <w:lang w:val="es-ES"/>
        </w:rPr>
        <w:t xml:space="preserve"> e </w:t>
      </w:r>
      <w:r w:rsidR="00792560">
        <w:rPr>
          <w:lang w:val="es-ES"/>
        </w:rPr>
        <w:t>“</w:t>
      </w:r>
      <w:r w:rsidR="00545D96" w:rsidRPr="008F2284">
        <w:rPr>
          <w:lang w:val="es-ES"/>
        </w:rPr>
        <w:t>I</w:t>
      </w:r>
      <w:r w:rsidR="00792560">
        <w:rPr>
          <w:lang w:val="es-ES"/>
        </w:rPr>
        <w:t>”</w:t>
      </w:r>
      <w:r w:rsidR="00545D96" w:rsidRPr="008F2284">
        <w:rPr>
          <w:lang w:val="es-ES"/>
        </w:rPr>
        <w:t xml:space="preserve">, es decir, </w:t>
      </w:r>
      <w:r w:rsidR="004D6C20">
        <w:rPr>
          <w:lang w:val="es-ES"/>
        </w:rPr>
        <w:t xml:space="preserve">que </w:t>
      </w:r>
      <w:r w:rsidR="00545D96" w:rsidRPr="008F2284">
        <w:rPr>
          <w:lang w:val="es-ES"/>
        </w:rPr>
        <w:t>a partir del 1</w:t>
      </w:r>
      <w:r w:rsidR="00792560">
        <w:rPr>
          <w:lang w:val="es-ES"/>
        </w:rPr>
        <w:t> </w:t>
      </w:r>
      <w:r w:rsidR="00545D96" w:rsidRPr="008F2284">
        <w:rPr>
          <w:lang w:val="es-ES"/>
        </w:rPr>
        <w:t>de julio de</w:t>
      </w:r>
      <w:r w:rsidR="00792560">
        <w:rPr>
          <w:lang w:val="es-ES"/>
        </w:rPr>
        <w:t> </w:t>
      </w:r>
      <w:r w:rsidR="00545D96" w:rsidRPr="008F2284">
        <w:rPr>
          <w:lang w:val="es-ES"/>
        </w:rPr>
        <w:t>2015, los informes de búsqueda no debe</w:t>
      </w:r>
      <w:r w:rsidR="003A15C8" w:rsidRPr="008F2284">
        <w:rPr>
          <w:lang w:val="es-ES"/>
        </w:rPr>
        <w:t xml:space="preserve">n </w:t>
      </w:r>
      <w:r w:rsidR="00545D96" w:rsidRPr="008F2284">
        <w:rPr>
          <w:lang w:val="es-ES"/>
        </w:rPr>
        <w:t xml:space="preserve"> incluir el código </w:t>
      </w:r>
      <w:r w:rsidR="00792560">
        <w:rPr>
          <w:lang w:val="es-ES"/>
        </w:rPr>
        <w:t>“</w:t>
      </w:r>
      <w:r w:rsidR="00545D96" w:rsidRPr="008F2284">
        <w:rPr>
          <w:lang w:val="es-ES"/>
        </w:rPr>
        <w:t>X</w:t>
      </w:r>
      <w:r w:rsidR="00792560">
        <w:rPr>
          <w:lang w:val="es-ES"/>
        </w:rPr>
        <w:t>”</w:t>
      </w:r>
      <w:r w:rsidR="00FD5FE7">
        <w:rPr>
          <w:lang w:val="es-ES"/>
        </w:rPr>
        <w:t>.</w:t>
      </w:r>
    </w:p>
    <w:p w:rsidR="00EB778B" w:rsidRPr="008F2284" w:rsidRDefault="00545D96" w:rsidP="00B72302">
      <w:pPr>
        <w:pStyle w:val="ONUMFS"/>
        <w:rPr>
          <w:lang w:val="es-ES"/>
        </w:rPr>
      </w:pPr>
      <w:r w:rsidRPr="008F2284">
        <w:rPr>
          <w:lang w:val="es-ES"/>
        </w:rPr>
        <w:t>A condición de que el Comité dé su visto bueno a la revisión del párrafo</w:t>
      </w:r>
      <w:r w:rsidR="00792560">
        <w:rPr>
          <w:lang w:val="es-ES"/>
        </w:rPr>
        <w:t> </w:t>
      </w:r>
      <w:r w:rsidRPr="008F2284">
        <w:rPr>
          <w:lang w:val="es-ES"/>
        </w:rPr>
        <w:t>14 de la Norma</w:t>
      </w:r>
      <w:r w:rsidR="00792560">
        <w:rPr>
          <w:lang w:val="es-ES"/>
        </w:rPr>
        <w:t> </w:t>
      </w:r>
      <w:r w:rsidRPr="008F2284">
        <w:rPr>
          <w:lang w:val="es-ES"/>
        </w:rPr>
        <w:t xml:space="preserve">ST.14, se presenta  al CWS el siguiente proyecto de nota editorial para su consideración y aprobación: </w:t>
      </w:r>
    </w:p>
    <w:p w:rsidR="00EB778B" w:rsidRPr="008F2284" w:rsidRDefault="00A838BD" w:rsidP="00545D96">
      <w:pPr>
        <w:pStyle w:val="ONUME"/>
        <w:tabs>
          <w:tab w:val="left" w:pos="720"/>
        </w:tabs>
        <w:rPr>
          <w:szCs w:val="22"/>
          <w:lang w:val="es-ES"/>
        </w:rPr>
      </w:pPr>
      <w:r>
        <w:rPr>
          <w:rStyle w:val="Emphasis"/>
          <w:szCs w:val="22"/>
          <w:lang w:val="es-ES"/>
        </w:rPr>
        <w:t>“</w:t>
      </w:r>
      <w:r w:rsidR="00545D96" w:rsidRPr="008F2284">
        <w:rPr>
          <w:rStyle w:val="Emphasis"/>
          <w:szCs w:val="22"/>
          <w:lang w:val="es-ES"/>
        </w:rPr>
        <w:t>Nota editorial de la Oficina Internacional</w:t>
      </w:r>
    </w:p>
    <w:p w:rsidR="00EB778B" w:rsidRPr="008F2284" w:rsidRDefault="00A838BD" w:rsidP="00545D96">
      <w:pPr>
        <w:pStyle w:val="ONUME"/>
        <w:tabs>
          <w:tab w:val="left" w:pos="720"/>
        </w:tabs>
        <w:rPr>
          <w:i/>
          <w:szCs w:val="22"/>
          <w:lang w:val="es-ES"/>
        </w:rPr>
      </w:pPr>
      <w:r>
        <w:rPr>
          <w:rStyle w:val="Emphasis"/>
          <w:i w:val="0"/>
          <w:color w:val="000000"/>
          <w:szCs w:val="22"/>
          <w:lang w:val="es-ES"/>
        </w:rPr>
        <w:t>“</w:t>
      </w:r>
      <w:r w:rsidR="00545D96" w:rsidRPr="008F2284">
        <w:rPr>
          <w:rStyle w:val="Emphasis"/>
          <w:i w:val="0"/>
          <w:color w:val="000000"/>
          <w:szCs w:val="22"/>
          <w:lang w:val="es-ES"/>
        </w:rPr>
        <w:t>El Comité de Normas</w:t>
      </w:r>
      <w:r w:rsidR="0056547F">
        <w:rPr>
          <w:rStyle w:val="Emphasis"/>
          <w:i w:val="0"/>
          <w:color w:val="000000"/>
          <w:szCs w:val="22"/>
          <w:lang w:val="es-ES"/>
        </w:rPr>
        <w:t xml:space="preserve"> Técnicas de la OMPI (CWS) aprob</w:t>
      </w:r>
      <w:r w:rsidR="00545D96" w:rsidRPr="008F2284">
        <w:rPr>
          <w:rStyle w:val="Emphasis"/>
          <w:i w:val="0"/>
          <w:color w:val="000000"/>
          <w:szCs w:val="22"/>
          <w:lang w:val="es-ES"/>
        </w:rPr>
        <w:t>ó la revisión de la presente Norma en su cuarta sesión</w:t>
      </w:r>
      <w:r w:rsidR="009B044C">
        <w:rPr>
          <w:rStyle w:val="Emphasis"/>
          <w:i w:val="0"/>
          <w:color w:val="000000"/>
          <w:szCs w:val="22"/>
          <w:lang w:val="es-ES"/>
        </w:rPr>
        <w:t>,</w:t>
      </w:r>
      <w:r w:rsidR="00545D96" w:rsidRPr="008F2284">
        <w:rPr>
          <w:rStyle w:val="Emphasis"/>
          <w:i w:val="0"/>
          <w:color w:val="000000"/>
          <w:szCs w:val="22"/>
          <w:lang w:val="es-ES"/>
        </w:rPr>
        <w:t xml:space="preserve"> en mayo </w:t>
      </w:r>
      <w:r w:rsidR="00792560">
        <w:rPr>
          <w:rStyle w:val="Emphasis"/>
          <w:i w:val="0"/>
          <w:color w:val="000000"/>
          <w:szCs w:val="22"/>
          <w:lang w:val="es-ES"/>
        </w:rPr>
        <w:t xml:space="preserve">16 </w:t>
      </w:r>
      <w:r w:rsidR="00545D96" w:rsidRPr="008F2284">
        <w:rPr>
          <w:rStyle w:val="Emphasis"/>
          <w:i w:val="0"/>
          <w:color w:val="000000"/>
          <w:szCs w:val="22"/>
          <w:lang w:val="es-ES"/>
        </w:rPr>
        <w:t>de</w:t>
      </w:r>
      <w:r w:rsidR="00792560">
        <w:rPr>
          <w:rStyle w:val="Emphasis"/>
          <w:i w:val="0"/>
          <w:color w:val="000000"/>
          <w:szCs w:val="22"/>
          <w:lang w:val="es-ES"/>
        </w:rPr>
        <w:t> </w:t>
      </w:r>
      <w:r w:rsidR="00545D96" w:rsidRPr="008F2284">
        <w:rPr>
          <w:rStyle w:val="Emphasis"/>
          <w:i w:val="0"/>
          <w:color w:val="000000"/>
          <w:szCs w:val="22"/>
          <w:lang w:val="es-ES"/>
        </w:rPr>
        <w:t xml:space="preserve">2014. </w:t>
      </w:r>
    </w:p>
    <w:p w:rsidR="00EB778B" w:rsidRPr="008F2284" w:rsidRDefault="00A838BD" w:rsidP="00EB778B">
      <w:pPr>
        <w:pStyle w:val="ONUME"/>
        <w:tabs>
          <w:tab w:val="left" w:pos="720"/>
        </w:tabs>
        <w:rPr>
          <w:iCs/>
          <w:szCs w:val="22"/>
          <w:lang w:val="es-ES"/>
        </w:rPr>
      </w:pPr>
      <w:r>
        <w:rPr>
          <w:rStyle w:val="Emphasis"/>
          <w:i w:val="0"/>
          <w:color w:val="000000"/>
          <w:szCs w:val="22"/>
          <w:lang w:val="es-ES"/>
        </w:rPr>
        <w:t>“</w:t>
      </w:r>
      <w:r w:rsidR="00EB778B" w:rsidRPr="008F2284">
        <w:rPr>
          <w:rStyle w:val="Emphasis"/>
          <w:i w:val="0"/>
          <w:color w:val="000000"/>
          <w:szCs w:val="22"/>
          <w:lang w:val="es-ES"/>
        </w:rPr>
        <w:t>El CWS acordó que las oficinas de pr</w:t>
      </w:r>
      <w:r w:rsidR="007B5C30">
        <w:rPr>
          <w:rStyle w:val="Emphasis"/>
          <w:i w:val="0"/>
          <w:color w:val="000000"/>
          <w:szCs w:val="22"/>
          <w:lang w:val="es-ES"/>
        </w:rPr>
        <w:t xml:space="preserve">opiedad industrial </w:t>
      </w:r>
      <w:r w:rsidR="0056547F">
        <w:rPr>
          <w:rStyle w:val="Emphasis"/>
          <w:i w:val="0"/>
          <w:color w:val="000000"/>
          <w:szCs w:val="22"/>
          <w:lang w:val="es-ES"/>
        </w:rPr>
        <w:t>aplicara</w:t>
      </w:r>
      <w:r w:rsidR="007B5C30">
        <w:rPr>
          <w:rStyle w:val="Emphasis"/>
          <w:i w:val="0"/>
          <w:color w:val="000000"/>
          <w:szCs w:val="22"/>
          <w:lang w:val="es-ES"/>
        </w:rPr>
        <w:t>n</w:t>
      </w:r>
      <w:r w:rsidR="00EB778B" w:rsidRPr="008F2284">
        <w:rPr>
          <w:rStyle w:val="Emphasis"/>
          <w:i w:val="0"/>
          <w:color w:val="000000"/>
          <w:szCs w:val="22"/>
          <w:lang w:val="es-ES"/>
        </w:rPr>
        <w:t xml:space="preserve"> las disposiciones del párrafo</w:t>
      </w:r>
      <w:r w:rsidR="00792560">
        <w:rPr>
          <w:rStyle w:val="Emphasis"/>
          <w:i w:val="0"/>
          <w:color w:val="000000"/>
          <w:szCs w:val="22"/>
          <w:lang w:val="es-ES"/>
        </w:rPr>
        <w:t> </w:t>
      </w:r>
      <w:r w:rsidR="00EB778B" w:rsidRPr="008F2284">
        <w:rPr>
          <w:rStyle w:val="Emphasis"/>
          <w:i w:val="0"/>
          <w:color w:val="000000"/>
          <w:szCs w:val="22"/>
          <w:lang w:val="es-ES"/>
        </w:rPr>
        <w:t>14 de la Norma</w:t>
      </w:r>
      <w:r w:rsidR="00792560">
        <w:rPr>
          <w:rStyle w:val="Emphasis"/>
          <w:i w:val="0"/>
          <w:color w:val="000000"/>
          <w:szCs w:val="22"/>
          <w:lang w:val="es-ES"/>
        </w:rPr>
        <w:t> </w:t>
      </w:r>
      <w:r w:rsidR="00EB778B" w:rsidRPr="008F2284">
        <w:rPr>
          <w:rStyle w:val="Emphasis"/>
          <w:i w:val="0"/>
          <w:color w:val="000000"/>
          <w:szCs w:val="22"/>
          <w:lang w:val="es-ES"/>
        </w:rPr>
        <w:t>ST.14</w:t>
      </w:r>
      <w:r w:rsidR="007B5C30">
        <w:rPr>
          <w:rStyle w:val="Emphasis"/>
          <w:i w:val="0"/>
          <w:color w:val="000000"/>
          <w:szCs w:val="22"/>
          <w:lang w:val="es-ES"/>
        </w:rPr>
        <w:t>,</w:t>
      </w:r>
      <w:r w:rsidR="00EB778B" w:rsidRPr="008F2284">
        <w:rPr>
          <w:rStyle w:val="Emphasis"/>
          <w:i w:val="0"/>
          <w:color w:val="000000"/>
          <w:szCs w:val="22"/>
          <w:lang w:val="es-ES"/>
        </w:rPr>
        <w:t xml:space="preserve"> en su forma revisada</w:t>
      </w:r>
      <w:r w:rsidR="007B5C30">
        <w:rPr>
          <w:rStyle w:val="Emphasis"/>
          <w:i w:val="0"/>
          <w:color w:val="000000"/>
          <w:szCs w:val="22"/>
          <w:lang w:val="es-ES"/>
        </w:rPr>
        <w:t>,</w:t>
      </w:r>
      <w:r w:rsidR="00EB778B" w:rsidRPr="008F2284">
        <w:rPr>
          <w:rStyle w:val="Emphasis"/>
          <w:i w:val="0"/>
          <w:color w:val="000000"/>
          <w:szCs w:val="22"/>
          <w:lang w:val="es-ES"/>
        </w:rPr>
        <w:t xml:space="preserve"> a todos los informes de búsqueda establecidos a partir del 1</w:t>
      </w:r>
      <w:r w:rsidR="00792560">
        <w:rPr>
          <w:rStyle w:val="Emphasis"/>
          <w:i w:val="0"/>
          <w:color w:val="000000"/>
          <w:szCs w:val="22"/>
          <w:lang w:val="es-ES"/>
        </w:rPr>
        <w:t> </w:t>
      </w:r>
      <w:r w:rsidR="00EB778B" w:rsidRPr="008F2284">
        <w:rPr>
          <w:rStyle w:val="Emphasis"/>
          <w:i w:val="0"/>
          <w:color w:val="000000"/>
          <w:szCs w:val="22"/>
          <w:lang w:val="es-ES"/>
        </w:rPr>
        <w:t>de julio de</w:t>
      </w:r>
      <w:r w:rsidR="00792560">
        <w:rPr>
          <w:rStyle w:val="Emphasis"/>
          <w:i w:val="0"/>
          <w:color w:val="000000"/>
          <w:szCs w:val="22"/>
          <w:lang w:val="es-ES"/>
        </w:rPr>
        <w:t> </w:t>
      </w:r>
      <w:r w:rsidR="00EB778B" w:rsidRPr="008F2284">
        <w:rPr>
          <w:rStyle w:val="Emphasis"/>
          <w:i w:val="0"/>
          <w:color w:val="000000"/>
          <w:szCs w:val="22"/>
          <w:lang w:val="es-ES"/>
        </w:rPr>
        <w:t xml:space="preserve">2015. </w:t>
      </w:r>
      <w:r w:rsidR="00B7418C" w:rsidRPr="008F2284">
        <w:rPr>
          <w:rStyle w:val="Emphasis"/>
          <w:i w:val="0"/>
          <w:szCs w:val="22"/>
          <w:lang w:val="es-ES"/>
        </w:rPr>
        <w:t xml:space="preserve"> </w:t>
      </w:r>
      <w:r w:rsidR="00EB778B" w:rsidRPr="008F2284">
        <w:rPr>
          <w:rStyle w:val="Emphasis"/>
          <w:i w:val="0"/>
          <w:szCs w:val="22"/>
          <w:lang w:val="es-ES"/>
        </w:rPr>
        <w:t>En el caso de los informes de búsqueda establecidos antes de esa fecha, deberá seguir utilizándose la ve</w:t>
      </w:r>
      <w:r w:rsidR="0003380C">
        <w:rPr>
          <w:rStyle w:val="Emphasis"/>
          <w:i w:val="0"/>
          <w:szCs w:val="22"/>
          <w:lang w:val="es-ES"/>
        </w:rPr>
        <w:t>rsión anterior de dicho párrafo </w:t>
      </w:r>
      <w:r w:rsidR="00EB778B" w:rsidRPr="008F2284">
        <w:rPr>
          <w:rStyle w:val="Emphasis"/>
          <w:i w:val="0"/>
          <w:szCs w:val="22"/>
          <w:lang w:val="es-ES"/>
        </w:rPr>
        <w:t>14 (véase el Anexo)</w:t>
      </w:r>
      <w:r>
        <w:rPr>
          <w:rStyle w:val="Emphasis"/>
          <w:i w:val="0"/>
          <w:szCs w:val="22"/>
          <w:lang w:val="es-ES"/>
        </w:rPr>
        <w:t>.</w:t>
      </w:r>
      <w:r w:rsidR="00D640C6" w:rsidRPr="008F2284">
        <w:rPr>
          <w:rStyle w:val="Emphasis"/>
          <w:i w:val="0"/>
          <w:szCs w:val="22"/>
          <w:lang w:val="es-ES"/>
        </w:rPr>
        <w:t>”</w:t>
      </w:r>
    </w:p>
    <w:p w:rsidR="00EB778B" w:rsidRPr="008F2284" w:rsidRDefault="00EB778B" w:rsidP="00B72302">
      <w:pPr>
        <w:pStyle w:val="ONUMFS"/>
        <w:rPr>
          <w:lang w:val="es-ES"/>
        </w:rPr>
      </w:pPr>
      <w:r w:rsidRPr="008F2284">
        <w:rPr>
          <w:lang w:val="es-ES"/>
        </w:rPr>
        <w:t>Según se indica en el proyecto de nota editorial, se propone que la versión actual del párrafo</w:t>
      </w:r>
      <w:r w:rsidR="00792560">
        <w:rPr>
          <w:lang w:val="es-ES"/>
        </w:rPr>
        <w:t> </w:t>
      </w:r>
      <w:r w:rsidRPr="008F2284">
        <w:rPr>
          <w:lang w:val="es-ES"/>
        </w:rPr>
        <w:t>14 de la Norma</w:t>
      </w:r>
      <w:r w:rsidR="00792560">
        <w:rPr>
          <w:lang w:val="es-ES"/>
        </w:rPr>
        <w:t> </w:t>
      </w:r>
      <w:r w:rsidRPr="008F2284">
        <w:rPr>
          <w:lang w:val="es-ES"/>
        </w:rPr>
        <w:t>ST.14 se mantenga en el Anexo de l</w:t>
      </w:r>
      <w:r w:rsidR="0003380C">
        <w:rPr>
          <w:lang w:val="es-ES"/>
        </w:rPr>
        <w:t>a Norma, al menos hasta el 1 de </w:t>
      </w:r>
      <w:r w:rsidRPr="008F2284">
        <w:rPr>
          <w:lang w:val="es-ES"/>
        </w:rPr>
        <w:t>julio de</w:t>
      </w:r>
      <w:r w:rsidR="00792560">
        <w:rPr>
          <w:lang w:val="es-ES"/>
        </w:rPr>
        <w:t> </w:t>
      </w:r>
      <w:r w:rsidRPr="008F2284">
        <w:rPr>
          <w:lang w:val="es-ES"/>
        </w:rPr>
        <w:t>2015.</w:t>
      </w:r>
      <w:r w:rsidR="00D91A0E" w:rsidRPr="008F2284">
        <w:rPr>
          <w:lang w:val="es-ES"/>
        </w:rPr>
        <w:t xml:space="preserve">  </w:t>
      </w:r>
      <w:r w:rsidR="003A15C8" w:rsidRPr="008F2284">
        <w:rPr>
          <w:lang w:val="es-ES"/>
        </w:rPr>
        <w:t xml:space="preserve">A partir de esa fecha, </w:t>
      </w:r>
      <w:r w:rsidR="0056547F">
        <w:rPr>
          <w:lang w:val="es-ES"/>
        </w:rPr>
        <w:t>la Oficina Internacional deberá</w:t>
      </w:r>
      <w:r w:rsidR="003A15C8" w:rsidRPr="008F2284">
        <w:rPr>
          <w:lang w:val="es-ES"/>
        </w:rPr>
        <w:t xml:space="preserve"> quitar la nota editorial y el Anexo </w:t>
      </w:r>
      <w:r w:rsidR="00D640C6" w:rsidRPr="008F2284">
        <w:rPr>
          <w:lang w:val="es-ES"/>
        </w:rPr>
        <w:t>como un cambio editorial</w:t>
      </w:r>
      <w:r w:rsidR="003A15C8" w:rsidRPr="008F2284">
        <w:rPr>
          <w:lang w:val="es-ES"/>
        </w:rPr>
        <w:t xml:space="preserve"> e informar al CWS al respecto.   </w:t>
      </w:r>
    </w:p>
    <w:p w:rsidR="00EB778B" w:rsidRDefault="00EB778B" w:rsidP="00D91A0E">
      <w:pPr>
        <w:rPr>
          <w:lang w:val="es-ES"/>
        </w:rPr>
      </w:pPr>
    </w:p>
    <w:p w:rsidR="002407BC" w:rsidRPr="008F2284" w:rsidRDefault="002407BC" w:rsidP="00D91A0E">
      <w:pPr>
        <w:rPr>
          <w:lang w:val="es-ES"/>
        </w:rPr>
      </w:pPr>
    </w:p>
    <w:p w:rsidR="00EB778B" w:rsidRPr="008F2284" w:rsidRDefault="003A15C8" w:rsidP="003A15C8">
      <w:pPr>
        <w:pStyle w:val="Endofdocument-Annex"/>
        <w:rPr>
          <w:lang w:val="es-ES"/>
        </w:rPr>
      </w:pPr>
      <w:r w:rsidRPr="008F2284">
        <w:rPr>
          <w:lang w:val="es-ES"/>
        </w:rPr>
        <w:t>[Fin del Anexo II y del documento]</w:t>
      </w:r>
    </w:p>
    <w:p w:rsidR="00EB778B" w:rsidRPr="008F2284" w:rsidRDefault="00EB778B" w:rsidP="00E218CF">
      <w:pPr>
        <w:pStyle w:val="Endofdocument-Annex"/>
        <w:rPr>
          <w:lang w:val="es-ES"/>
        </w:rPr>
      </w:pPr>
    </w:p>
    <w:p w:rsidR="00D91A0E" w:rsidRPr="008F2284" w:rsidRDefault="00D91A0E" w:rsidP="00E218CF">
      <w:pPr>
        <w:pStyle w:val="Endofdocument-Annex"/>
        <w:rPr>
          <w:lang w:val="es-ES"/>
        </w:rPr>
      </w:pPr>
    </w:p>
    <w:sectPr w:rsidR="00D91A0E" w:rsidRPr="008F2284" w:rsidSect="00206FA3">
      <w:headerReference w:type="default" r:id="rId9"/>
      <w:headerReference w:type="first" r:id="rId10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EAE" w:rsidRDefault="00FC0EAE">
      <w:r>
        <w:separator/>
      </w:r>
    </w:p>
  </w:endnote>
  <w:endnote w:type="continuationSeparator" w:id="0">
    <w:p w:rsidR="00FC0EAE" w:rsidRDefault="00FC0EAE" w:rsidP="003B38C1">
      <w:r>
        <w:separator/>
      </w:r>
    </w:p>
    <w:p w:rsidR="00FC0EAE" w:rsidRPr="003B38C1" w:rsidRDefault="00FC0EA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C0EAE" w:rsidRPr="003B38C1" w:rsidRDefault="00FC0EA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EAE" w:rsidRDefault="00FC0EAE">
      <w:r>
        <w:separator/>
      </w:r>
    </w:p>
  </w:footnote>
  <w:footnote w:type="continuationSeparator" w:id="0">
    <w:p w:rsidR="00FC0EAE" w:rsidRDefault="00FC0EAE" w:rsidP="008B60B2">
      <w:r>
        <w:separator/>
      </w:r>
    </w:p>
    <w:p w:rsidR="00FC0EAE" w:rsidRPr="00ED77FB" w:rsidRDefault="00FC0EA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C0EAE" w:rsidRPr="00ED77FB" w:rsidRDefault="00FC0EA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CC3" w:rsidRDefault="009567DC" w:rsidP="00477D6B">
    <w:pPr>
      <w:jc w:val="right"/>
    </w:pPr>
    <w:r>
      <w:t xml:space="preserve">CWS </w:t>
    </w:r>
    <w:r w:rsidR="00654CC3">
      <w:t>4</w:t>
    </w:r>
    <w:r w:rsidR="00BB74B8">
      <w:t>/</w:t>
    </w:r>
    <w:r w:rsidR="00074CC9">
      <w:t>5</w:t>
    </w:r>
  </w:p>
  <w:p w:rsidR="00EC4E49" w:rsidRDefault="00A65D37" w:rsidP="00477D6B">
    <w:pPr>
      <w:jc w:val="right"/>
    </w:pPr>
    <w:r>
      <w:t>A</w:t>
    </w:r>
    <w:r w:rsidR="00FF7A73">
      <w:t>NNEX I</w:t>
    </w:r>
    <w:r>
      <w:t xml:space="preserve">, </w:t>
    </w:r>
    <w:r w:rsidR="00FF7A73">
      <w:t>APPENDIX</w:t>
    </w:r>
  </w:p>
  <w:p w:rsidR="00EC4E49" w:rsidRDefault="00EC4E49" w:rsidP="00477D6B">
    <w:pPr>
      <w:jc w:val="right"/>
    </w:pPr>
  </w:p>
  <w:p w:rsidR="00BB74B8" w:rsidRDefault="00BB74B8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4B8" w:rsidRDefault="0059069D" w:rsidP="009567DC">
    <w:pPr>
      <w:jc w:val="right"/>
    </w:pPr>
    <w:r>
      <w:t>CWS/</w:t>
    </w:r>
    <w:r w:rsidR="00574F31">
      <w:t>4</w:t>
    </w:r>
    <w:r w:rsidR="00BB74B8">
      <w:t>/</w:t>
    </w:r>
    <w:r w:rsidR="00074CC9">
      <w:t>5</w:t>
    </w:r>
  </w:p>
  <w:p w:rsidR="00BB74B8" w:rsidRDefault="00BB74B8" w:rsidP="00BB74B8">
    <w:pPr>
      <w:jc w:val="right"/>
    </w:pPr>
    <w:r>
      <w:t>ANEX</w:t>
    </w:r>
    <w:r w:rsidR="00D06AEB">
      <w:t>O</w:t>
    </w:r>
    <w:r w:rsidR="00D91A0E">
      <w:t xml:space="preserve"> II</w:t>
    </w:r>
  </w:p>
  <w:p w:rsidR="00BB74B8" w:rsidRDefault="00BB74B8" w:rsidP="00BB74B8">
    <w:pPr>
      <w:jc w:val="right"/>
    </w:pPr>
  </w:p>
  <w:p w:rsidR="00BB74B8" w:rsidRDefault="00BB74B8" w:rsidP="00BB74B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5D1A07"/>
    <w:multiLevelType w:val="hybridMultilevel"/>
    <w:tmpl w:val="FBD01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8278F"/>
    <w:multiLevelType w:val="hybridMultilevel"/>
    <w:tmpl w:val="C8FAD648"/>
    <w:lvl w:ilvl="0" w:tplc="D38092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2A325B"/>
    <w:multiLevelType w:val="multilevel"/>
    <w:tmpl w:val="D3A6367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3"/>
  </w:num>
  <w:num w:numId="24">
    <w:abstractNumId w:val="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Administrative\Meetings|Administrative\Other|Administrative\Publications|Budget and Finance\Meetings|Copyright\Meetings|IP in General\Meetings|Patents\Meetings|Trademarks\Meetings|WorkspaceSTS\Draft\BudgetFinance\Budget_2012_13|WorkspaceSTS\Draft\BudgetFinance\PPR_2010_11|WorkspaceSTS\Draft\AmparoBou|WorkspaceSTS\Draft\C|WorkspaceSTS\Draft\CDIP|WorkspaceSTS\Draft\IP Advantages|WorkspaceSTS\Draft\Job 34167|WorkspaceSTS\Draft\Madrid Yearly Review 2013|WorkspaceSTS\Draft\Nilo|WorkspaceSTS\Draft\Países|WorkspaceSTS\Draft\QA|WorkspaceSTS\Draft\ReportAssemblies2012|WorkspaceSTS\Draft\Staff_RR|WorkspaceSTS\EN-ES\Glossaries\EN-ES|WorkspaceSTS\EN-ES\Treaties\Model Laws|WorkspaceSTS\EN-ES\Treaties\Other Laws and Agreements|WorkspaceSTS\EN-ES\Treaties\WIPO-administered|WorkspaceSTS\EN-ES\UPOV\Meetings|WorkspaceSTS\EN-ES\UPOV\Other|WorkspaceSTS\EN-ES\UPOV\Publications|WorkspaceSTS\EN-ES\UPOV\Technical Guidelines"/>
    <w:docVar w:name="TextBaseURL" w:val="empty"/>
    <w:docVar w:name="UILng" w:val="en"/>
  </w:docVars>
  <w:rsids>
    <w:rsidRoot w:val="0008257F"/>
    <w:rsid w:val="00017F59"/>
    <w:rsid w:val="0003380C"/>
    <w:rsid w:val="0003730E"/>
    <w:rsid w:val="00043CAA"/>
    <w:rsid w:val="00047B59"/>
    <w:rsid w:val="00074CC9"/>
    <w:rsid w:val="00075432"/>
    <w:rsid w:val="00076D20"/>
    <w:rsid w:val="0008257F"/>
    <w:rsid w:val="000968ED"/>
    <w:rsid w:val="000B75E0"/>
    <w:rsid w:val="000C29FA"/>
    <w:rsid w:val="000F0D13"/>
    <w:rsid w:val="000F5E56"/>
    <w:rsid w:val="001362EE"/>
    <w:rsid w:val="001832A6"/>
    <w:rsid w:val="001A28D4"/>
    <w:rsid w:val="001D16DA"/>
    <w:rsid w:val="001E6593"/>
    <w:rsid w:val="00202DF9"/>
    <w:rsid w:val="00206FA3"/>
    <w:rsid w:val="00217457"/>
    <w:rsid w:val="00230D89"/>
    <w:rsid w:val="0023103F"/>
    <w:rsid w:val="00235634"/>
    <w:rsid w:val="0024026B"/>
    <w:rsid w:val="002407BC"/>
    <w:rsid w:val="002634C4"/>
    <w:rsid w:val="002928D3"/>
    <w:rsid w:val="002E26D7"/>
    <w:rsid w:val="002F1FE6"/>
    <w:rsid w:val="002F4E68"/>
    <w:rsid w:val="00312F7F"/>
    <w:rsid w:val="003228B7"/>
    <w:rsid w:val="003306F8"/>
    <w:rsid w:val="0035137B"/>
    <w:rsid w:val="00357F52"/>
    <w:rsid w:val="003673CF"/>
    <w:rsid w:val="003845C1"/>
    <w:rsid w:val="003A15C8"/>
    <w:rsid w:val="003A1CB4"/>
    <w:rsid w:val="003A6F89"/>
    <w:rsid w:val="003B38C1"/>
    <w:rsid w:val="003F04D1"/>
    <w:rsid w:val="00423E3E"/>
    <w:rsid w:val="00427AF4"/>
    <w:rsid w:val="004400E2"/>
    <w:rsid w:val="00452157"/>
    <w:rsid w:val="004647DA"/>
    <w:rsid w:val="00474062"/>
    <w:rsid w:val="00477D6B"/>
    <w:rsid w:val="004A72DB"/>
    <w:rsid w:val="004D6C20"/>
    <w:rsid w:val="0053057A"/>
    <w:rsid w:val="00545D96"/>
    <w:rsid w:val="00560A29"/>
    <w:rsid w:val="0056547F"/>
    <w:rsid w:val="00574F31"/>
    <w:rsid w:val="0059069D"/>
    <w:rsid w:val="005A3534"/>
    <w:rsid w:val="005B666A"/>
    <w:rsid w:val="005C018B"/>
    <w:rsid w:val="005D0DEE"/>
    <w:rsid w:val="005D3F0A"/>
    <w:rsid w:val="005F67A2"/>
    <w:rsid w:val="00605827"/>
    <w:rsid w:val="00623FA6"/>
    <w:rsid w:val="00631F24"/>
    <w:rsid w:val="00646050"/>
    <w:rsid w:val="00654CC3"/>
    <w:rsid w:val="006713CA"/>
    <w:rsid w:val="00676C5C"/>
    <w:rsid w:val="006A5F63"/>
    <w:rsid w:val="007058FB"/>
    <w:rsid w:val="007529BB"/>
    <w:rsid w:val="00792560"/>
    <w:rsid w:val="007B5C30"/>
    <w:rsid w:val="007B6A58"/>
    <w:rsid w:val="007D1613"/>
    <w:rsid w:val="007D5C56"/>
    <w:rsid w:val="00830A9D"/>
    <w:rsid w:val="008B2CC1"/>
    <w:rsid w:val="008B60B2"/>
    <w:rsid w:val="008D4E63"/>
    <w:rsid w:val="008F2284"/>
    <w:rsid w:val="0090731E"/>
    <w:rsid w:val="00916EE2"/>
    <w:rsid w:val="009567DC"/>
    <w:rsid w:val="00966A22"/>
    <w:rsid w:val="0096722F"/>
    <w:rsid w:val="00980843"/>
    <w:rsid w:val="009B044C"/>
    <w:rsid w:val="009E01F5"/>
    <w:rsid w:val="009E2791"/>
    <w:rsid w:val="009E3F6F"/>
    <w:rsid w:val="009F499F"/>
    <w:rsid w:val="00A42DAF"/>
    <w:rsid w:val="00A45BD8"/>
    <w:rsid w:val="00A65D37"/>
    <w:rsid w:val="00A838BD"/>
    <w:rsid w:val="00A85B8E"/>
    <w:rsid w:val="00AC205C"/>
    <w:rsid w:val="00AD7BB9"/>
    <w:rsid w:val="00B05A69"/>
    <w:rsid w:val="00B123E4"/>
    <w:rsid w:val="00B72302"/>
    <w:rsid w:val="00B7418C"/>
    <w:rsid w:val="00B9734B"/>
    <w:rsid w:val="00BB74B8"/>
    <w:rsid w:val="00BC15E2"/>
    <w:rsid w:val="00C11BFE"/>
    <w:rsid w:val="00C44558"/>
    <w:rsid w:val="00C72AB3"/>
    <w:rsid w:val="00C94629"/>
    <w:rsid w:val="00CC62F1"/>
    <w:rsid w:val="00CD28E0"/>
    <w:rsid w:val="00CD50CA"/>
    <w:rsid w:val="00CF193C"/>
    <w:rsid w:val="00D06252"/>
    <w:rsid w:val="00D06AEB"/>
    <w:rsid w:val="00D355E4"/>
    <w:rsid w:val="00D45252"/>
    <w:rsid w:val="00D640C6"/>
    <w:rsid w:val="00D71B4D"/>
    <w:rsid w:val="00D8364B"/>
    <w:rsid w:val="00D91A0E"/>
    <w:rsid w:val="00D93D55"/>
    <w:rsid w:val="00DD2BE0"/>
    <w:rsid w:val="00E051FA"/>
    <w:rsid w:val="00E108E3"/>
    <w:rsid w:val="00E121C9"/>
    <w:rsid w:val="00E218CF"/>
    <w:rsid w:val="00E335FE"/>
    <w:rsid w:val="00E5021F"/>
    <w:rsid w:val="00E53C3A"/>
    <w:rsid w:val="00E94816"/>
    <w:rsid w:val="00EA2686"/>
    <w:rsid w:val="00EB778B"/>
    <w:rsid w:val="00EB782C"/>
    <w:rsid w:val="00EC4E49"/>
    <w:rsid w:val="00ED6983"/>
    <w:rsid w:val="00ED77FB"/>
    <w:rsid w:val="00F021A6"/>
    <w:rsid w:val="00F406DE"/>
    <w:rsid w:val="00F53B24"/>
    <w:rsid w:val="00F57410"/>
    <w:rsid w:val="00F66152"/>
    <w:rsid w:val="00F71C03"/>
    <w:rsid w:val="00FC0EAE"/>
    <w:rsid w:val="00FD5FE7"/>
    <w:rsid w:val="00FF4CDD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16DA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Hyperlink">
    <w:name w:val="Hyperlink"/>
    <w:rsid w:val="00574F31"/>
    <w:rPr>
      <w:color w:val="0000FF"/>
      <w:u w:val="single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574F31"/>
    <w:pPr>
      <w:ind w:left="567"/>
    </w:pPr>
    <w:rPr>
      <w:rFonts w:eastAsia="MS Mincho"/>
      <w:lang w:eastAsia="ja-JP"/>
    </w:rPr>
  </w:style>
  <w:style w:type="paragraph" w:styleId="BalloonText">
    <w:name w:val="Balloon Text"/>
    <w:basedOn w:val="Normal"/>
    <w:link w:val="BalloonTextChar"/>
    <w:rsid w:val="00654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4CC3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">
    <w:name w:val="End of document"/>
    <w:basedOn w:val="Normal"/>
    <w:rsid w:val="00654CC3"/>
    <w:pPr>
      <w:spacing w:after="120" w:line="260" w:lineRule="atLeast"/>
      <w:ind w:left="5534"/>
      <w:contextualSpacing/>
    </w:pPr>
    <w:rPr>
      <w:rFonts w:eastAsia="Times New Roman" w:cs="Times New Roman"/>
      <w:szCs w:val="22"/>
      <w:lang w:eastAsia="en-US"/>
    </w:rPr>
  </w:style>
  <w:style w:type="character" w:styleId="FollowedHyperlink">
    <w:name w:val="FollowedHyperlink"/>
    <w:rsid w:val="0059069D"/>
    <w:rPr>
      <w:color w:val="800080"/>
      <w:u w:val="single"/>
    </w:rPr>
  </w:style>
  <w:style w:type="character" w:styleId="FootnoteReference">
    <w:name w:val="footnote reference"/>
    <w:unhideWhenUsed/>
    <w:rsid w:val="00074CC9"/>
    <w:rPr>
      <w:color w:val="0000FF"/>
      <w:sz w:val="17"/>
      <w:vertAlign w:val="superscript"/>
    </w:rPr>
  </w:style>
  <w:style w:type="character" w:styleId="Emphasis">
    <w:name w:val="Emphasis"/>
    <w:uiPriority w:val="20"/>
    <w:qFormat/>
    <w:rsid w:val="00D91A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16DA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Hyperlink">
    <w:name w:val="Hyperlink"/>
    <w:rsid w:val="00574F31"/>
    <w:rPr>
      <w:color w:val="0000FF"/>
      <w:u w:val="single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574F31"/>
    <w:pPr>
      <w:ind w:left="567"/>
    </w:pPr>
    <w:rPr>
      <w:rFonts w:eastAsia="MS Mincho"/>
      <w:lang w:eastAsia="ja-JP"/>
    </w:rPr>
  </w:style>
  <w:style w:type="paragraph" w:styleId="BalloonText">
    <w:name w:val="Balloon Text"/>
    <w:basedOn w:val="Normal"/>
    <w:link w:val="BalloonTextChar"/>
    <w:rsid w:val="00654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4CC3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">
    <w:name w:val="End of document"/>
    <w:basedOn w:val="Normal"/>
    <w:rsid w:val="00654CC3"/>
    <w:pPr>
      <w:spacing w:after="120" w:line="260" w:lineRule="atLeast"/>
      <w:ind w:left="5534"/>
      <w:contextualSpacing/>
    </w:pPr>
    <w:rPr>
      <w:rFonts w:eastAsia="Times New Roman" w:cs="Times New Roman"/>
      <w:szCs w:val="22"/>
      <w:lang w:eastAsia="en-US"/>
    </w:rPr>
  </w:style>
  <w:style w:type="character" w:styleId="FollowedHyperlink">
    <w:name w:val="FollowedHyperlink"/>
    <w:rsid w:val="0059069D"/>
    <w:rPr>
      <w:color w:val="800080"/>
      <w:u w:val="single"/>
    </w:rPr>
  </w:style>
  <w:style w:type="character" w:styleId="FootnoteReference">
    <w:name w:val="footnote reference"/>
    <w:unhideWhenUsed/>
    <w:rsid w:val="00074CC9"/>
    <w:rPr>
      <w:color w:val="0000FF"/>
      <w:sz w:val="17"/>
      <w:vertAlign w:val="superscript"/>
    </w:rPr>
  </w:style>
  <w:style w:type="character" w:styleId="Emphasis">
    <w:name w:val="Emphasis"/>
    <w:uiPriority w:val="20"/>
    <w:qFormat/>
    <w:rsid w:val="00D91A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0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35BAB-2D84-43DA-BCFF-D63850B33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CWS/4/5 - Anexo II (in Spanish)</vt:lpstr>
    </vt:vector>
  </TitlesOfParts>
  <Company>OMPI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CWS/4/5 - Anexo II (en Español)</dc:title>
  <dc:subject>Propuesta relativa a la aplicación del párrafo 14 de la norma ST.14 de la OMPI  </dc:subject>
  <dc:creator>OMPI</dc:creator>
  <dc:description/>
  <cp:lastModifiedBy>Geraldine Rodriguez</cp:lastModifiedBy>
  <cp:revision>5</cp:revision>
  <cp:lastPrinted>2014-03-20T11:02:00Z</cp:lastPrinted>
  <dcterms:created xsi:type="dcterms:W3CDTF">2014-03-21T11:58:00Z</dcterms:created>
  <dcterms:modified xsi:type="dcterms:W3CDTF">2014-03-26T17:20:00Z</dcterms:modified>
</cp:coreProperties>
</file>