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85" w:rsidRDefault="00A010E9" w:rsidP="004913D4">
      <w:pPr>
        <w:spacing w:after="220"/>
        <w:ind w:left="10" w:hanging="10"/>
      </w:pPr>
      <w:bookmarkStart w:id="0" w:name="cws_5_10_annex"/>
      <w:r w:rsidRPr="00A010E9">
        <w:rPr>
          <w:rFonts w:eastAsia="Arial"/>
          <w:b/>
          <w:color w:val="000000"/>
          <w:szCs w:val="22"/>
          <w:lang w:eastAsia="en-GB"/>
        </w:rPr>
        <w:t>SUMMARY OF THE SURVEY ON IP OFFICES’ PRACTICES RELATED TO MOTION AND MULTIMEDIA MARKS</w:t>
      </w:r>
    </w:p>
    <w:bookmarkEnd w:id="0"/>
    <w:p w:rsidR="00252185" w:rsidRDefault="00252185" w:rsidP="004913D4">
      <w:pPr>
        <w:pStyle w:val="ONUME"/>
        <w:numPr>
          <w:ilvl w:val="0"/>
          <w:numId w:val="11"/>
        </w:numPr>
        <w:spacing w:after="120"/>
      </w:pPr>
      <w:r>
        <w:t>The following six industrial prop</w:t>
      </w:r>
      <w:bookmarkStart w:id="1" w:name="_GoBack"/>
      <w:bookmarkEnd w:id="1"/>
      <w:r>
        <w:t xml:space="preserve">erty offices (IP </w:t>
      </w:r>
      <w:r w:rsidR="00A010E9">
        <w:t>o</w:t>
      </w:r>
      <w:r>
        <w:t xml:space="preserve">ffices) shared their practices of processing </w:t>
      </w:r>
      <w:r w:rsidRPr="00F5507D">
        <w:t>motion and multimedia marks</w:t>
      </w:r>
      <w:r>
        <w:t>:</w:t>
      </w:r>
    </w:p>
    <w:p w:rsidR="00252185" w:rsidRDefault="00252185" w:rsidP="004913D4">
      <w:pPr>
        <w:pStyle w:val="ONUME"/>
        <w:numPr>
          <w:ilvl w:val="0"/>
          <w:numId w:val="9"/>
        </w:numPr>
        <w:spacing w:after="60"/>
        <w:ind w:left="714" w:hanging="357"/>
      </w:pPr>
      <w:r>
        <w:t>Austrian Patent Office (AT);</w:t>
      </w:r>
    </w:p>
    <w:p w:rsidR="00252185" w:rsidRDefault="00252185" w:rsidP="004913D4">
      <w:pPr>
        <w:pStyle w:val="ONUME"/>
        <w:numPr>
          <w:ilvl w:val="0"/>
          <w:numId w:val="9"/>
        </w:numPr>
        <w:spacing w:after="60"/>
        <w:ind w:left="714" w:hanging="357"/>
      </w:pPr>
      <w:r>
        <w:t>IP Australia (AU);</w:t>
      </w:r>
    </w:p>
    <w:p w:rsidR="00252185" w:rsidRDefault="00252185" w:rsidP="004913D4">
      <w:pPr>
        <w:pStyle w:val="ONUME"/>
        <w:numPr>
          <w:ilvl w:val="0"/>
          <w:numId w:val="9"/>
        </w:numPr>
        <w:spacing w:after="60"/>
        <w:ind w:left="714" w:hanging="357"/>
      </w:pPr>
      <w:r>
        <w:t xml:space="preserve">Canadian </w:t>
      </w:r>
      <w:r w:rsidRPr="00F5507D">
        <w:t>Intellectual Property Office (</w:t>
      </w:r>
      <w:r>
        <w:t>CA</w:t>
      </w:r>
      <w:r w:rsidRPr="00F5507D">
        <w:t>)</w:t>
      </w:r>
      <w:r>
        <w:t>;</w:t>
      </w:r>
    </w:p>
    <w:p w:rsidR="00252185" w:rsidRDefault="00252185" w:rsidP="004913D4">
      <w:pPr>
        <w:pStyle w:val="ONUME"/>
        <w:numPr>
          <w:ilvl w:val="0"/>
          <w:numId w:val="9"/>
        </w:numPr>
        <w:spacing w:after="60"/>
        <w:ind w:left="714" w:hanging="357"/>
      </w:pPr>
      <w:r w:rsidRPr="00FC2FB5">
        <w:t>German Patent and Trade Mark Office (D</w:t>
      </w:r>
      <w:r>
        <w:t>E);</w:t>
      </w:r>
    </w:p>
    <w:p w:rsidR="00252185" w:rsidRDefault="00252185" w:rsidP="004913D4">
      <w:pPr>
        <w:pStyle w:val="ONUME"/>
        <w:numPr>
          <w:ilvl w:val="0"/>
          <w:numId w:val="9"/>
        </w:numPr>
        <w:spacing w:after="60"/>
        <w:ind w:left="714" w:hanging="357"/>
      </w:pPr>
      <w:r>
        <w:t>Japan Patent Office (JP);  and</w:t>
      </w:r>
    </w:p>
    <w:p w:rsidR="00252185" w:rsidRDefault="00252185" w:rsidP="004913D4">
      <w:pPr>
        <w:pStyle w:val="ONUME"/>
        <w:numPr>
          <w:ilvl w:val="0"/>
          <w:numId w:val="9"/>
        </w:numPr>
      </w:pPr>
      <w:r w:rsidRPr="00FC2FB5">
        <w:t>State Intellectual Property Service of Ukraine (</w:t>
      </w:r>
      <w:r>
        <w:t>UA</w:t>
      </w:r>
      <w:r w:rsidRPr="00FC2FB5">
        <w:t>)</w:t>
      </w:r>
      <w:r>
        <w:t>.</w:t>
      </w:r>
    </w:p>
    <w:p w:rsidR="00252185" w:rsidRDefault="00252185" w:rsidP="004913D4">
      <w:pPr>
        <w:pStyle w:val="ONUME"/>
        <w:numPr>
          <w:ilvl w:val="0"/>
          <w:numId w:val="11"/>
        </w:numPr>
      </w:pPr>
      <w:r w:rsidRPr="00FC2FB5">
        <w:t xml:space="preserve">Three out of six IP </w:t>
      </w:r>
      <w:r>
        <w:t>O</w:t>
      </w:r>
      <w:r w:rsidRPr="00FC2FB5">
        <w:t>ffices (AT, DE and JP) accept</w:t>
      </w:r>
      <w:r>
        <w:t>ed</w:t>
      </w:r>
      <w:r w:rsidRPr="00FC2FB5">
        <w:t xml:space="preserve"> motion </w:t>
      </w:r>
      <w:r>
        <w:t>marks, but not multimedia marks,</w:t>
      </w:r>
      <w:r w:rsidRPr="00FC2FB5">
        <w:t xml:space="preserve"> one IP office (AU) accept</w:t>
      </w:r>
      <w:r>
        <w:t>ed</w:t>
      </w:r>
      <w:r w:rsidRPr="00FC2FB5">
        <w:t xml:space="preserve"> both types and two IP offices (CA and UA) </w:t>
      </w:r>
      <w:r>
        <w:t>did</w:t>
      </w:r>
      <w:r w:rsidRPr="00FC2FB5">
        <w:t xml:space="preserve"> not have corresponding provisions in the national legislation yet, but they </w:t>
      </w:r>
      <w:r>
        <w:t>had</w:t>
      </w:r>
      <w:r w:rsidRPr="00FC2FB5">
        <w:t xml:space="preserve"> plans to introduce these types of marks in the future.</w:t>
      </w:r>
      <w:r>
        <w:t xml:space="preserve">  </w:t>
      </w:r>
      <w:r w:rsidRPr="00FC2FB5">
        <w:t xml:space="preserve">It </w:t>
      </w:r>
      <w:r>
        <w:t>was</w:t>
      </w:r>
      <w:r w:rsidRPr="00FC2FB5">
        <w:t xml:space="preserve"> expected that the implementation of the directive 2008/95/EC would have an impact on IP offices’ practices with respect to multimedia marks</w:t>
      </w:r>
      <w:r>
        <w:t>.</w:t>
      </w:r>
    </w:p>
    <w:p w:rsidR="00252185" w:rsidRDefault="00252185" w:rsidP="004913D4">
      <w:pPr>
        <w:pStyle w:val="ONUME"/>
        <w:numPr>
          <w:ilvl w:val="0"/>
          <w:numId w:val="11"/>
        </w:numPr>
      </w:pPr>
      <w:r w:rsidRPr="00FC2FB5">
        <w:t>Respondents did not have experience with multimedia marks (no applications</w:t>
      </w:r>
      <w:r>
        <w:t xml:space="preserve"> </w:t>
      </w:r>
      <w:r w:rsidRPr="00FC2FB5">
        <w:t>filed)</w:t>
      </w:r>
      <w:r>
        <w:t xml:space="preserve"> and</w:t>
      </w:r>
      <w:r w:rsidRPr="00FC2FB5">
        <w:t xml:space="preserve"> the proportion of motion mark applications was very low.</w:t>
      </w:r>
    </w:p>
    <w:p w:rsidR="00252185" w:rsidRDefault="00252185" w:rsidP="004913D4">
      <w:pPr>
        <w:pStyle w:val="ONUME"/>
        <w:numPr>
          <w:ilvl w:val="0"/>
          <w:numId w:val="11"/>
        </w:numPr>
      </w:pPr>
      <w:r w:rsidRPr="00FC2FB5">
        <w:t>Three out of five IP offices accepting (or planning to accept in the near future) motion marks (AU, CA</w:t>
      </w:r>
      <w:r>
        <w:t xml:space="preserve"> and</w:t>
      </w:r>
      <w:r w:rsidRPr="00FC2FB5">
        <w:t xml:space="preserve"> JP) require</w:t>
      </w:r>
      <w:r>
        <w:t>d</w:t>
      </w:r>
      <w:r w:rsidRPr="00FC2FB5">
        <w:t xml:space="preserve"> that the indication “motion mark” be included in the applications.  One IP office (DE) </w:t>
      </w:r>
      <w:r>
        <w:t xml:space="preserve">indicated that it </w:t>
      </w:r>
      <w:r w:rsidRPr="00FC2FB5">
        <w:t>include</w:t>
      </w:r>
      <w:r>
        <w:t>d</w:t>
      </w:r>
      <w:r w:rsidR="00A010E9">
        <w:t xml:space="preserve"> this type of mark</w:t>
      </w:r>
      <w:r w:rsidRPr="00FC2FB5">
        <w:t xml:space="preserve"> (motion) in the broader category “other trademarks”.</w:t>
      </w:r>
      <w:r>
        <w:t xml:space="preserve">  </w:t>
      </w:r>
      <w:r w:rsidRPr="00FC2FB5">
        <w:t xml:space="preserve">In two IP offices (AU and, as of entry into force of the new legislation, CA) multimedia marks </w:t>
      </w:r>
      <w:r>
        <w:t>could</w:t>
      </w:r>
      <w:r w:rsidRPr="00FC2FB5">
        <w:t xml:space="preserve"> be filed as composite marks (combination of motion and sound), where each type: </w:t>
      </w:r>
      <w:r w:rsidR="00830549">
        <w:t xml:space="preserve"> </w:t>
      </w:r>
      <w:r w:rsidRPr="00FC2FB5">
        <w:t>motion and sound, should be claimed (identified</w:t>
      </w:r>
      <w:r>
        <w:t>).</w:t>
      </w:r>
    </w:p>
    <w:p w:rsidR="00252185" w:rsidRDefault="00252185" w:rsidP="004913D4">
      <w:pPr>
        <w:pStyle w:val="ONUME"/>
        <w:numPr>
          <w:ilvl w:val="0"/>
          <w:numId w:val="11"/>
        </w:numPr>
      </w:pPr>
      <w:r>
        <w:t>It was noted that t</w:t>
      </w:r>
      <w:r w:rsidRPr="00FC2FB5">
        <w:t xml:space="preserve">extual description </w:t>
      </w:r>
      <w:r>
        <w:t>was</w:t>
      </w:r>
      <w:r w:rsidRPr="00FC2FB5">
        <w:t xml:space="preserve"> a mandatory part of a motion mark application in all</w:t>
      </w:r>
      <w:r>
        <w:t xml:space="preserve"> </w:t>
      </w:r>
      <w:r w:rsidRPr="00325D49">
        <w:t>five</w:t>
      </w:r>
      <w:r w:rsidRPr="00FC2FB5">
        <w:t xml:space="preserve"> IP offices </w:t>
      </w:r>
      <w:r>
        <w:t xml:space="preserve">(AT, AU, CA, DE and JP) </w:t>
      </w:r>
      <w:r w:rsidRPr="00FC2FB5">
        <w:t>a</w:t>
      </w:r>
      <w:r w:rsidR="00A010E9">
        <w:t>ccepting this type of trademark</w:t>
      </w:r>
      <w:r w:rsidRPr="00FC2FB5">
        <w:t xml:space="preserve">.  In three out of five </w:t>
      </w:r>
      <w:r w:rsidRPr="00546CF8">
        <w:t xml:space="preserve">IP offices </w:t>
      </w:r>
      <w:r w:rsidRPr="00FC2FB5">
        <w:t>(AT, DE and JP),</w:t>
      </w:r>
      <w:r>
        <w:t xml:space="preserve"> </w:t>
      </w:r>
      <w:r w:rsidRPr="00FC2FB5">
        <w:t xml:space="preserve">submitting a graphical representation of a motion mark </w:t>
      </w:r>
      <w:r>
        <w:t>was</w:t>
      </w:r>
      <w:r w:rsidRPr="00FC2FB5">
        <w:t xml:space="preserve"> also mandatory;</w:t>
      </w:r>
      <w:r>
        <w:t xml:space="preserve"> </w:t>
      </w:r>
      <w:r w:rsidRPr="00FC2FB5">
        <w:t xml:space="preserve"> in </w:t>
      </w:r>
      <w:r>
        <w:t xml:space="preserve">the </w:t>
      </w:r>
      <w:r w:rsidRPr="00FC2FB5">
        <w:t xml:space="preserve">other two IP offices (AU and CA), graphical representation </w:t>
      </w:r>
      <w:r>
        <w:t>could</w:t>
      </w:r>
      <w:r w:rsidRPr="00FC2FB5">
        <w:t xml:space="preserve"> be replaced by (or supplemented with) the</w:t>
      </w:r>
      <w:r>
        <w:t xml:space="preserve"> </w:t>
      </w:r>
      <w:r w:rsidRPr="00FC2FB5">
        <w:t>recording of the motion as long as it clearly define</w:t>
      </w:r>
      <w:r>
        <w:t>d</w:t>
      </w:r>
      <w:r w:rsidRPr="00FC2FB5">
        <w:t xml:space="preserve"> the scope of requested protection.  Color claims and specimens were indicated as optional parts of a motion mark application</w:t>
      </w:r>
      <w:r>
        <w:t>.</w:t>
      </w:r>
    </w:p>
    <w:p w:rsidR="00252185" w:rsidRDefault="00252185" w:rsidP="004913D4">
      <w:pPr>
        <w:pStyle w:val="ONUME"/>
        <w:numPr>
          <w:ilvl w:val="0"/>
          <w:numId w:val="11"/>
        </w:numPr>
      </w:pPr>
      <w:r w:rsidRPr="00FC2FB5">
        <w:t>In three out of five IP offices (AT, AU and CA), one single image should be</w:t>
      </w:r>
      <w:r>
        <w:t xml:space="preserve"> </w:t>
      </w:r>
      <w:r w:rsidRPr="00FC2FB5">
        <w:t xml:space="preserve">presented as a textual description of a motion mark.  In </w:t>
      </w:r>
      <w:r>
        <w:t xml:space="preserve">the </w:t>
      </w:r>
      <w:r w:rsidRPr="00FC2FB5">
        <w:t>other two IP offices (DE and JP),</w:t>
      </w:r>
      <w:r>
        <w:t xml:space="preserve"> </w:t>
      </w:r>
      <w:r w:rsidRPr="00FC2FB5">
        <w:t>multiple images were allowed</w:t>
      </w:r>
      <w:r>
        <w:t>.</w:t>
      </w:r>
    </w:p>
    <w:p w:rsidR="004913D4" w:rsidRDefault="00252185" w:rsidP="004913D4">
      <w:pPr>
        <w:pStyle w:val="ONUME"/>
        <w:numPr>
          <w:ilvl w:val="0"/>
          <w:numId w:val="11"/>
        </w:numPr>
        <w:ind w:right="283"/>
      </w:pPr>
      <w:r w:rsidRPr="00FC2FB5">
        <w:t xml:space="preserve">MPEG file format </w:t>
      </w:r>
      <w:r>
        <w:t xml:space="preserve">was </w:t>
      </w:r>
      <w:r w:rsidRPr="00FC2FB5">
        <w:t>used by both IP offices accepting recording of movement (AU</w:t>
      </w:r>
      <w:r>
        <w:t xml:space="preserve"> </w:t>
      </w:r>
      <w:r w:rsidRPr="00FC2FB5">
        <w:t>and CA</w:t>
      </w:r>
      <w:r>
        <w:t>).</w:t>
      </w:r>
    </w:p>
    <w:p w:rsidR="004913D4" w:rsidRDefault="004913D4">
      <w:r>
        <w:br w:type="page"/>
      </w:r>
    </w:p>
    <w:p w:rsidR="00252185" w:rsidRDefault="00252185" w:rsidP="004913D4">
      <w:pPr>
        <w:pStyle w:val="ONUME"/>
        <w:numPr>
          <w:ilvl w:val="0"/>
          <w:numId w:val="11"/>
        </w:numPr>
        <w:spacing w:after="120"/>
      </w:pPr>
      <w:r w:rsidRPr="00FC2FB5">
        <w:lastRenderedPageBreak/>
        <w:t>The following requirements for textual descriptions of motion marks w</w:t>
      </w:r>
      <w:r>
        <w:t>ere mentioned in the responses:</w:t>
      </w:r>
    </w:p>
    <w:p w:rsidR="00252185" w:rsidRDefault="00252185" w:rsidP="004913D4">
      <w:pPr>
        <w:pStyle w:val="ONUME"/>
        <w:numPr>
          <w:ilvl w:val="0"/>
          <w:numId w:val="9"/>
        </w:numPr>
        <w:spacing w:after="60"/>
        <w:ind w:left="714" w:hanging="357"/>
      </w:pPr>
      <w:r w:rsidRPr="00FC2FB5">
        <w:t>consistent with the graphical representation</w:t>
      </w:r>
      <w:r>
        <w:t>;</w:t>
      </w:r>
    </w:p>
    <w:p w:rsidR="00252185" w:rsidRDefault="00252185" w:rsidP="004913D4">
      <w:pPr>
        <w:pStyle w:val="ONUME"/>
        <w:numPr>
          <w:ilvl w:val="0"/>
          <w:numId w:val="9"/>
        </w:numPr>
        <w:spacing w:after="60"/>
        <w:ind w:left="714" w:hanging="357"/>
      </w:pPr>
      <w:r w:rsidRPr="00FC2FB5">
        <w:t>clearly and objectively describes the subject of protection</w:t>
      </w:r>
      <w:r>
        <w:t>;</w:t>
      </w:r>
    </w:p>
    <w:p w:rsidR="00252185" w:rsidRDefault="00252185" w:rsidP="004913D4">
      <w:pPr>
        <w:pStyle w:val="ONUME"/>
        <w:numPr>
          <w:ilvl w:val="0"/>
          <w:numId w:val="9"/>
        </w:numPr>
        <w:spacing w:after="60"/>
        <w:ind w:left="714" w:hanging="357"/>
      </w:pPr>
      <w:r w:rsidRPr="00FC2FB5">
        <w:t xml:space="preserve">describes the change of shape, the order </w:t>
      </w:r>
      <w:r>
        <w:t>of the changes and the timeline;</w:t>
      </w:r>
    </w:p>
    <w:p w:rsidR="00252185" w:rsidRDefault="00252185" w:rsidP="004913D4">
      <w:pPr>
        <w:pStyle w:val="ONUME"/>
        <w:numPr>
          <w:ilvl w:val="0"/>
          <w:numId w:val="9"/>
        </w:numPr>
        <w:spacing w:after="60"/>
        <w:ind w:left="714" w:hanging="357"/>
      </w:pPr>
      <w:r w:rsidRPr="00FC2FB5">
        <w:t>describes auxiliary elements of the graphical representation, if any (legend)</w:t>
      </w:r>
      <w:r>
        <w:t>;  and</w:t>
      </w:r>
    </w:p>
    <w:p w:rsidR="00252185" w:rsidRDefault="00252185" w:rsidP="004913D4">
      <w:pPr>
        <w:pStyle w:val="ONUME"/>
        <w:numPr>
          <w:ilvl w:val="0"/>
          <w:numId w:val="9"/>
        </w:numPr>
      </w:pPr>
      <w:proofErr w:type="gramStart"/>
      <w:r w:rsidRPr="00FC2FB5">
        <w:t>contains</w:t>
      </w:r>
      <w:proofErr w:type="gramEnd"/>
      <w:r w:rsidRPr="00FC2FB5">
        <w:t xml:space="preserve"> text only, up to 100 words</w:t>
      </w:r>
      <w:r>
        <w:t>.</w:t>
      </w:r>
    </w:p>
    <w:p w:rsidR="00252185" w:rsidRDefault="00252185" w:rsidP="004913D4">
      <w:pPr>
        <w:pStyle w:val="ONUME"/>
        <w:numPr>
          <w:ilvl w:val="0"/>
          <w:numId w:val="11"/>
        </w:numPr>
      </w:pPr>
      <w:r w:rsidRPr="00FC2FB5">
        <w:t xml:space="preserve">The publication </w:t>
      </w:r>
      <w:r>
        <w:t>of motion mark</w:t>
      </w:r>
      <w:r w:rsidR="00A010E9">
        <w:t>s</w:t>
      </w:r>
      <w:r>
        <w:t xml:space="preserve"> should </w:t>
      </w:r>
      <w:r w:rsidRPr="00FC2FB5">
        <w:t xml:space="preserve">contain all </w:t>
      </w:r>
      <w:r>
        <w:t>(</w:t>
      </w:r>
      <w:r w:rsidRPr="00FC2FB5">
        <w:t>mandatory and optional) elements considered essential parts of the representation of the mark.  If the recording of the movement was one</w:t>
      </w:r>
      <w:r>
        <w:t xml:space="preserve"> </w:t>
      </w:r>
      <w:r w:rsidRPr="00FC2FB5">
        <w:t>of them, one IP office (CA) included the link to the online database in the trademark publication instead of the file itself.</w:t>
      </w:r>
    </w:p>
    <w:p w:rsidR="00252185" w:rsidRDefault="00252185" w:rsidP="004913D4">
      <w:pPr>
        <w:pStyle w:val="ONUME"/>
        <w:numPr>
          <w:ilvl w:val="0"/>
          <w:numId w:val="11"/>
        </w:numPr>
        <w:spacing w:after="120"/>
      </w:pPr>
      <w:r>
        <w:t>In their responses to the survey, the Task Force members provided the following comments and proposals:</w:t>
      </w:r>
    </w:p>
    <w:p w:rsidR="00252185" w:rsidRDefault="00252185" w:rsidP="004913D4">
      <w:pPr>
        <w:pStyle w:val="ONUME"/>
        <w:numPr>
          <w:ilvl w:val="0"/>
          <w:numId w:val="10"/>
        </w:numPr>
        <w:spacing w:after="60"/>
      </w:pPr>
      <w:proofErr w:type="gramStart"/>
      <w:r>
        <w:t>trade</w:t>
      </w:r>
      <w:proofErr w:type="gramEnd"/>
      <w:r>
        <w:t xml:space="preserve"> marks directive by the European Commission No. 2008/95/EC should be implemented by IP Offices by 2019.  It was proposed to put the development of the standard on hold until then;</w:t>
      </w:r>
    </w:p>
    <w:p w:rsidR="00252185" w:rsidRDefault="00252185" w:rsidP="004913D4">
      <w:pPr>
        <w:pStyle w:val="ONUME"/>
        <w:numPr>
          <w:ilvl w:val="0"/>
          <w:numId w:val="10"/>
        </w:numPr>
        <w:spacing w:after="60"/>
      </w:pPr>
      <w:r>
        <w:t>the recommendations for electronic management of motion and multimedia marks should not be obligatory and leave the IP Offices flexibility to adopt them partially;</w:t>
      </w:r>
    </w:p>
    <w:p w:rsidR="00252185" w:rsidRDefault="00252185" w:rsidP="004913D4">
      <w:pPr>
        <w:pStyle w:val="ONUME"/>
        <w:numPr>
          <w:ilvl w:val="0"/>
          <w:numId w:val="10"/>
        </w:numPr>
        <w:spacing w:after="60"/>
      </w:pPr>
      <w:r>
        <w:t>it was proposed</w:t>
      </w:r>
      <w:r w:rsidRPr="00B4249D">
        <w:t xml:space="preserve"> that any recommended formats in the standard should be generally-used and that minor type of formats not be adopted</w:t>
      </w:r>
      <w:r>
        <w:t>;</w:t>
      </w:r>
    </w:p>
    <w:p w:rsidR="00252185" w:rsidRDefault="00252185" w:rsidP="004913D4">
      <w:pPr>
        <w:pStyle w:val="ONUME"/>
        <w:numPr>
          <w:ilvl w:val="0"/>
          <w:numId w:val="10"/>
        </w:numPr>
        <w:spacing w:after="60"/>
      </w:pPr>
      <w:r>
        <w:t>it was proposed</w:t>
      </w:r>
      <w:r w:rsidRPr="00B4249D">
        <w:t xml:space="preserve"> </w:t>
      </w:r>
      <w:r>
        <w:t>to use one format, MPEG-4, for the purpose of international data exchange;  and</w:t>
      </w:r>
    </w:p>
    <w:p w:rsidR="00252185" w:rsidRDefault="00252185" w:rsidP="004913D4">
      <w:pPr>
        <w:pStyle w:val="ONUME"/>
        <w:numPr>
          <w:ilvl w:val="0"/>
          <w:numId w:val="10"/>
        </w:numPr>
        <w:spacing w:after="0"/>
      </w:pPr>
      <w:proofErr w:type="gramStart"/>
      <w:r>
        <w:t>the</w:t>
      </w:r>
      <w:proofErr w:type="gramEnd"/>
      <w:r>
        <w:t xml:space="preserve"> Task Force also clarified the use of category “Combined” in WIPO Standard ST.96, in particular, whether it covered multimedia marks.</w:t>
      </w:r>
    </w:p>
    <w:p w:rsidR="00252185" w:rsidRDefault="00252185" w:rsidP="004913D4">
      <w:pPr>
        <w:pStyle w:val="ONUME"/>
        <w:numPr>
          <w:ilvl w:val="0"/>
          <w:numId w:val="0"/>
        </w:numPr>
        <w:spacing w:after="0"/>
        <w:ind w:left="5529"/>
      </w:pPr>
    </w:p>
    <w:p w:rsidR="00252185" w:rsidRDefault="00252185" w:rsidP="004913D4">
      <w:pPr>
        <w:pStyle w:val="ONUME"/>
        <w:numPr>
          <w:ilvl w:val="0"/>
          <w:numId w:val="0"/>
        </w:numPr>
        <w:spacing w:after="0"/>
        <w:ind w:left="5529"/>
      </w:pPr>
    </w:p>
    <w:p w:rsidR="00252185" w:rsidRDefault="00252185" w:rsidP="004913D4">
      <w:pPr>
        <w:pStyle w:val="Endofdocument-Annex"/>
      </w:pPr>
      <w:r>
        <w:t>[End of Annex and of document]</w:t>
      </w:r>
    </w:p>
    <w:sectPr w:rsidR="00252185" w:rsidSect="00D31FF1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4B" w:rsidRDefault="00633C4B">
      <w:r>
        <w:separator/>
      </w:r>
    </w:p>
  </w:endnote>
  <w:endnote w:type="continuationSeparator" w:id="0">
    <w:p w:rsidR="00633C4B" w:rsidRDefault="00633C4B" w:rsidP="003B38C1">
      <w:r>
        <w:separator/>
      </w:r>
    </w:p>
    <w:p w:rsidR="00633C4B" w:rsidRPr="003B38C1" w:rsidRDefault="00633C4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33C4B" w:rsidRPr="003B38C1" w:rsidRDefault="00633C4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4B" w:rsidRDefault="00633C4B">
      <w:r>
        <w:separator/>
      </w:r>
    </w:p>
  </w:footnote>
  <w:footnote w:type="continuationSeparator" w:id="0">
    <w:p w:rsidR="00633C4B" w:rsidRDefault="00633C4B" w:rsidP="008B60B2">
      <w:r>
        <w:separator/>
      </w:r>
    </w:p>
    <w:p w:rsidR="00633C4B" w:rsidRPr="00ED77FB" w:rsidRDefault="00633C4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33C4B" w:rsidRPr="00ED77FB" w:rsidRDefault="00633C4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12" w:rsidRDefault="00B90912">
    <w:pPr>
      <w:pStyle w:val="Header"/>
      <w:jc w:val="right"/>
    </w:pPr>
    <w:r>
      <w:t>CWS/5/10</w:t>
    </w:r>
  </w:p>
  <w:p w:rsidR="00B90912" w:rsidRDefault="00B90912">
    <w:pPr>
      <w:pStyle w:val="Header"/>
      <w:jc w:val="right"/>
    </w:pPr>
    <w:r>
      <w:t xml:space="preserve">Annex, page </w:t>
    </w:r>
    <w:sdt>
      <w:sdtPr>
        <w:id w:val="-123878383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3D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B90912" w:rsidRDefault="00B90912" w:rsidP="00B6246A">
    <w:pPr>
      <w:pStyle w:val="Header"/>
      <w:jc w:val="right"/>
    </w:pPr>
  </w:p>
  <w:p w:rsidR="00B90912" w:rsidRDefault="00B90912" w:rsidP="00B6246A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12" w:rsidRDefault="00B90912" w:rsidP="00B90912">
    <w:pPr>
      <w:pStyle w:val="Header"/>
      <w:jc w:val="right"/>
    </w:pPr>
    <w:r>
      <w:t>CWS/5/10</w:t>
    </w:r>
  </w:p>
  <w:p w:rsidR="00B90912" w:rsidRDefault="00B90912" w:rsidP="00B90912">
    <w:pPr>
      <w:pStyle w:val="Header"/>
      <w:jc w:val="right"/>
    </w:pPr>
    <w:r>
      <w:t>ANNEX</w:t>
    </w:r>
  </w:p>
  <w:p w:rsidR="00B90912" w:rsidRDefault="00B90912" w:rsidP="00B90912">
    <w:pPr>
      <w:pStyle w:val="Header"/>
      <w:jc w:val="right"/>
    </w:pPr>
  </w:p>
  <w:p w:rsidR="00B90912" w:rsidRDefault="00B90912" w:rsidP="00B909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0B1986"/>
    <w:multiLevelType w:val="hybridMultilevel"/>
    <w:tmpl w:val="DEB6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E32E8"/>
    <w:multiLevelType w:val="multilevel"/>
    <w:tmpl w:val="D824793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54"/>
        </w:tabs>
        <w:ind w:left="38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8">
    <w:nsid w:val="595F551F"/>
    <w:multiLevelType w:val="hybridMultilevel"/>
    <w:tmpl w:val="9710B682"/>
    <w:lvl w:ilvl="0" w:tplc="EFEE3688">
      <w:start w:val="1"/>
      <w:numFmt w:val="lowerLetter"/>
      <w:lvlText w:val="(%1)"/>
      <w:lvlJc w:val="left"/>
      <w:pPr>
        <w:ind w:left="52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942" w:hanging="360"/>
      </w:pPr>
    </w:lvl>
    <w:lvl w:ilvl="2" w:tplc="0409001B" w:tentative="1">
      <w:start w:val="1"/>
      <w:numFmt w:val="lowerRoman"/>
      <w:lvlText w:val="%3."/>
      <w:lvlJc w:val="right"/>
      <w:pPr>
        <w:ind w:left="6662" w:hanging="180"/>
      </w:pPr>
    </w:lvl>
    <w:lvl w:ilvl="3" w:tplc="0409000F" w:tentative="1">
      <w:start w:val="1"/>
      <w:numFmt w:val="decimal"/>
      <w:lvlText w:val="%4."/>
      <w:lvlJc w:val="left"/>
      <w:pPr>
        <w:ind w:left="7382" w:hanging="360"/>
      </w:pPr>
    </w:lvl>
    <w:lvl w:ilvl="4" w:tplc="04090019" w:tentative="1">
      <w:start w:val="1"/>
      <w:numFmt w:val="lowerLetter"/>
      <w:lvlText w:val="%5."/>
      <w:lvlJc w:val="left"/>
      <w:pPr>
        <w:ind w:left="8102" w:hanging="360"/>
      </w:pPr>
    </w:lvl>
    <w:lvl w:ilvl="5" w:tplc="0409001B" w:tentative="1">
      <w:start w:val="1"/>
      <w:numFmt w:val="lowerRoman"/>
      <w:lvlText w:val="%6."/>
      <w:lvlJc w:val="right"/>
      <w:pPr>
        <w:ind w:left="8822" w:hanging="180"/>
      </w:pPr>
    </w:lvl>
    <w:lvl w:ilvl="6" w:tplc="0409000F" w:tentative="1">
      <w:start w:val="1"/>
      <w:numFmt w:val="decimal"/>
      <w:lvlText w:val="%7."/>
      <w:lvlJc w:val="left"/>
      <w:pPr>
        <w:ind w:left="9542" w:hanging="360"/>
      </w:pPr>
    </w:lvl>
    <w:lvl w:ilvl="7" w:tplc="04090019" w:tentative="1">
      <w:start w:val="1"/>
      <w:numFmt w:val="lowerLetter"/>
      <w:lvlText w:val="%8."/>
      <w:lvlJc w:val="left"/>
      <w:pPr>
        <w:ind w:left="10262" w:hanging="360"/>
      </w:pPr>
    </w:lvl>
    <w:lvl w:ilvl="8" w:tplc="0409001B" w:tentative="1">
      <w:start w:val="1"/>
      <w:numFmt w:val="lowerRoman"/>
      <w:lvlText w:val="%9."/>
      <w:lvlJc w:val="right"/>
      <w:pPr>
        <w:ind w:left="10982" w:hanging="180"/>
      </w:pPr>
    </w:lvl>
  </w:abstractNum>
  <w:abstractNum w:abstractNumId="9">
    <w:nsid w:val="5EA82C42"/>
    <w:multiLevelType w:val="multilevel"/>
    <w:tmpl w:val="2688A716"/>
    <w:lvl w:ilvl="0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21"/>
        </w:tabs>
        <w:ind w:left="954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37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922"/>
        </w:tabs>
        <w:ind w:left="435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489"/>
        </w:tabs>
        <w:ind w:left="4922" w:firstLine="0"/>
      </w:pPr>
      <w:rPr>
        <w:rFonts w:hint="default"/>
      </w:rPr>
    </w:lvl>
  </w:abstractNum>
  <w:abstractNum w:abstractNumId="1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4B"/>
    <w:rsid w:val="00043CAA"/>
    <w:rsid w:val="00044D72"/>
    <w:rsid w:val="00075432"/>
    <w:rsid w:val="000968ED"/>
    <w:rsid w:val="000D7883"/>
    <w:rsid w:val="000F5E56"/>
    <w:rsid w:val="001362EE"/>
    <w:rsid w:val="001647D5"/>
    <w:rsid w:val="001832A6"/>
    <w:rsid w:val="001A0690"/>
    <w:rsid w:val="0021217E"/>
    <w:rsid w:val="00252185"/>
    <w:rsid w:val="002634C4"/>
    <w:rsid w:val="002928D3"/>
    <w:rsid w:val="002F1FE6"/>
    <w:rsid w:val="002F4E68"/>
    <w:rsid w:val="00312F7F"/>
    <w:rsid w:val="00361450"/>
    <w:rsid w:val="003673CF"/>
    <w:rsid w:val="003845C1"/>
    <w:rsid w:val="003A48D3"/>
    <w:rsid w:val="003A6F89"/>
    <w:rsid w:val="003B38C1"/>
    <w:rsid w:val="00423E3E"/>
    <w:rsid w:val="00427AF4"/>
    <w:rsid w:val="004647DA"/>
    <w:rsid w:val="00474062"/>
    <w:rsid w:val="00477D6B"/>
    <w:rsid w:val="004913D4"/>
    <w:rsid w:val="005019FF"/>
    <w:rsid w:val="0053057A"/>
    <w:rsid w:val="00546CF8"/>
    <w:rsid w:val="00560A29"/>
    <w:rsid w:val="00577BCE"/>
    <w:rsid w:val="005C6649"/>
    <w:rsid w:val="00605827"/>
    <w:rsid w:val="00633C4B"/>
    <w:rsid w:val="00646050"/>
    <w:rsid w:val="006713CA"/>
    <w:rsid w:val="00676C5C"/>
    <w:rsid w:val="006A6DBF"/>
    <w:rsid w:val="007D1613"/>
    <w:rsid w:val="007E4C0E"/>
    <w:rsid w:val="00830549"/>
    <w:rsid w:val="008B2CC1"/>
    <w:rsid w:val="008B60B2"/>
    <w:rsid w:val="008B66FE"/>
    <w:rsid w:val="008D4A3E"/>
    <w:rsid w:val="0090731E"/>
    <w:rsid w:val="00916EE2"/>
    <w:rsid w:val="00966A22"/>
    <w:rsid w:val="0096722F"/>
    <w:rsid w:val="00980843"/>
    <w:rsid w:val="009E2791"/>
    <w:rsid w:val="009E3F6F"/>
    <w:rsid w:val="009F499F"/>
    <w:rsid w:val="00A010E9"/>
    <w:rsid w:val="00A42DAF"/>
    <w:rsid w:val="00A45BD8"/>
    <w:rsid w:val="00A869B7"/>
    <w:rsid w:val="00AC205C"/>
    <w:rsid w:val="00AF0A6B"/>
    <w:rsid w:val="00B05A69"/>
    <w:rsid w:val="00B53D75"/>
    <w:rsid w:val="00B6246A"/>
    <w:rsid w:val="00B90912"/>
    <w:rsid w:val="00B9734B"/>
    <w:rsid w:val="00BA30E2"/>
    <w:rsid w:val="00C11BFE"/>
    <w:rsid w:val="00C5068F"/>
    <w:rsid w:val="00C86D74"/>
    <w:rsid w:val="00CD04F1"/>
    <w:rsid w:val="00D31FF1"/>
    <w:rsid w:val="00D45252"/>
    <w:rsid w:val="00D71B4D"/>
    <w:rsid w:val="00D93D55"/>
    <w:rsid w:val="00E15015"/>
    <w:rsid w:val="00E335FE"/>
    <w:rsid w:val="00EC090B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33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C4B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6246A"/>
    <w:rPr>
      <w:rFonts w:ascii="Arial" w:eastAsia="SimSun" w:hAnsi="Arial" w:cs="Arial"/>
      <w:sz w:val="22"/>
      <w:lang w:eastAsia="zh-CN"/>
    </w:rPr>
  </w:style>
  <w:style w:type="paragraph" w:styleId="TOC1">
    <w:name w:val="toc 1"/>
    <w:basedOn w:val="Normal"/>
    <w:next w:val="Normal"/>
    <w:autoRedefine/>
    <w:uiPriority w:val="39"/>
    <w:rsid w:val="00D31FF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31FF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31F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33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C4B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6246A"/>
    <w:rPr>
      <w:rFonts w:ascii="Arial" w:eastAsia="SimSun" w:hAnsi="Arial" w:cs="Arial"/>
      <w:sz w:val="22"/>
      <w:lang w:eastAsia="zh-CN"/>
    </w:rPr>
  </w:style>
  <w:style w:type="paragraph" w:styleId="TOC1">
    <w:name w:val="toc 1"/>
    <w:basedOn w:val="Normal"/>
    <w:next w:val="Normal"/>
    <w:autoRedefine/>
    <w:uiPriority w:val="39"/>
    <w:rsid w:val="00D31FF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31FF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31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44D5E-1460-4C8B-BB7B-DD0E9ADD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 5 (E)</Template>
  <TotalTime>6</TotalTime>
  <Pages>2</Pages>
  <Words>665</Words>
  <Characters>3348</Characters>
  <Application>Microsoft Office Word</Application>
  <DocSecurity>0</DocSecurity>
  <Lines>119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CWS/5/10 Annex (in English)</vt:lpstr>
    </vt:vector>
  </TitlesOfParts>
  <Company>WIPO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CWS/5/10 Annex (in English)</dc:title>
  <dc:subject>Report on the Preparation of a new WIPO Standard for the electronic management of motion and multimedia marks</dc:subject>
  <dc:creator>WIPO</dc:creator>
  <cp:keywords>CWS</cp:keywords>
  <cp:lastModifiedBy>ZAGO Bétina</cp:lastModifiedBy>
  <cp:revision>6</cp:revision>
  <cp:lastPrinted>2017-04-04T09:21:00Z</cp:lastPrinted>
  <dcterms:created xsi:type="dcterms:W3CDTF">2017-04-10T14:37:00Z</dcterms:created>
  <dcterms:modified xsi:type="dcterms:W3CDTF">2017-04-27T13:02:00Z</dcterms:modified>
</cp:coreProperties>
</file>