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1E" w:rsidRDefault="00D305F2" w:rsidP="00E1471E">
      <w:pPr>
        <w:pStyle w:val="Heading1"/>
        <w:keepNext w:val="0"/>
      </w:pPr>
      <w:bookmarkStart w:id="0" w:name="_GoBack"/>
      <w:bookmarkEnd w:id="0"/>
      <w:r>
        <w:t>AGENDA</w:t>
      </w:r>
    </w:p>
    <w:p w:rsidR="00E1471E" w:rsidRPr="00E1471E" w:rsidRDefault="00E1471E" w:rsidP="00E1471E"/>
    <w:p w:rsidR="00636472" w:rsidRPr="007F43BE" w:rsidRDefault="00636472" w:rsidP="00621AAD">
      <w:pPr>
        <w:pStyle w:val="ONUME"/>
        <w:ind w:left="567" w:hanging="567"/>
      </w:pPr>
      <w:r w:rsidRPr="007F43BE">
        <w:t>Opening of the reconvened session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Election of the Chair and two Vice-Chairs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Adoption of the agenda</w:t>
      </w:r>
    </w:p>
    <w:p w:rsidR="00636472" w:rsidRPr="00871D5F" w:rsidRDefault="00636472" w:rsidP="00621AAD">
      <w:pPr>
        <w:pStyle w:val="ONUME"/>
        <w:ind w:left="567" w:hanging="567"/>
      </w:pPr>
      <w:r w:rsidRPr="00871D5F">
        <w:t>Decision of the 47th session of the WIPO General Assembly in relation to the CWS, including Development Agenda matters</w:t>
      </w:r>
      <w:r w:rsidRPr="00871D5F">
        <w:footnoteReference w:id="2"/>
      </w:r>
      <w:r w:rsidRPr="00871D5F">
        <w:br/>
      </w:r>
      <w:r w:rsidR="00621AAD">
        <w:tab/>
      </w:r>
      <w:r w:rsidRPr="00871D5F">
        <w:t>See document CWS/4BIS/2.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Proposal for the extension of the activities of the CWS to include copyright within the scope of WIPO Standard ST.96</w:t>
      </w:r>
      <w:r w:rsidRPr="007F43BE">
        <w:br/>
      </w:r>
      <w:r w:rsidR="00621AAD">
        <w:tab/>
      </w:r>
      <w:r w:rsidRPr="00F55529">
        <w:t xml:space="preserve">See document </w:t>
      </w:r>
      <w:r w:rsidRPr="00F77809">
        <w:t>CWS/4/3</w:t>
      </w:r>
      <w:r w:rsidRPr="007F43BE">
        <w:t>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Questionnaire on application and priority application numbering systems used by industrial property offices in the past</w:t>
      </w:r>
      <w:r w:rsidRPr="007F43BE">
        <w:br/>
      </w:r>
      <w:r w:rsidR="00621AAD">
        <w:tab/>
      </w:r>
      <w:r w:rsidRPr="00F55529">
        <w:t xml:space="preserve">See document </w:t>
      </w:r>
      <w:r w:rsidRPr="00F77809">
        <w:t>CWS/4/4</w:t>
      </w:r>
      <w:r w:rsidRPr="007F43BE">
        <w:t>.</w:t>
      </w:r>
    </w:p>
    <w:p w:rsidR="00636472" w:rsidRDefault="00636472" w:rsidP="00621AAD">
      <w:pPr>
        <w:pStyle w:val="ONUME"/>
        <w:ind w:left="567" w:hanging="567"/>
      </w:pPr>
      <w:r w:rsidRPr="007F43BE">
        <w:t>Revision of WIPO Standard ST.14</w:t>
      </w:r>
      <w:r w:rsidRPr="007F43BE">
        <w:br/>
      </w:r>
      <w:r w:rsidR="00621AAD">
        <w:tab/>
      </w:r>
      <w:r w:rsidRPr="007F43BE">
        <w:t>See document</w:t>
      </w:r>
      <w:r>
        <w:t>s</w:t>
      </w:r>
      <w:r w:rsidRPr="007F43BE">
        <w:t xml:space="preserve"> </w:t>
      </w:r>
      <w:r w:rsidRPr="00F77809">
        <w:t>CWS/4/5</w:t>
      </w:r>
      <w:r>
        <w:t xml:space="preserve"> and</w:t>
      </w:r>
      <w:r w:rsidRPr="004F1E2C">
        <w:t xml:space="preserve"> </w:t>
      </w:r>
      <w:r w:rsidRPr="007F43BE">
        <w:t>CWS/4BIS/3</w:t>
      </w:r>
      <w:r>
        <w:t>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Status report on the preparation of Annexes V and VI, and the revision of WIPO Standard ST.</w:t>
      </w:r>
      <w:r w:rsidRPr="007F43BE" w:rsidDel="00C57076">
        <w:t xml:space="preserve"> </w:t>
      </w:r>
      <w:r w:rsidRPr="007F43BE">
        <w:t>96</w:t>
      </w:r>
      <w:r w:rsidRPr="007F43BE">
        <w:br/>
      </w:r>
      <w:r w:rsidR="00621AAD">
        <w:tab/>
      </w:r>
      <w:r w:rsidRPr="007F43BE">
        <w:t>See document</w:t>
      </w:r>
      <w:r>
        <w:t>s</w:t>
      </w:r>
      <w:r w:rsidRPr="007F43BE">
        <w:t xml:space="preserve"> </w:t>
      </w:r>
      <w:r w:rsidRPr="00F77809">
        <w:t>CWS/4/6</w:t>
      </w:r>
      <w:r>
        <w:t xml:space="preserve"> and</w:t>
      </w:r>
      <w:r w:rsidRPr="004F1E2C">
        <w:t xml:space="preserve"> </w:t>
      </w:r>
      <w:r w:rsidRPr="007F43BE">
        <w:t>CWS/4BIS/4.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 xml:space="preserve">New WIPO standard on the presentation of nucleotide and amino acid sequence listings using </w:t>
      </w:r>
      <w:proofErr w:type="spellStart"/>
      <w:r w:rsidRPr="007F43BE">
        <w:t>eXtensible</w:t>
      </w:r>
      <w:proofErr w:type="spellEnd"/>
      <w:r w:rsidRPr="007F43BE">
        <w:t xml:space="preserve"> Markup Language (XML)</w:t>
      </w:r>
      <w:r w:rsidRPr="007F43BE">
        <w:br/>
      </w:r>
      <w:r w:rsidR="00621AAD">
        <w:tab/>
      </w:r>
      <w:r w:rsidRPr="007F43BE">
        <w:t>See document</w:t>
      </w:r>
      <w:r>
        <w:t>s</w:t>
      </w:r>
      <w:r w:rsidRPr="007F43BE">
        <w:t xml:space="preserve"> </w:t>
      </w:r>
      <w:r w:rsidRPr="00F77809">
        <w:t>CWS/4/7</w:t>
      </w:r>
      <w:r>
        <w:t xml:space="preserve"> and </w:t>
      </w:r>
      <w:r w:rsidRPr="00F77809">
        <w:t>CWS/4/7</w:t>
      </w:r>
      <w:r>
        <w:t xml:space="preserve"> ADD</w:t>
      </w:r>
      <w:r w:rsidRPr="007F43BE">
        <w:t>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Status report on the preparation of a proposal to establish a new WIPO standard for the exchange o</w:t>
      </w:r>
      <w:r w:rsidRPr="00621AAD">
        <w:t>f patent legal status data by industrial property offices</w:t>
      </w:r>
      <w:r w:rsidRPr="00621AAD">
        <w:br/>
      </w:r>
      <w:r w:rsidR="00621AAD">
        <w:tab/>
      </w:r>
      <w:r w:rsidRPr="007F43BE">
        <w:t>See document</w:t>
      </w:r>
      <w:r>
        <w:t>s</w:t>
      </w:r>
      <w:r w:rsidRPr="007F43BE">
        <w:t xml:space="preserve"> </w:t>
      </w:r>
      <w:r w:rsidRPr="00F77809">
        <w:t>CWS/4/8</w:t>
      </w:r>
      <w:r>
        <w:t xml:space="preserve"> and </w:t>
      </w:r>
      <w:r w:rsidRPr="007F43BE">
        <w:t>CWS/4BIS/5.</w:t>
      </w:r>
    </w:p>
    <w:p w:rsidR="00636472" w:rsidRPr="00871D5F" w:rsidRDefault="00636472" w:rsidP="00621AAD">
      <w:pPr>
        <w:pStyle w:val="ONUME"/>
        <w:ind w:left="567" w:hanging="567"/>
      </w:pPr>
      <w:r w:rsidRPr="00871D5F">
        <w:t>Proposal for the revision of WIPO Standard ST.60</w:t>
      </w:r>
      <w:r w:rsidRPr="00871D5F">
        <w:br/>
      </w:r>
      <w:r w:rsidR="00621AAD">
        <w:tab/>
      </w:r>
      <w:r w:rsidRPr="00871D5F">
        <w:t>See document CWS/4/9.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Status report on the preparation of recommendations for the electronic management of:</w:t>
      </w:r>
    </w:p>
    <w:p w:rsidR="00636472" w:rsidRPr="007F43BE" w:rsidRDefault="00636472" w:rsidP="00636472">
      <w:pPr>
        <w:pStyle w:val="ONUME"/>
        <w:numPr>
          <w:ilvl w:val="1"/>
          <w:numId w:val="6"/>
        </w:numPr>
        <w:spacing w:after="120"/>
      </w:pPr>
      <w:r w:rsidRPr="007F43BE">
        <w:t>sound marks for adoption as a WIPO standard;  and</w:t>
      </w:r>
    </w:p>
    <w:p w:rsidR="00636472" w:rsidRPr="007F43BE" w:rsidRDefault="00636472" w:rsidP="00636472">
      <w:pPr>
        <w:pStyle w:val="ONUME"/>
        <w:numPr>
          <w:ilvl w:val="1"/>
          <w:numId w:val="6"/>
        </w:numPr>
        <w:spacing w:after="120"/>
      </w:pPr>
      <w:proofErr w:type="gramStart"/>
      <w:r w:rsidRPr="007F43BE">
        <w:t>motion</w:t>
      </w:r>
      <w:proofErr w:type="gramEnd"/>
      <w:r w:rsidRPr="007F43BE">
        <w:t xml:space="preserve"> or multimedia marks for adoption as a WIPO standard</w:t>
      </w:r>
      <w:r w:rsidRPr="007F43BE">
        <w:br/>
      </w:r>
      <w:r w:rsidRPr="007F43BE">
        <w:tab/>
        <w:t xml:space="preserve">See document </w:t>
      </w:r>
      <w:r w:rsidRPr="00F77809">
        <w:t>CWS/4/10</w:t>
      </w:r>
      <w:r w:rsidRPr="007F43BE">
        <w:t>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 xml:space="preserve">Maintenance and update of surveys published in the WIPO </w:t>
      </w:r>
      <w:r w:rsidRPr="00E00D5C">
        <w:t>Handbook on Industrial Property Information and Documentation</w:t>
      </w:r>
      <w:r>
        <w:br/>
      </w:r>
      <w:r w:rsidR="00621AAD">
        <w:tab/>
      </w:r>
      <w:r w:rsidRPr="007F43BE">
        <w:t>See document CWS/4BIS/6.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Information on the entry into national (regional) phase of published PCT internati</w:t>
      </w:r>
      <w:r>
        <w:t>onal applications</w:t>
      </w:r>
      <w:r>
        <w:br/>
      </w:r>
      <w:r w:rsidR="00621AAD">
        <w:tab/>
      </w:r>
      <w:r w:rsidRPr="007F43BE">
        <w:t>See document</w:t>
      </w:r>
      <w:r>
        <w:t>s</w:t>
      </w:r>
      <w:r w:rsidRPr="007F43BE">
        <w:t xml:space="preserve"> CWS/4</w:t>
      </w:r>
      <w:r>
        <w:t xml:space="preserve">/12, </w:t>
      </w:r>
      <w:r w:rsidRPr="007F43BE">
        <w:t>CWS/4</w:t>
      </w:r>
      <w:r>
        <w:t xml:space="preserve">/12 ADD. </w:t>
      </w:r>
      <w:proofErr w:type="gramStart"/>
      <w:r>
        <w:t>and</w:t>
      </w:r>
      <w:proofErr w:type="gramEnd"/>
      <w:r w:rsidRPr="007F43BE">
        <w:t xml:space="preserve"> CWS/4BIS/7.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lastRenderedPageBreak/>
        <w:t>Report by the International Bureau, on the provision of technical advice and assistance for capacity building to industrial property offices in connection with the mandate of the CWS</w:t>
      </w:r>
      <w:r w:rsidRPr="007F43BE">
        <w:br/>
      </w:r>
      <w:r w:rsidR="00621AAD">
        <w:tab/>
      </w:r>
      <w:r w:rsidRPr="007F43BE">
        <w:t>See document</w:t>
      </w:r>
      <w:r>
        <w:t>s</w:t>
      </w:r>
      <w:r w:rsidRPr="007F43BE">
        <w:t xml:space="preserve"> </w:t>
      </w:r>
      <w:r w:rsidRPr="00F77809">
        <w:t>CWS/4/13</w:t>
      </w:r>
      <w:r>
        <w:t xml:space="preserve"> and paragraphs 17 to 20 of document </w:t>
      </w:r>
      <w:r w:rsidRPr="00621AAD">
        <w:t>WO/GA/47/13.</w:t>
      </w:r>
      <w:r>
        <w:t xml:space="preserve"> 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Progress report on Task No. 44 by the SEQL Task Force</w:t>
      </w:r>
      <w:r>
        <w:br/>
      </w:r>
      <w:r w:rsidR="00621AAD">
        <w:tab/>
      </w:r>
      <w:r w:rsidRPr="007F43BE">
        <w:t>See document CWS/4BIS/</w:t>
      </w:r>
      <w:r>
        <w:t>8</w:t>
      </w:r>
      <w:r w:rsidRPr="007F43BE">
        <w:t>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New WIPO standard on the electronic management of sound marks</w:t>
      </w:r>
      <w:r>
        <w:br/>
      </w:r>
      <w:r w:rsidR="00621AAD">
        <w:tab/>
      </w:r>
      <w:r w:rsidRPr="007F43BE">
        <w:t>See document CWS/4BIS/</w:t>
      </w:r>
      <w:r>
        <w:t>9</w:t>
      </w:r>
      <w:r w:rsidRPr="007F43BE">
        <w:t>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Questionnaire on the use of WIPO Standards</w:t>
      </w:r>
      <w:r>
        <w:br/>
      </w:r>
      <w:r w:rsidR="00621AAD">
        <w:tab/>
      </w:r>
      <w:r w:rsidRPr="007F43BE">
        <w:t>See document CWS/4BIS/1</w:t>
      </w:r>
      <w:r>
        <w:t>0</w:t>
      </w:r>
      <w:r w:rsidRPr="007F43BE">
        <w:t>.</w:t>
      </w:r>
    </w:p>
    <w:p w:rsidR="00636472" w:rsidRPr="007F43BE" w:rsidRDefault="00636472" w:rsidP="00621AAD">
      <w:pPr>
        <w:pStyle w:val="ONUME"/>
        <w:ind w:left="567" w:hanging="567"/>
      </w:pPr>
      <w:r>
        <w:t>R</w:t>
      </w:r>
      <w:r w:rsidRPr="007F43BE">
        <w:t>evision of WIPO Standard ST.3</w:t>
      </w:r>
      <w:r>
        <w:t xml:space="preserve"> (Task No. 33/3)</w:t>
      </w:r>
      <w:r>
        <w:br/>
      </w:r>
      <w:r w:rsidR="00621AAD">
        <w:tab/>
      </w:r>
      <w:r w:rsidRPr="007F43BE">
        <w:t>See document CWS/4BIS/1</w:t>
      </w:r>
      <w:r>
        <w:t>1.</w:t>
      </w:r>
    </w:p>
    <w:p w:rsidR="00636472" w:rsidRPr="007F43BE" w:rsidRDefault="00636472" w:rsidP="00621AAD">
      <w:pPr>
        <w:pStyle w:val="ONUME"/>
        <w:ind w:left="567" w:hanging="567"/>
      </w:pPr>
      <w:r w:rsidRPr="007F43BE">
        <w:t>Proposal for Annexes V and VI of WIPO Standard ST.96</w:t>
      </w:r>
      <w:r>
        <w:br/>
      </w:r>
      <w:r w:rsidR="00621AAD">
        <w:tab/>
      </w:r>
      <w:r w:rsidRPr="007F43BE">
        <w:t>See document CWS/4BIS/1</w:t>
      </w:r>
      <w:r>
        <w:t>2</w:t>
      </w:r>
      <w:r w:rsidRPr="007F43BE">
        <w:t>.</w:t>
      </w:r>
    </w:p>
    <w:p w:rsidR="00636472" w:rsidRPr="007F43BE" w:rsidRDefault="00636472" w:rsidP="00621AAD">
      <w:pPr>
        <w:pStyle w:val="ONUME"/>
        <w:ind w:left="567" w:hanging="567"/>
      </w:pPr>
      <w:r>
        <w:t>Creation of a Task to establish requirements for an authority file of patent documents issued by a patent Office</w:t>
      </w:r>
      <w:r>
        <w:br/>
      </w:r>
      <w:r w:rsidR="00621AAD">
        <w:tab/>
      </w:r>
      <w:r w:rsidRPr="007F43BE">
        <w:t>See document CWS/4BIS/1</w:t>
      </w:r>
      <w:r>
        <w:t>3</w:t>
      </w:r>
      <w:r w:rsidRPr="007F43BE">
        <w:t>.</w:t>
      </w:r>
    </w:p>
    <w:p w:rsidR="00636472" w:rsidRDefault="00636472" w:rsidP="00871D5F">
      <w:pPr>
        <w:pStyle w:val="ONUME"/>
      </w:pPr>
      <w:r>
        <w:t>Oral report on Annual Technical Reports (ATRs)</w:t>
      </w:r>
    </w:p>
    <w:p w:rsidR="00636472" w:rsidRPr="00C21A24" w:rsidRDefault="00636472" w:rsidP="00621AAD">
      <w:pPr>
        <w:pStyle w:val="ONUME"/>
        <w:ind w:left="567" w:hanging="567"/>
      </w:pPr>
      <w:r w:rsidRPr="007F43BE">
        <w:t>Consideration of the Work Program and Tasks List of the CWS</w:t>
      </w:r>
      <w:r w:rsidRPr="007F43BE">
        <w:br/>
      </w:r>
      <w:r w:rsidR="00871D5F">
        <w:tab/>
      </w:r>
      <w:r w:rsidRPr="00C21A24">
        <w:t xml:space="preserve">See document </w:t>
      </w:r>
      <w:r w:rsidRPr="00E00D5C">
        <w:t>CWS/4BIS/14</w:t>
      </w:r>
      <w:r w:rsidRPr="00C21A24">
        <w:t>.</w:t>
      </w:r>
    </w:p>
    <w:p w:rsidR="00636472" w:rsidRDefault="00636472" w:rsidP="00177EC3">
      <w:pPr>
        <w:pStyle w:val="ONUME"/>
        <w:ind w:left="567" w:hanging="567"/>
      </w:pPr>
      <w:r w:rsidRPr="007F43BE">
        <w:t>Exchange of information:  Presentations on industrial property offices’ activities and plans related to the WIPO Standards dealing with XML</w:t>
      </w:r>
    </w:p>
    <w:p w:rsidR="00636472" w:rsidRPr="007F43BE" w:rsidRDefault="00636472" w:rsidP="00871D5F">
      <w:pPr>
        <w:pStyle w:val="ONUME"/>
      </w:pPr>
      <w:r w:rsidRPr="007F43BE">
        <w:t>Summary by the Chair</w:t>
      </w:r>
    </w:p>
    <w:p w:rsidR="004A7ADC" w:rsidRPr="001751C9" w:rsidRDefault="00636472" w:rsidP="00871D5F">
      <w:pPr>
        <w:pStyle w:val="ONUME"/>
        <w:tabs>
          <w:tab w:val="left" w:pos="1134"/>
        </w:tabs>
        <w:rPr>
          <w:lang w:val="fr-FR"/>
        </w:rPr>
      </w:pPr>
      <w:r w:rsidRPr="007F43BE">
        <w:t>Closing of the session</w:t>
      </w:r>
    </w:p>
    <w:p w:rsidR="004A7ADC" w:rsidRDefault="004A7ADC" w:rsidP="004A7ADC">
      <w:pPr>
        <w:pStyle w:val="Endofdocument"/>
        <w:rPr>
          <w:rFonts w:cs="Arial"/>
          <w:sz w:val="22"/>
          <w:szCs w:val="22"/>
        </w:rPr>
      </w:pPr>
    </w:p>
    <w:p w:rsidR="004A7ADC" w:rsidRDefault="004A7ADC" w:rsidP="004A7ADC">
      <w:pPr>
        <w:pStyle w:val="Endofdocument"/>
        <w:rPr>
          <w:rFonts w:cs="Arial"/>
          <w:sz w:val="22"/>
          <w:szCs w:val="22"/>
        </w:rPr>
      </w:pPr>
    </w:p>
    <w:p w:rsidR="004A7ADC" w:rsidRDefault="004A7ADC" w:rsidP="004A7ADC">
      <w:pPr>
        <w:pStyle w:val="Endofdocument"/>
        <w:rPr>
          <w:rFonts w:cs="Arial"/>
          <w:sz w:val="22"/>
          <w:szCs w:val="22"/>
        </w:rPr>
      </w:pPr>
    </w:p>
    <w:p w:rsidR="00E1471E" w:rsidRPr="00CA5569" w:rsidRDefault="00E1471E" w:rsidP="00636472">
      <w:pPr>
        <w:pStyle w:val="Endofdocument"/>
        <w:rPr>
          <w:rFonts w:cs="Arial"/>
          <w:sz w:val="22"/>
          <w:szCs w:val="22"/>
        </w:rPr>
      </w:pPr>
      <w:r w:rsidRPr="00CA5569">
        <w:rPr>
          <w:rFonts w:cs="Arial"/>
          <w:sz w:val="22"/>
          <w:szCs w:val="22"/>
        </w:rPr>
        <w:t>[</w:t>
      </w:r>
      <w:r w:rsidR="00E7512F">
        <w:rPr>
          <w:rFonts w:cs="Arial"/>
          <w:sz w:val="22"/>
          <w:szCs w:val="22"/>
        </w:rPr>
        <w:t>End of A</w:t>
      </w:r>
      <w:r w:rsidR="00636472">
        <w:rPr>
          <w:rFonts w:cs="Arial"/>
          <w:sz w:val="22"/>
          <w:szCs w:val="22"/>
        </w:rPr>
        <w:t>nnex</w:t>
      </w:r>
      <w:r w:rsidR="00E7512F">
        <w:rPr>
          <w:rFonts w:cs="Arial"/>
          <w:sz w:val="22"/>
          <w:szCs w:val="22"/>
        </w:rPr>
        <w:t xml:space="preserve"> II</w:t>
      </w:r>
      <w:r w:rsidR="00636472">
        <w:rPr>
          <w:rFonts w:cs="Arial"/>
          <w:sz w:val="22"/>
          <w:szCs w:val="22"/>
        </w:rPr>
        <w:t xml:space="preserve"> and of document</w:t>
      </w:r>
      <w:r w:rsidRPr="00CA5569">
        <w:rPr>
          <w:rFonts w:cs="Arial"/>
          <w:sz w:val="22"/>
          <w:szCs w:val="22"/>
        </w:rPr>
        <w:t>]</w:t>
      </w:r>
    </w:p>
    <w:sectPr w:rsidR="00E1471E" w:rsidRPr="00CA5569" w:rsidSect="00206FA3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1E" w:rsidRDefault="00E1471E">
      <w:r>
        <w:separator/>
      </w:r>
    </w:p>
  </w:endnote>
  <w:endnote w:type="continuationSeparator" w:id="0">
    <w:p w:rsidR="00E1471E" w:rsidRDefault="00E1471E" w:rsidP="003B38C1">
      <w:r>
        <w:separator/>
      </w:r>
    </w:p>
    <w:p w:rsidR="00E1471E" w:rsidRPr="003B38C1" w:rsidRDefault="00E1471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1471E" w:rsidRPr="003B38C1" w:rsidRDefault="00E1471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1E" w:rsidRDefault="00E1471E">
      <w:r>
        <w:separator/>
      </w:r>
    </w:p>
  </w:footnote>
  <w:footnote w:type="continuationSeparator" w:id="0">
    <w:p w:rsidR="00E1471E" w:rsidRDefault="00E1471E" w:rsidP="008B60B2">
      <w:r>
        <w:separator/>
      </w:r>
    </w:p>
    <w:p w:rsidR="00E1471E" w:rsidRPr="00ED77FB" w:rsidRDefault="00E1471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1471E" w:rsidRPr="00ED77FB" w:rsidRDefault="00E1471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36472" w:rsidRPr="00604082" w:rsidRDefault="00636472" w:rsidP="00636472">
      <w:pPr>
        <w:pStyle w:val="FootnoteText"/>
      </w:pPr>
      <w:r w:rsidRPr="00FE766C">
        <w:rPr>
          <w:rStyle w:val="FootnoteReference"/>
        </w:rPr>
        <w:footnoteRef/>
      </w:r>
      <w:r w:rsidRPr="00FE766C">
        <w:t xml:space="preserve"> This agenda item is without prejudice to the Members' positions on a question as to whether the CWS is relevant to Development Agenda coordination mechanism.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71D5F" w:rsidRDefault="00E1471E" w:rsidP="00477D6B">
    <w:pPr>
      <w:jc w:val="right"/>
      <w:rPr>
        <w:lang w:val="fr-CH"/>
      </w:rPr>
    </w:pPr>
    <w:r w:rsidRPr="00871D5F">
      <w:rPr>
        <w:lang w:val="fr-CH"/>
      </w:rPr>
      <w:t>CWS 4</w:t>
    </w:r>
    <w:r w:rsidR="004A7ADC" w:rsidRPr="00871D5F">
      <w:rPr>
        <w:lang w:val="fr-CH"/>
      </w:rPr>
      <w:t>BIS</w:t>
    </w:r>
    <w:r w:rsidR="00BB74B8" w:rsidRPr="00871D5F">
      <w:rPr>
        <w:lang w:val="fr-CH"/>
      </w:rPr>
      <w:t>/</w:t>
    </w:r>
    <w:r w:rsidRPr="00871D5F">
      <w:rPr>
        <w:lang w:val="fr-CH"/>
      </w:rPr>
      <w:t>16</w:t>
    </w:r>
  </w:p>
  <w:p w:rsidR="00EC4E49" w:rsidRPr="00871D5F" w:rsidRDefault="00A65D37" w:rsidP="001751C9">
    <w:pPr>
      <w:jc w:val="right"/>
      <w:rPr>
        <w:lang w:val="fr-CH"/>
      </w:rPr>
    </w:pPr>
    <w:proofErr w:type="spellStart"/>
    <w:r w:rsidRPr="00871D5F">
      <w:rPr>
        <w:lang w:val="fr-CH"/>
      </w:rPr>
      <w:t>Annex</w:t>
    </w:r>
    <w:proofErr w:type="spellEnd"/>
    <w:r w:rsidR="001751C9" w:rsidRPr="00871D5F">
      <w:rPr>
        <w:lang w:val="fr-CH"/>
      </w:rPr>
      <w:t xml:space="preserve"> </w:t>
    </w:r>
    <w:r w:rsidR="00E1471E" w:rsidRPr="00871D5F">
      <w:rPr>
        <w:lang w:val="fr-CH"/>
      </w:rPr>
      <w:t>II</w:t>
    </w:r>
    <w:r w:rsidRPr="00871D5F">
      <w:rPr>
        <w:lang w:val="fr-CH"/>
      </w:rPr>
      <w:t xml:space="preserve">, </w:t>
    </w:r>
    <w:r w:rsidR="00EC4E49" w:rsidRPr="00871D5F">
      <w:rPr>
        <w:lang w:val="fr-CH"/>
      </w:rPr>
      <w:t xml:space="preserve">page </w:t>
    </w:r>
    <w:r w:rsidR="00EC4E49">
      <w:fldChar w:fldCharType="begin"/>
    </w:r>
    <w:r w:rsidR="00EC4E49" w:rsidRPr="00871D5F">
      <w:rPr>
        <w:lang w:val="fr-CH"/>
      </w:rPr>
      <w:instrText xml:space="preserve"> PAGE  \* MERGEFORMAT </w:instrText>
    </w:r>
    <w:r w:rsidR="00EC4E49">
      <w:fldChar w:fldCharType="separate"/>
    </w:r>
    <w:r w:rsidR="0050442E">
      <w:rPr>
        <w:noProof/>
        <w:lang w:val="fr-CH"/>
      </w:rPr>
      <w:t>2</w:t>
    </w:r>
    <w:r w:rsidR="00EC4E49">
      <w:fldChar w:fldCharType="end"/>
    </w:r>
  </w:p>
  <w:p w:rsidR="00EC4E49" w:rsidRPr="00871D5F" w:rsidRDefault="00EC4E49" w:rsidP="00477D6B">
    <w:pPr>
      <w:jc w:val="right"/>
      <w:rPr>
        <w:lang w:val="fr-CH"/>
      </w:rPr>
    </w:pPr>
  </w:p>
  <w:p w:rsidR="00BB74B8" w:rsidRPr="00871D5F" w:rsidRDefault="00BB74B8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5E05A9" w:rsidP="009567DC">
    <w:pPr>
      <w:jc w:val="right"/>
    </w:pPr>
    <w:r>
      <w:t>CWS/</w:t>
    </w:r>
    <w:r w:rsidR="00E1471E">
      <w:t>4</w:t>
    </w:r>
    <w:r w:rsidR="004A7ADC">
      <w:t>BIS</w:t>
    </w:r>
    <w:r w:rsidR="00BB74B8">
      <w:t>/</w:t>
    </w:r>
    <w:r w:rsidR="00E1471E">
      <w:t>16</w:t>
    </w:r>
  </w:p>
  <w:p w:rsidR="00BB74B8" w:rsidRDefault="00BB74B8" w:rsidP="00BB74B8">
    <w:pPr>
      <w:jc w:val="right"/>
    </w:pPr>
    <w:r>
      <w:t>ANNEX</w:t>
    </w:r>
    <w:r w:rsidR="00E1471E">
      <w:t xml:space="preserve"> II</w:t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1E"/>
    <w:rsid w:val="00043CAA"/>
    <w:rsid w:val="00075432"/>
    <w:rsid w:val="00076D20"/>
    <w:rsid w:val="000968ED"/>
    <w:rsid w:val="000B75E0"/>
    <w:rsid w:val="000C4A78"/>
    <w:rsid w:val="000F5E56"/>
    <w:rsid w:val="001362EE"/>
    <w:rsid w:val="001751C9"/>
    <w:rsid w:val="00177EC3"/>
    <w:rsid w:val="001832A6"/>
    <w:rsid w:val="00206FA3"/>
    <w:rsid w:val="00230D89"/>
    <w:rsid w:val="002634C4"/>
    <w:rsid w:val="0026783E"/>
    <w:rsid w:val="002928D3"/>
    <w:rsid w:val="002F1FE6"/>
    <w:rsid w:val="002F4E68"/>
    <w:rsid w:val="00312F7F"/>
    <w:rsid w:val="003228B7"/>
    <w:rsid w:val="003306F8"/>
    <w:rsid w:val="00357F52"/>
    <w:rsid w:val="003673CF"/>
    <w:rsid w:val="003845C1"/>
    <w:rsid w:val="003A6F89"/>
    <w:rsid w:val="003B38C1"/>
    <w:rsid w:val="00423E3E"/>
    <w:rsid w:val="00427AF4"/>
    <w:rsid w:val="004400E2"/>
    <w:rsid w:val="004647DA"/>
    <w:rsid w:val="00474062"/>
    <w:rsid w:val="00477D6B"/>
    <w:rsid w:val="004A7ADC"/>
    <w:rsid w:val="0050442E"/>
    <w:rsid w:val="0053057A"/>
    <w:rsid w:val="00560A29"/>
    <w:rsid w:val="005E05A9"/>
    <w:rsid w:val="00605827"/>
    <w:rsid w:val="00621AAD"/>
    <w:rsid w:val="00636472"/>
    <w:rsid w:val="00646050"/>
    <w:rsid w:val="006713CA"/>
    <w:rsid w:val="00676C5C"/>
    <w:rsid w:val="006D2926"/>
    <w:rsid w:val="007058FB"/>
    <w:rsid w:val="007B6A58"/>
    <w:rsid w:val="007D1613"/>
    <w:rsid w:val="007D5C56"/>
    <w:rsid w:val="00871D5F"/>
    <w:rsid w:val="008B2CC1"/>
    <w:rsid w:val="008B60B2"/>
    <w:rsid w:val="0090731E"/>
    <w:rsid w:val="00916EE2"/>
    <w:rsid w:val="009567DC"/>
    <w:rsid w:val="00966A22"/>
    <w:rsid w:val="0096722F"/>
    <w:rsid w:val="00980843"/>
    <w:rsid w:val="009E2791"/>
    <w:rsid w:val="009E3F6F"/>
    <w:rsid w:val="009F499F"/>
    <w:rsid w:val="00A42DAF"/>
    <w:rsid w:val="00A45BD8"/>
    <w:rsid w:val="00A65D37"/>
    <w:rsid w:val="00A85B8E"/>
    <w:rsid w:val="00AC205C"/>
    <w:rsid w:val="00B05A69"/>
    <w:rsid w:val="00B123E4"/>
    <w:rsid w:val="00B9734B"/>
    <w:rsid w:val="00BB74B8"/>
    <w:rsid w:val="00C11BFE"/>
    <w:rsid w:val="00C44558"/>
    <w:rsid w:val="00C94629"/>
    <w:rsid w:val="00CD28E0"/>
    <w:rsid w:val="00D305F2"/>
    <w:rsid w:val="00D45252"/>
    <w:rsid w:val="00D71B4D"/>
    <w:rsid w:val="00D93D55"/>
    <w:rsid w:val="00DA3103"/>
    <w:rsid w:val="00E1471E"/>
    <w:rsid w:val="00E335FE"/>
    <w:rsid w:val="00E5021F"/>
    <w:rsid w:val="00E7512F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E1471E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4A7ADC"/>
    <w:rPr>
      <w:rFonts w:ascii="Arial" w:eastAsia="SimSun" w:hAnsi="Arial" w:cs="Arial"/>
      <w:sz w:val="18"/>
    </w:rPr>
  </w:style>
  <w:style w:type="character" w:styleId="FootnoteReference">
    <w:name w:val="footnote reference"/>
    <w:rsid w:val="004A7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E1471E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4A7ADC"/>
    <w:rPr>
      <w:rFonts w:ascii="Arial" w:eastAsia="SimSun" w:hAnsi="Arial" w:cs="Arial"/>
      <w:sz w:val="18"/>
    </w:rPr>
  </w:style>
  <w:style w:type="character" w:styleId="FootnoteReference">
    <w:name w:val="footnote reference"/>
    <w:rsid w:val="004A7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2\ORGstm\SHARED\CWS-4\Templates\annex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annex-en</Template>
  <TotalTime>45</TotalTime>
  <Pages>2</Pages>
  <Words>458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CWS/4BIS/16 Prov. Annex II (in English)</vt:lpstr>
    </vt:vector>
  </TitlesOfParts>
  <Company>WIPO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CWS/4BIS/16 Annex II (in English)</dc:title>
  <dc:subject>AGENDA</dc:subject>
  <dc:creator>WIPO</dc:creator>
  <cp:lastModifiedBy>SCHLESSINGER Caroline</cp:lastModifiedBy>
  <cp:revision>4</cp:revision>
  <cp:lastPrinted>2016-05-17T13:25:00Z</cp:lastPrinted>
  <dcterms:created xsi:type="dcterms:W3CDTF">2016-05-17T12:33:00Z</dcterms:created>
  <dcterms:modified xsi:type="dcterms:W3CDTF">2016-05-20T09:10:00Z</dcterms:modified>
</cp:coreProperties>
</file>