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D17C6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 wp14:anchorId="3A23EBFC" wp14:editId="0F20E9C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59D5BC0" w14:textId="6FB0A247"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AE13CB">
        <w:rPr>
          <w:rFonts w:ascii="Arial Black" w:hAnsi="Arial Black"/>
          <w:caps/>
          <w:sz w:val="15"/>
          <w:szCs w:val="15"/>
        </w:rPr>
        <w:t>19</w:t>
      </w:r>
    </w:p>
    <w:p w14:paraId="00D5854F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14:paraId="1A67CFCA" w14:textId="51F9E92C" w:rsidR="008B2CC1" w:rsidRPr="00CC3E2D" w:rsidRDefault="00CC3E2D" w:rsidP="00FE132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A79E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A79E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أكتوبر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14:paraId="1B9B32AE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F40854" w14:textId="77777777"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4BF048CE" w14:textId="77777777"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5C25F790" w14:textId="24CFD4CC" w:rsidR="008B2CC1" w:rsidRPr="00262607" w:rsidRDefault="00BA2064" w:rsidP="002D4484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BA2064">
        <w:rPr>
          <w:rFonts w:asciiTheme="minorHAnsi" w:hAnsiTheme="minorHAnsi"/>
          <w:caps/>
          <w:sz w:val="24"/>
          <w:szCs w:val="24"/>
          <w:rtl/>
        </w:rPr>
        <w:t>تحديث دليل الويبو بشأن المعلومات والوثائق المتعلقة بالملكية الصناعية</w:t>
      </w:r>
    </w:p>
    <w:p w14:paraId="3797470C" w14:textId="77777777" w:rsidR="002928D3" w:rsidRPr="00FE132C" w:rsidRDefault="00D67EAE" w:rsidP="00E655A0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</w:t>
      </w:r>
      <w:r w:rsidR="00E655A0">
        <w:rPr>
          <w:rFonts w:asciiTheme="minorHAnsi" w:hAnsiTheme="minorHAnsi" w:cstheme="minorHAnsi" w:hint="cs"/>
          <w:iCs/>
          <w:rtl/>
        </w:rPr>
        <w:t>المكتب الدولي</w:t>
      </w:r>
    </w:p>
    <w:p w14:paraId="418D7B3D" w14:textId="77777777" w:rsidR="007969D1" w:rsidRPr="00FE132C" w:rsidRDefault="00FE132C" w:rsidP="00FE132C">
      <w:pPr>
        <w:pStyle w:val="Heading2"/>
        <w:rPr>
          <w:i/>
          <w:iCs w:val="0"/>
          <w:lang w:eastAsia="en-US" w:bidi="ar-LB"/>
        </w:rPr>
      </w:pPr>
      <w:r w:rsidRPr="00FE132C">
        <w:rPr>
          <w:rFonts w:hint="cs"/>
          <w:i/>
          <w:iCs w:val="0"/>
          <w:rtl/>
          <w:lang w:eastAsia="en-US"/>
        </w:rPr>
        <w:t>معلومات أساسية</w:t>
      </w:r>
    </w:p>
    <w:p w14:paraId="6BBDB1DE" w14:textId="735EAE07" w:rsidR="007969D1" w:rsidRDefault="00BA2064" w:rsidP="00E655A0">
      <w:pPr>
        <w:pStyle w:val="ONUMA"/>
        <w:rPr>
          <w:lang w:bidi="ar-LB"/>
        </w:rPr>
      </w:pPr>
      <w:r>
        <w:rPr>
          <w:rFonts w:hint="cs"/>
          <w:rtl/>
        </w:rPr>
        <w:t>أشارت</w:t>
      </w:r>
      <w:r w:rsidR="00FE132C" w:rsidRPr="00FE132C">
        <w:rPr>
          <w:rtl/>
        </w:rPr>
        <w:t xml:space="preserve"> اللجنة المعنية بمعايير الويبو (لجنة المعايير) في دورتها </w:t>
      </w:r>
      <w:r w:rsidR="00FE132C">
        <w:rPr>
          <w:rFonts w:hint="cs"/>
          <w:rtl/>
        </w:rPr>
        <w:t>الثامنة</w:t>
      </w:r>
      <w:r w:rsidR="00FE132C" w:rsidRPr="00FE132C">
        <w:rPr>
          <w:rtl/>
        </w:rPr>
        <w:t xml:space="preserve"> التي عٌقدت في </w:t>
      </w:r>
      <w:r w:rsidR="00FE132C">
        <w:rPr>
          <w:rFonts w:hint="cs"/>
          <w:rtl/>
        </w:rPr>
        <w:t>2020</w:t>
      </w:r>
      <w:r w:rsidR="009D3A30">
        <w:rPr>
          <w:rFonts w:hint="cs"/>
          <w:rtl/>
        </w:rPr>
        <w:t xml:space="preserve"> </w:t>
      </w:r>
      <w:r>
        <w:rPr>
          <w:rFonts w:hint="cs"/>
          <w:rtl/>
        </w:rPr>
        <w:t xml:space="preserve">إلى أن </w:t>
      </w:r>
      <w:r w:rsidRPr="00BA2064">
        <w:rPr>
          <w:rtl/>
        </w:rPr>
        <w:t>المؤشرات الجغرافية و</w:t>
      </w:r>
      <w:r>
        <w:rPr>
          <w:rFonts w:hint="cs"/>
          <w:rtl/>
        </w:rPr>
        <w:t>ال</w:t>
      </w:r>
      <w:r w:rsidRPr="00BA2064">
        <w:rPr>
          <w:rtl/>
        </w:rPr>
        <w:t>مصنفات اليتيمة</w:t>
      </w:r>
      <w:r>
        <w:rPr>
          <w:rFonts w:hint="cs"/>
          <w:rtl/>
        </w:rPr>
        <w:t xml:space="preserve"> المحمية بموجب </w:t>
      </w:r>
      <w:r w:rsidRPr="00BA2064">
        <w:rPr>
          <w:rtl/>
        </w:rPr>
        <w:t>حق المؤلف</w:t>
      </w:r>
      <w:r>
        <w:rPr>
          <w:rFonts w:hint="cs"/>
          <w:rtl/>
        </w:rPr>
        <w:t xml:space="preserve"> </w:t>
      </w:r>
      <w:r w:rsidRPr="00BA2064">
        <w:rPr>
          <w:rtl/>
        </w:rPr>
        <w:t xml:space="preserve">قد أضيفت إلى الإصدار 4.0 من المعيار </w:t>
      </w:r>
      <w:r w:rsidRPr="00BA2064">
        <w:t>ST.96</w:t>
      </w:r>
      <w:r w:rsidRPr="00BA2064">
        <w:rPr>
          <w:rtl/>
        </w:rPr>
        <w:t xml:space="preserve">. </w:t>
      </w:r>
      <w:r w:rsidR="00345169" w:rsidRPr="00345169">
        <w:rPr>
          <w:rtl/>
        </w:rPr>
        <w:t xml:space="preserve">كما </w:t>
      </w:r>
      <w:r w:rsidR="00345169">
        <w:rPr>
          <w:rFonts w:hint="cs"/>
          <w:rtl/>
        </w:rPr>
        <w:t xml:space="preserve">اعتمدت لجنة المعايير المعيار </w:t>
      </w:r>
      <w:r w:rsidR="00345169" w:rsidRPr="00345169">
        <w:t>ST.90</w:t>
      </w:r>
      <w:r w:rsidR="00345169" w:rsidRPr="00345169">
        <w:rPr>
          <w:rtl/>
        </w:rPr>
        <w:t xml:space="preserve"> "توصية لمعالجة بيانات الملكية الفكرية ونقلها باستخدام واجهات برمجة تطبيقات الويب" (انظر الفقرات 86 و14 إلى 19 من الوثيقة </w:t>
      </w:r>
      <w:r w:rsidR="00345169" w:rsidRPr="00345169">
        <w:t>CWS/8/24</w:t>
      </w:r>
      <w:r w:rsidR="00345169" w:rsidRPr="00345169">
        <w:rPr>
          <w:rtl/>
        </w:rPr>
        <w:t>)</w:t>
      </w:r>
    </w:p>
    <w:p w14:paraId="283E1421" w14:textId="63E181E4" w:rsidR="001413DD" w:rsidRDefault="001413DD" w:rsidP="001413DD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كما </w:t>
      </w:r>
      <w:r w:rsidR="003F64F8">
        <w:rPr>
          <w:rFonts w:hint="cs"/>
          <w:rtl/>
        </w:rPr>
        <w:t>يظهر</w:t>
      </w:r>
      <w:r>
        <w:rPr>
          <w:rtl/>
        </w:rPr>
        <w:t xml:space="preserve"> </w:t>
      </w:r>
      <w:r w:rsidR="003F64F8">
        <w:rPr>
          <w:rFonts w:hint="cs"/>
          <w:rtl/>
        </w:rPr>
        <w:t>المثالان المذكوران</w:t>
      </w:r>
      <w:r>
        <w:rPr>
          <w:rtl/>
        </w:rPr>
        <w:t xml:space="preserve">، </w:t>
      </w:r>
      <w:r w:rsidR="003F64F8">
        <w:rPr>
          <w:rFonts w:hint="cs"/>
          <w:rtl/>
        </w:rPr>
        <w:t>فقد أصبح عمل لجنة المعايير</w:t>
      </w:r>
      <w:r>
        <w:rPr>
          <w:rtl/>
        </w:rPr>
        <w:t xml:space="preserve"> ينطوي </w:t>
      </w:r>
      <w:r w:rsidR="003F64F8">
        <w:rPr>
          <w:rFonts w:hint="cs"/>
          <w:rtl/>
        </w:rPr>
        <w:t>شيئا فشيئا</w:t>
      </w:r>
      <w:r>
        <w:rPr>
          <w:rtl/>
        </w:rPr>
        <w:t xml:space="preserve"> على الملكية الفكرية</w:t>
      </w:r>
      <w:r w:rsidR="003F64F8">
        <w:rPr>
          <w:rtl/>
        </w:rPr>
        <w:t>،</w:t>
      </w:r>
      <w:r>
        <w:rPr>
          <w:rtl/>
        </w:rPr>
        <w:t xml:space="preserve"> وليس فقط الملكية الصناعية. </w:t>
      </w:r>
      <w:r w:rsidR="00941258">
        <w:rPr>
          <w:rFonts w:hint="cs"/>
          <w:rtl/>
        </w:rPr>
        <w:t>و</w:t>
      </w:r>
      <w:r>
        <w:rPr>
          <w:rtl/>
        </w:rPr>
        <w:t xml:space="preserve">نوقشت المخططات الخاصة </w:t>
      </w:r>
      <w:r w:rsidR="00941258">
        <w:rPr>
          <w:rFonts w:hint="cs"/>
          <w:rtl/>
        </w:rPr>
        <w:t>بالمصنفات</w:t>
      </w:r>
      <w:r>
        <w:rPr>
          <w:rtl/>
        </w:rPr>
        <w:t xml:space="preserve"> اليتيمة</w:t>
      </w:r>
      <w:r w:rsidR="00941258">
        <w:rPr>
          <w:rFonts w:hint="cs"/>
          <w:rtl/>
        </w:rPr>
        <w:t xml:space="preserve"> المحمية</w:t>
      </w:r>
      <w:r>
        <w:rPr>
          <w:rtl/>
        </w:rPr>
        <w:t xml:space="preserve"> بموجب حق المؤلف في </w:t>
      </w:r>
      <w:r w:rsidR="00941258">
        <w:rPr>
          <w:rFonts w:hint="cs"/>
          <w:rtl/>
        </w:rPr>
        <w:t>دورات لجنة المعايير</w:t>
      </w:r>
      <w:r>
        <w:rPr>
          <w:rtl/>
        </w:rPr>
        <w:t xml:space="preserve"> لسنوات عديدة قبل إضافتها أخيرًا إلى</w:t>
      </w:r>
      <w:r w:rsidR="00941258">
        <w:rPr>
          <w:rFonts w:hint="cs"/>
          <w:rtl/>
        </w:rPr>
        <w:t xml:space="preserve"> المعيار</w:t>
      </w:r>
      <w:r>
        <w:rPr>
          <w:rtl/>
        </w:rPr>
        <w:t xml:space="preserve"> </w:t>
      </w:r>
      <w:r>
        <w:t>ST.96</w:t>
      </w:r>
      <w:r>
        <w:rPr>
          <w:rtl/>
        </w:rPr>
        <w:t xml:space="preserve">. </w:t>
      </w:r>
      <w:r w:rsidR="00941258">
        <w:rPr>
          <w:rFonts w:hint="cs"/>
          <w:rtl/>
        </w:rPr>
        <w:t xml:space="preserve">وقد </w:t>
      </w:r>
      <w:r>
        <w:rPr>
          <w:rtl/>
        </w:rPr>
        <w:t xml:space="preserve">تمت صياغة </w:t>
      </w:r>
      <w:r w:rsidR="00941258">
        <w:rPr>
          <w:rFonts w:hint="cs"/>
          <w:rtl/>
        </w:rPr>
        <w:t>ال</w:t>
      </w:r>
      <w:r>
        <w:rPr>
          <w:rtl/>
        </w:rPr>
        <w:t xml:space="preserve">معيار </w:t>
      </w:r>
      <w:r>
        <w:t>ST.</w:t>
      </w:r>
      <w:r w:rsidR="00941258">
        <w:t>90</w:t>
      </w:r>
      <w:r w:rsidR="00941258">
        <w:rPr>
          <w:rFonts w:hint="cs"/>
          <w:rtl/>
        </w:rPr>
        <w:t xml:space="preserve"> المتعلق ب</w:t>
      </w:r>
      <w:r w:rsidR="00941258" w:rsidRPr="00345169">
        <w:rPr>
          <w:rtl/>
        </w:rPr>
        <w:t>واجهات برمجة تطبيقات الويب</w:t>
      </w:r>
      <w:r w:rsidR="00941258">
        <w:rPr>
          <w:rtl/>
        </w:rPr>
        <w:t xml:space="preserve"> </w:t>
      </w:r>
      <w:r>
        <w:rPr>
          <w:rtl/>
        </w:rPr>
        <w:t xml:space="preserve">بشكل عام لتغطية جميع أنواع الملكية الفكرية حسب الاقتضاء. </w:t>
      </w:r>
      <w:r w:rsidR="00941258">
        <w:rPr>
          <w:rFonts w:hint="cs"/>
          <w:rtl/>
        </w:rPr>
        <w:t>و</w:t>
      </w:r>
      <w:r>
        <w:rPr>
          <w:rtl/>
        </w:rPr>
        <w:t>في بعض الحالات</w:t>
      </w:r>
      <w:r w:rsidR="003F64F8">
        <w:rPr>
          <w:rtl/>
        </w:rPr>
        <w:t>،</w:t>
      </w:r>
      <w:r>
        <w:rPr>
          <w:rtl/>
        </w:rPr>
        <w:t xml:space="preserve"> يمكن أن تتضمن </w:t>
      </w:r>
      <w:r w:rsidR="00941258">
        <w:rPr>
          <w:rFonts w:hint="cs"/>
          <w:rtl/>
        </w:rPr>
        <w:t>استجابات</w:t>
      </w:r>
      <w:r>
        <w:rPr>
          <w:rtl/>
        </w:rPr>
        <w:t xml:space="preserve"> </w:t>
      </w:r>
      <w:r w:rsidR="00941258" w:rsidRPr="00941258">
        <w:rPr>
          <w:rtl/>
        </w:rPr>
        <w:t xml:space="preserve">واجهات برمجة تطبيقات الويب </w:t>
      </w:r>
      <w:r>
        <w:rPr>
          <w:rtl/>
        </w:rPr>
        <w:t xml:space="preserve">بيانات </w:t>
      </w:r>
      <w:r w:rsidR="00941258">
        <w:rPr>
          <w:rFonts w:hint="cs"/>
          <w:rtl/>
        </w:rPr>
        <w:t>حق المؤلف</w:t>
      </w:r>
      <w:r>
        <w:rPr>
          <w:rtl/>
        </w:rPr>
        <w:t xml:space="preserve"> مثل بيانات </w:t>
      </w:r>
      <w:r w:rsidR="00941258">
        <w:rPr>
          <w:rFonts w:hint="cs"/>
          <w:rtl/>
        </w:rPr>
        <w:t>المصنفات</w:t>
      </w:r>
      <w:r>
        <w:rPr>
          <w:rtl/>
        </w:rPr>
        <w:t xml:space="preserve"> اليتيمة </w:t>
      </w:r>
      <w:r w:rsidR="00941258">
        <w:rPr>
          <w:rFonts w:hint="cs"/>
          <w:rtl/>
        </w:rPr>
        <w:t>بنسق المعيار</w:t>
      </w:r>
      <w:r>
        <w:rPr>
          <w:rtl/>
        </w:rPr>
        <w:t xml:space="preserve"> </w:t>
      </w:r>
      <w:r>
        <w:t>ST.96</w:t>
      </w:r>
      <w:r>
        <w:rPr>
          <w:rtl/>
        </w:rPr>
        <w:t>. وبالمثل</w:t>
      </w:r>
      <w:r w:rsidR="003F64F8">
        <w:rPr>
          <w:rtl/>
        </w:rPr>
        <w:t>،</w:t>
      </w:r>
      <w:r>
        <w:rPr>
          <w:rtl/>
        </w:rPr>
        <w:t xml:space="preserve"> قد ينطوي </w:t>
      </w:r>
      <w:r w:rsidR="0053711D">
        <w:rPr>
          <w:rFonts w:hint="cs"/>
          <w:rtl/>
        </w:rPr>
        <w:t>المصنف</w:t>
      </w:r>
      <w:r>
        <w:rPr>
          <w:rtl/>
        </w:rPr>
        <w:t xml:space="preserve"> في مجالات أخرى مثل </w:t>
      </w:r>
      <w:r w:rsidR="0053711D">
        <w:rPr>
          <w:rFonts w:hint="cs"/>
          <w:rtl/>
        </w:rPr>
        <w:t>سلاسل الكتل</w:t>
      </w:r>
      <w:r>
        <w:rPr>
          <w:rtl/>
        </w:rPr>
        <w:t xml:space="preserve"> على بيانات </w:t>
      </w:r>
      <w:r w:rsidR="0053711D">
        <w:rPr>
          <w:rFonts w:hint="cs"/>
          <w:rtl/>
        </w:rPr>
        <w:t>حق المؤلف</w:t>
      </w:r>
      <w:r>
        <w:rPr>
          <w:rtl/>
        </w:rPr>
        <w:t>.</w:t>
      </w:r>
    </w:p>
    <w:p w14:paraId="6B13CE8B" w14:textId="6015A395" w:rsidR="001413DD" w:rsidRDefault="00A65D57" w:rsidP="00DB3391">
      <w:pPr>
        <w:pStyle w:val="ONUMA"/>
      </w:pPr>
      <w:r>
        <w:rPr>
          <w:rFonts w:hint="cs"/>
          <w:rtl/>
        </w:rPr>
        <w:t xml:space="preserve">ولا تعكس </w:t>
      </w:r>
      <w:r w:rsidR="001413DD">
        <w:rPr>
          <w:rtl/>
        </w:rPr>
        <w:t xml:space="preserve">المصطلحات الواردة في دليل الويبو بشأن </w:t>
      </w:r>
      <w:r>
        <w:rPr>
          <w:rFonts w:hint="cs"/>
          <w:rtl/>
        </w:rPr>
        <w:t>ال</w:t>
      </w:r>
      <w:r w:rsidR="001413DD">
        <w:rPr>
          <w:rtl/>
        </w:rPr>
        <w:t xml:space="preserve">معلومات </w:t>
      </w:r>
      <w:r>
        <w:rPr>
          <w:rFonts w:hint="cs"/>
          <w:rtl/>
        </w:rPr>
        <w:t>والوثائق المتعلقة</w:t>
      </w:r>
      <w:r w:rsidR="001413DD">
        <w:rPr>
          <w:rtl/>
        </w:rPr>
        <w:t xml:space="preserve"> </w:t>
      </w:r>
      <w:r>
        <w:rPr>
          <w:rFonts w:hint="cs"/>
          <w:rtl/>
        </w:rPr>
        <w:t>ب</w:t>
      </w:r>
      <w:r w:rsidR="001413DD">
        <w:rPr>
          <w:rtl/>
        </w:rPr>
        <w:t xml:space="preserve">الملكية الصناعية هذه الحقائق بعد. </w:t>
      </w:r>
      <w:r>
        <w:rPr>
          <w:rFonts w:hint="cs"/>
          <w:rtl/>
        </w:rPr>
        <w:t>و</w:t>
      </w:r>
      <w:r w:rsidR="001413DD">
        <w:rPr>
          <w:rtl/>
        </w:rPr>
        <w:t>يشير العنوان نفسه إلى أنه يغطي الملكية الصناعية وليس الملكية الفكرية. وبالمثل</w:t>
      </w:r>
      <w:r w:rsidR="003F64F8">
        <w:rPr>
          <w:rtl/>
        </w:rPr>
        <w:t>،</w:t>
      </w:r>
      <w:r w:rsidR="001413DD">
        <w:rPr>
          <w:rtl/>
        </w:rPr>
        <w:t xml:space="preserve"> </w:t>
      </w:r>
      <w:r w:rsidR="00375B47">
        <w:rPr>
          <w:rFonts w:hint="cs"/>
          <w:rtl/>
        </w:rPr>
        <w:t>لا تعكس</w:t>
      </w:r>
      <w:r w:rsidR="001413DD">
        <w:rPr>
          <w:rtl/>
        </w:rPr>
        <w:t xml:space="preserve"> عناوين </w:t>
      </w:r>
      <w:r w:rsidR="00375B47">
        <w:rPr>
          <w:rFonts w:hint="cs"/>
          <w:rtl/>
        </w:rPr>
        <w:t>بعض ال</w:t>
      </w:r>
      <w:r w:rsidR="001413DD">
        <w:rPr>
          <w:rtl/>
        </w:rPr>
        <w:t>أجزاء من دليل الويبو</w:t>
      </w:r>
      <w:r w:rsidR="003F64F8">
        <w:rPr>
          <w:rtl/>
        </w:rPr>
        <w:t>،</w:t>
      </w:r>
      <w:r w:rsidR="001413DD">
        <w:rPr>
          <w:rtl/>
        </w:rPr>
        <w:t xml:space="preserve"> مثل الجزء 6 "</w:t>
      </w:r>
      <w:r w:rsidR="00375B47">
        <w:rPr>
          <w:rFonts w:hint="cs"/>
          <w:rtl/>
        </w:rPr>
        <w:t>النفاذ</w:t>
      </w:r>
      <w:r w:rsidR="001413DD">
        <w:rPr>
          <w:rtl/>
        </w:rPr>
        <w:t xml:space="preserve"> إلى معلومات الملكية الصناعية" والجزء 7 "أمثلة وممارسات مكاتب الملكية الصناعية"</w:t>
      </w:r>
      <w:r w:rsidR="003F64F8">
        <w:rPr>
          <w:rtl/>
        </w:rPr>
        <w:t>،</w:t>
      </w:r>
      <w:r w:rsidR="001413DD">
        <w:rPr>
          <w:rtl/>
        </w:rPr>
        <w:t xml:space="preserve"> </w:t>
      </w:r>
      <w:r w:rsidR="00375B47">
        <w:rPr>
          <w:rFonts w:hint="cs"/>
          <w:rtl/>
        </w:rPr>
        <w:t xml:space="preserve">أن </w:t>
      </w:r>
      <w:r w:rsidR="001413DD">
        <w:rPr>
          <w:rtl/>
        </w:rPr>
        <w:t>المحتويات</w:t>
      </w:r>
      <w:r w:rsidR="00375B47">
        <w:rPr>
          <w:rFonts w:hint="cs"/>
          <w:rtl/>
        </w:rPr>
        <w:t xml:space="preserve"> تنطوي</w:t>
      </w:r>
      <w:r w:rsidR="001413DD">
        <w:rPr>
          <w:rtl/>
        </w:rPr>
        <w:t xml:space="preserve"> بالفعل أو قد </w:t>
      </w:r>
      <w:r w:rsidR="00375B47">
        <w:rPr>
          <w:rFonts w:hint="cs"/>
          <w:rtl/>
        </w:rPr>
        <w:t>تنطوي</w:t>
      </w:r>
      <w:r w:rsidR="001413DD">
        <w:rPr>
          <w:rtl/>
        </w:rPr>
        <w:t xml:space="preserve"> قريبًا </w:t>
      </w:r>
      <w:r w:rsidR="00375B47">
        <w:rPr>
          <w:rFonts w:hint="cs"/>
          <w:rtl/>
        </w:rPr>
        <w:t xml:space="preserve">على </w:t>
      </w:r>
      <w:r w:rsidR="001413DD">
        <w:rPr>
          <w:rtl/>
        </w:rPr>
        <w:t xml:space="preserve">توصيات أو بيانات تغطي </w:t>
      </w:r>
      <w:r w:rsidR="00BC7951">
        <w:rPr>
          <w:rFonts w:hint="cs"/>
          <w:rtl/>
          <w:lang w:bidi="ar-EG"/>
        </w:rPr>
        <w:t>الملكية</w:t>
      </w:r>
      <w:r w:rsidR="001413DD">
        <w:rPr>
          <w:rtl/>
        </w:rPr>
        <w:t xml:space="preserve"> الفكرية</w:t>
      </w:r>
      <w:r w:rsidR="00B76CEB">
        <w:rPr>
          <w:rFonts w:hint="cs"/>
          <w:rtl/>
        </w:rPr>
        <w:t xml:space="preserve"> و</w:t>
      </w:r>
      <w:r w:rsidR="001413DD">
        <w:rPr>
          <w:rtl/>
        </w:rPr>
        <w:t>ليس الملكية الصناعية</w:t>
      </w:r>
      <w:r w:rsidR="00B76CEB" w:rsidRPr="00B76CEB">
        <w:rPr>
          <w:rtl/>
        </w:rPr>
        <w:t xml:space="preserve"> </w:t>
      </w:r>
      <w:r w:rsidR="00B76CEB">
        <w:rPr>
          <w:rtl/>
        </w:rPr>
        <w:t>فقط</w:t>
      </w:r>
      <w:r w:rsidR="001413DD">
        <w:rPr>
          <w:rtl/>
        </w:rPr>
        <w:t xml:space="preserve">. </w:t>
      </w:r>
      <w:r w:rsidR="005E36BB">
        <w:rPr>
          <w:rFonts w:hint="cs"/>
          <w:rtl/>
        </w:rPr>
        <w:t>ف</w:t>
      </w:r>
      <w:r w:rsidR="001413DD">
        <w:rPr>
          <w:rtl/>
        </w:rPr>
        <w:t>على سبيل المثال</w:t>
      </w:r>
      <w:r w:rsidR="003F64F8">
        <w:rPr>
          <w:rtl/>
        </w:rPr>
        <w:t>،</w:t>
      </w:r>
      <w:r w:rsidR="001413DD">
        <w:rPr>
          <w:rtl/>
        </w:rPr>
        <w:t xml:space="preserve"> يحتوي الجزء 6 على الجزء </w:t>
      </w:r>
      <w:r w:rsidR="005E36BB">
        <w:rPr>
          <w:rFonts w:hint="cs"/>
          <w:rtl/>
        </w:rPr>
        <w:t>1.6</w:t>
      </w:r>
      <w:r w:rsidR="001413DD">
        <w:rPr>
          <w:rtl/>
        </w:rPr>
        <w:t xml:space="preserve"> "</w:t>
      </w:r>
      <w:r w:rsidR="002C76A8">
        <w:rPr>
          <w:rFonts w:hint="cs"/>
          <w:rtl/>
        </w:rPr>
        <w:t xml:space="preserve">توصيات بشأن </w:t>
      </w:r>
      <w:r w:rsidR="001413DD">
        <w:rPr>
          <w:rtl/>
        </w:rPr>
        <w:t xml:space="preserve">الحد الأدنى من المحتويات </w:t>
      </w:r>
      <w:r w:rsidR="00B7515E">
        <w:rPr>
          <w:rFonts w:hint="cs"/>
          <w:rtl/>
        </w:rPr>
        <w:t>التي يتعين أن تنطوي عليها ال</w:t>
      </w:r>
      <w:r w:rsidR="001413DD">
        <w:rPr>
          <w:rtl/>
        </w:rPr>
        <w:t xml:space="preserve">مواقع </w:t>
      </w:r>
      <w:r w:rsidR="005E36BB">
        <w:rPr>
          <w:rFonts w:hint="cs"/>
          <w:rtl/>
        </w:rPr>
        <w:t xml:space="preserve">الإلكترونية </w:t>
      </w:r>
      <w:r w:rsidR="005E36BB" w:rsidRPr="00B7515E">
        <w:rPr>
          <w:rFonts w:hint="cs"/>
          <w:u w:val="single"/>
          <w:rtl/>
        </w:rPr>
        <w:t>ل</w:t>
      </w:r>
      <w:r w:rsidR="001413DD" w:rsidRPr="00B7515E">
        <w:rPr>
          <w:u w:val="single"/>
          <w:rtl/>
        </w:rPr>
        <w:t>مكاتب الملكية الفكرية</w:t>
      </w:r>
      <w:r w:rsidR="001413DD">
        <w:rPr>
          <w:rtl/>
        </w:rPr>
        <w:t xml:space="preserve">". </w:t>
      </w:r>
      <w:r w:rsidR="00B7515E">
        <w:rPr>
          <w:rFonts w:hint="cs"/>
          <w:rtl/>
        </w:rPr>
        <w:t>و</w:t>
      </w:r>
      <w:r w:rsidR="001413DD">
        <w:rPr>
          <w:rtl/>
        </w:rPr>
        <w:t xml:space="preserve">قد يتضمن الجزء 7 قريبًا نتائج </w:t>
      </w:r>
      <w:r w:rsidR="00B7515E">
        <w:rPr>
          <w:rFonts w:hint="cs"/>
          <w:rtl/>
        </w:rPr>
        <w:t>الدراسة الاستقصائية</w:t>
      </w:r>
      <w:r w:rsidR="001413DD">
        <w:rPr>
          <w:rtl/>
        </w:rPr>
        <w:t xml:space="preserve"> </w:t>
      </w:r>
      <w:r w:rsidR="00B7515E">
        <w:rPr>
          <w:rFonts w:hint="cs"/>
          <w:rtl/>
        </w:rPr>
        <w:t>التي ستتيحها</w:t>
      </w:r>
      <w:r w:rsidR="001413DD">
        <w:rPr>
          <w:rtl/>
        </w:rPr>
        <w:t xml:space="preserve"> مكاتب الملكية الفكرية</w:t>
      </w:r>
      <w:r w:rsidR="003F64F8">
        <w:rPr>
          <w:rtl/>
        </w:rPr>
        <w:t>،</w:t>
      </w:r>
      <w:r w:rsidR="001413DD">
        <w:rPr>
          <w:rtl/>
        </w:rPr>
        <w:t xml:space="preserve"> حيث تواصل فرق العمل </w:t>
      </w:r>
      <w:r w:rsidR="00B7515E">
        <w:rPr>
          <w:rFonts w:hint="cs"/>
          <w:rtl/>
        </w:rPr>
        <w:t>وضع</w:t>
      </w:r>
      <w:r w:rsidR="001413DD">
        <w:rPr>
          <w:rtl/>
        </w:rPr>
        <w:t xml:space="preserve"> معايير الويبو لدمج أي نوع من بيانات الملكية الفكرية مع </w:t>
      </w:r>
      <w:r w:rsidR="00C07D74">
        <w:rPr>
          <w:rFonts w:hint="cs"/>
          <w:rtl/>
        </w:rPr>
        <w:t>أية تكنولوجيات</w:t>
      </w:r>
      <w:r w:rsidR="001413DD">
        <w:rPr>
          <w:rtl/>
        </w:rPr>
        <w:t xml:space="preserve"> مثل </w:t>
      </w:r>
      <w:r w:rsidR="00C07D74">
        <w:rPr>
          <w:rFonts w:hint="cs"/>
          <w:rtl/>
        </w:rPr>
        <w:t>واجهات برمجة تطبيقات الويب</w:t>
      </w:r>
      <w:r w:rsidR="001413DD">
        <w:rPr>
          <w:rtl/>
        </w:rPr>
        <w:t xml:space="preserve"> و</w:t>
      </w:r>
      <w:r w:rsidR="00171BE2">
        <w:rPr>
          <w:rFonts w:hint="cs"/>
          <w:rtl/>
        </w:rPr>
        <w:t>لغة الترميز الموسعة (</w:t>
      </w:r>
      <w:r w:rsidR="001413DD">
        <w:t>XML</w:t>
      </w:r>
      <w:r w:rsidR="00171BE2">
        <w:rPr>
          <w:rFonts w:hint="cs"/>
          <w:rtl/>
        </w:rPr>
        <w:t>)</w:t>
      </w:r>
      <w:r w:rsidR="001413DD">
        <w:rPr>
          <w:rtl/>
        </w:rPr>
        <w:t xml:space="preserve"> و</w:t>
      </w:r>
      <w:r w:rsidR="001413DD">
        <w:t>JSON</w:t>
      </w:r>
      <w:r w:rsidR="001413DD">
        <w:rPr>
          <w:rtl/>
        </w:rPr>
        <w:t xml:space="preserve"> و</w:t>
      </w:r>
      <w:r w:rsidR="00C07D74">
        <w:rPr>
          <w:rFonts w:hint="cs"/>
          <w:rtl/>
        </w:rPr>
        <w:t>سلاسل الكتل</w:t>
      </w:r>
      <w:r w:rsidR="00DB3391" w:rsidRPr="00553BD7">
        <w:t>.</w:t>
      </w:r>
    </w:p>
    <w:p w14:paraId="71E79B8F" w14:textId="77777777" w:rsidR="001413DD" w:rsidRPr="00DB3391" w:rsidRDefault="001413DD" w:rsidP="00DB3391">
      <w:pPr>
        <w:pStyle w:val="Heading2"/>
        <w:rPr>
          <w:i/>
          <w:iCs w:val="0"/>
          <w:lang w:eastAsia="en-US"/>
        </w:rPr>
      </w:pPr>
      <w:r w:rsidRPr="00DB3391">
        <w:rPr>
          <w:i/>
          <w:iCs w:val="0"/>
          <w:rtl/>
          <w:lang w:eastAsia="en-US"/>
        </w:rPr>
        <w:lastRenderedPageBreak/>
        <w:t>التحديثات المقترحة</w:t>
      </w:r>
    </w:p>
    <w:p w14:paraId="5D47C0E5" w14:textId="79F3874D" w:rsidR="001413DD" w:rsidRDefault="001413DD" w:rsidP="001413DD">
      <w:pPr>
        <w:pStyle w:val="ONUMA"/>
      </w:pPr>
      <w:r>
        <w:rPr>
          <w:rtl/>
        </w:rPr>
        <w:t xml:space="preserve">من أجل عكس </w:t>
      </w:r>
      <w:r w:rsidR="00DB3391">
        <w:rPr>
          <w:rFonts w:hint="cs"/>
          <w:rtl/>
        </w:rPr>
        <w:t>المواضيع التي يغطيها</w:t>
      </w:r>
      <w:r>
        <w:rPr>
          <w:rtl/>
        </w:rPr>
        <w:t xml:space="preserve"> </w:t>
      </w:r>
      <w:r w:rsidR="00DB3391">
        <w:rPr>
          <w:rFonts w:hint="cs"/>
          <w:rtl/>
        </w:rPr>
        <w:t xml:space="preserve">حاليا </w:t>
      </w:r>
      <w:r>
        <w:rPr>
          <w:rtl/>
        </w:rPr>
        <w:t>محتوى دليل الويبو والعمل المستقبلي للجنة المعايير</w:t>
      </w:r>
      <w:r w:rsidR="003F64F8">
        <w:rPr>
          <w:rtl/>
        </w:rPr>
        <w:t>،</w:t>
      </w:r>
      <w:r>
        <w:rPr>
          <w:rtl/>
        </w:rPr>
        <w:t xml:space="preserve"> يقترح المكتب الدولي تحديث النص في دليل الويبو على النحو التالي:</w:t>
      </w:r>
    </w:p>
    <w:p w14:paraId="24C00C73" w14:textId="6A51A3AD" w:rsidR="001413DD" w:rsidRDefault="001413DD" w:rsidP="00DB3391">
      <w:pPr>
        <w:pStyle w:val="ONUMA"/>
        <w:numPr>
          <w:ilvl w:val="0"/>
          <w:numId w:val="29"/>
        </w:numPr>
        <w:ind w:left="991" w:hanging="425"/>
      </w:pPr>
      <w:r>
        <w:rPr>
          <w:rtl/>
        </w:rPr>
        <w:t xml:space="preserve">عنوان </w:t>
      </w:r>
      <w:r w:rsidR="00B06CFB">
        <w:rPr>
          <w:rFonts w:hint="cs"/>
          <w:rtl/>
        </w:rPr>
        <w:t>الدليل</w:t>
      </w:r>
      <w:r>
        <w:rPr>
          <w:rtl/>
        </w:rPr>
        <w:t xml:space="preserve">: </w:t>
      </w:r>
      <w:r w:rsidR="00B06CFB" w:rsidRPr="00EA4792">
        <w:rPr>
          <w:i/>
          <w:iCs/>
          <w:rtl/>
        </w:rPr>
        <w:t xml:space="preserve">دليل الويبو بشأن المعلومات والوثائق المتعلقة بالملكية </w:t>
      </w:r>
      <w:r w:rsidR="00B06CFB" w:rsidRPr="00CB6E6F">
        <w:rPr>
          <w:rFonts w:hint="cs"/>
          <w:i/>
          <w:iCs/>
          <w:u w:val="single"/>
          <w:rtl/>
        </w:rPr>
        <w:t>الفكرية</w:t>
      </w:r>
      <w:r w:rsidR="00B06CFB" w:rsidRPr="00EA4792">
        <w:rPr>
          <w:rFonts w:hint="cs"/>
          <w:i/>
          <w:iCs/>
          <w:rtl/>
        </w:rPr>
        <w:t xml:space="preserve"> </w:t>
      </w:r>
      <w:r w:rsidR="00B06CFB" w:rsidRPr="00EA4792">
        <w:rPr>
          <w:i/>
          <w:iCs/>
          <w:strike/>
          <w:rtl/>
        </w:rPr>
        <w:t>الصناعية</w:t>
      </w:r>
      <w:r>
        <w:rPr>
          <w:rtl/>
        </w:rPr>
        <w:t>؛</w:t>
      </w:r>
    </w:p>
    <w:p w14:paraId="76AA69E5" w14:textId="5CBD6933" w:rsidR="001413DD" w:rsidRDefault="006F7063" w:rsidP="00DB3391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>و</w:t>
      </w:r>
      <w:r w:rsidR="001413DD">
        <w:rPr>
          <w:rtl/>
        </w:rPr>
        <w:t>عنوان الجزء 6: "</w:t>
      </w:r>
      <w:r w:rsidR="009E3BA7">
        <w:rPr>
          <w:rFonts w:hint="cs"/>
          <w:rtl/>
        </w:rPr>
        <w:t>النفاذ</w:t>
      </w:r>
      <w:r w:rsidR="001413DD">
        <w:rPr>
          <w:rtl/>
        </w:rPr>
        <w:t xml:space="preserve"> إلى معلومات الملكية </w:t>
      </w:r>
      <w:r w:rsidR="001413DD" w:rsidRPr="00CB6E6F">
        <w:rPr>
          <w:u w:val="single"/>
          <w:rtl/>
        </w:rPr>
        <w:t>الفكرية</w:t>
      </w:r>
      <w:r w:rsidR="001413DD">
        <w:rPr>
          <w:rtl/>
        </w:rPr>
        <w:t xml:space="preserve"> </w:t>
      </w:r>
      <w:r w:rsidR="001413DD" w:rsidRPr="009E3BA7">
        <w:rPr>
          <w:strike/>
          <w:rtl/>
        </w:rPr>
        <w:t>الصناعية</w:t>
      </w:r>
      <w:r w:rsidR="001413DD">
        <w:rPr>
          <w:rtl/>
        </w:rPr>
        <w:t>"؛</w:t>
      </w:r>
    </w:p>
    <w:p w14:paraId="02AD7965" w14:textId="6979A95C" w:rsidR="001413DD" w:rsidRDefault="006F7063" w:rsidP="00DB3391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>و</w:t>
      </w:r>
      <w:r w:rsidR="001413DD">
        <w:rPr>
          <w:rtl/>
        </w:rPr>
        <w:t xml:space="preserve">عنوان الجزء 7: "أمثلة وممارسات مكاتب الملكية </w:t>
      </w:r>
      <w:r w:rsidR="00D02F84">
        <w:rPr>
          <w:rtl/>
        </w:rPr>
        <w:t xml:space="preserve">الفكرية </w:t>
      </w:r>
      <w:r w:rsidR="001413DD" w:rsidRPr="00D02F84">
        <w:rPr>
          <w:strike/>
          <w:rtl/>
        </w:rPr>
        <w:t>الصناعية</w:t>
      </w:r>
      <w:r w:rsidR="001413DD">
        <w:rPr>
          <w:rtl/>
        </w:rPr>
        <w:t>"؛</w:t>
      </w:r>
    </w:p>
    <w:p w14:paraId="5416CD44" w14:textId="1D6A1515" w:rsidR="001413DD" w:rsidRDefault="0021123C" w:rsidP="00DB3391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 xml:space="preserve">وسيتم </w:t>
      </w:r>
      <w:r w:rsidR="001413DD">
        <w:rPr>
          <w:rtl/>
        </w:rPr>
        <w:t xml:space="preserve">في الجزء 7 </w:t>
      </w:r>
      <w:r>
        <w:rPr>
          <w:rFonts w:hint="cs"/>
          <w:rtl/>
        </w:rPr>
        <w:t>الاستعاضة عن عبارة</w:t>
      </w:r>
      <w:r w:rsidR="001413DD">
        <w:rPr>
          <w:rtl/>
        </w:rPr>
        <w:t xml:space="preserve"> "الملكية الصناعية" بعبارة "الملكية الفكرية" عند الاقتضاء. </w:t>
      </w:r>
      <w:r>
        <w:rPr>
          <w:rFonts w:hint="cs"/>
          <w:rtl/>
        </w:rPr>
        <w:t>و</w:t>
      </w:r>
      <w:r w:rsidR="001413DD">
        <w:rPr>
          <w:rtl/>
        </w:rPr>
        <w:t>على سبيل المثال</w:t>
      </w:r>
      <w:r w:rsidR="003F64F8">
        <w:rPr>
          <w:rtl/>
        </w:rPr>
        <w:t>،</w:t>
      </w:r>
      <w:r w:rsidR="001413DD">
        <w:rPr>
          <w:rtl/>
        </w:rPr>
        <w:t xml:space="preserve"> </w:t>
      </w:r>
      <w:r>
        <w:rPr>
          <w:rFonts w:hint="cs"/>
          <w:rtl/>
        </w:rPr>
        <w:t>ستُغير</w:t>
      </w:r>
      <w:r w:rsidR="001413DD">
        <w:rPr>
          <w:rtl/>
        </w:rPr>
        <w:t xml:space="preserve"> عبارة "مكاتب الملكية الصناعية" </w:t>
      </w:r>
      <w:r>
        <w:rPr>
          <w:rFonts w:hint="cs"/>
          <w:rtl/>
        </w:rPr>
        <w:t>لتصبح</w:t>
      </w:r>
      <w:r w:rsidR="001413DD">
        <w:rPr>
          <w:rtl/>
        </w:rPr>
        <w:t xml:space="preserve"> "مكاتب الملكية الفكرية" في الفقرة التمهيدية. </w:t>
      </w:r>
      <w:r>
        <w:rPr>
          <w:rFonts w:hint="cs"/>
          <w:rtl/>
        </w:rPr>
        <w:t>ومن جهة أخرى</w:t>
      </w:r>
      <w:r w:rsidR="003F64F8">
        <w:rPr>
          <w:rtl/>
        </w:rPr>
        <w:t>،</w:t>
      </w:r>
      <w:r w:rsidR="001413DD">
        <w:rPr>
          <w:rtl/>
        </w:rPr>
        <w:t xml:space="preserve"> </w:t>
      </w:r>
      <w:r>
        <w:rPr>
          <w:rFonts w:hint="cs"/>
          <w:rtl/>
        </w:rPr>
        <w:t>لن يطال</w:t>
      </w:r>
      <w:r w:rsidR="001413DD">
        <w:rPr>
          <w:rtl/>
        </w:rPr>
        <w:t xml:space="preserve"> عنوان القسم </w:t>
      </w:r>
      <w:r>
        <w:rPr>
          <w:rFonts w:hint="cs"/>
          <w:rtl/>
        </w:rPr>
        <w:t>10.7</w:t>
      </w:r>
      <w:r w:rsidR="001413DD">
        <w:rPr>
          <w:rtl/>
        </w:rPr>
        <w:t xml:space="preserve"> "الرموز </w:t>
      </w:r>
      <w:r>
        <w:rPr>
          <w:rFonts w:hint="cs"/>
          <w:rtl/>
        </w:rPr>
        <w:t>التي تستخدمها</w:t>
      </w:r>
      <w:r w:rsidR="001413DD">
        <w:rPr>
          <w:rtl/>
        </w:rPr>
        <w:t xml:space="preserve"> مكاتب الملكية الصناعية" </w:t>
      </w:r>
      <w:r>
        <w:rPr>
          <w:rFonts w:hint="cs"/>
          <w:rtl/>
        </w:rPr>
        <w:t>أي</w:t>
      </w:r>
      <w:r w:rsidR="001413DD">
        <w:rPr>
          <w:rtl/>
        </w:rPr>
        <w:t xml:space="preserve"> تغيير</w:t>
      </w:r>
      <w:r w:rsidR="003F64F8">
        <w:rPr>
          <w:rtl/>
        </w:rPr>
        <w:t>،</w:t>
      </w:r>
      <w:r w:rsidR="001413DD">
        <w:rPr>
          <w:rtl/>
        </w:rPr>
        <w:t xml:space="preserve"> لأنه يتضمن </w:t>
      </w:r>
      <w:r w:rsidR="007A2821">
        <w:rPr>
          <w:rFonts w:hint="cs"/>
          <w:rtl/>
        </w:rPr>
        <w:t>دراسة استقصائية</w:t>
      </w:r>
      <w:r w:rsidR="001413DD">
        <w:rPr>
          <w:rtl/>
        </w:rPr>
        <w:t xml:space="preserve"> </w:t>
      </w:r>
      <w:r w:rsidR="007A2821">
        <w:rPr>
          <w:rFonts w:hint="cs"/>
          <w:rtl/>
        </w:rPr>
        <w:t>خاصة</w:t>
      </w:r>
      <w:r w:rsidR="001413DD">
        <w:rPr>
          <w:rtl/>
        </w:rPr>
        <w:t xml:space="preserve"> من عام 2009 </w:t>
      </w:r>
      <w:r w:rsidR="007A2821">
        <w:rPr>
          <w:rFonts w:hint="cs"/>
          <w:rtl/>
        </w:rPr>
        <w:t>تحتوي فقط على</w:t>
      </w:r>
      <w:r w:rsidR="001413DD">
        <w:rPr>
          <w:rtl/>
        </w:rPr>
        <w:t xml:space="preserve"> بيانات الملكية الصناعية؛</w:t>
      </w:r>
    </w:p>
    <w:p w14:paraId="09CD7EAE" w14:textId="7B631479" w:rsidR="001413DD" w:rsidRDefault="006F7063" w:rsidP="00DB3391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>و</w:t>
      </w:r>
      <w:r w:rsidR="001413DD">
        <w:rPr>
          <w:rtl/>
        </w:rPr>
        <w:t xml:space="preserve">عنوان الجزء 8: "المصطلحات والمختصرات </w:t>
      </w:r>
      <w:r w:rsidR="00AD35A3">
        <w:rPr>
          <w:rFonts w:hint="cs"/>
          <w:rtl/>
        </w:rPr>
        <w:t>بشأن</w:t>
      </w:r>
      <w:r w:rsidR="001413DD">
        <w:rPr>
          <w:rtl/>
        </w:rPr>
        <w:t xml:space="preserve"> </w:t>
      </w:r>
      <w:r w:rsidR="00AD35A3">
        <w:rPr>
          <w:rFonts w:hint="cs"/>
          <w:rtl/>
        </w:rPr>
        <w:t>ال</w:t>
      </w:r>
      <w:r w:rsidR="001413DD">
        <w:rPr>
          <w:rtl/>
        </w:rPr>
        <w:t xml:space="preserve">معلومات </w:t>
      </w:r>
      <w:r w:rsidR="00AD35A3">
        <w:rPr>
          <w:rFonts w:hint="cs"/>
          <w:rtl/>
        </w:rPr>
        <w:t>والوثائق المتعلقة</w:t>
      </w:r>
      <w:r w:rsidR="001413DD">
        <w:rPr>
          <w:rtl/>
        </w:rPr>
        <w:t xml:space="preserve"> </w:t>
      </w:r>
      <w:r w:rsidR="00AD35A3">
        <w:rPr>
          <w:rFonts w:hint="cs"/>
          <w:rtl/>
        </w:rPr>
        <w:t>ب</w:t>
      </w:r>
      <w:r w:rsidR="001413DD">
        <w:rPr>
          <w:rtl/>
        </w:rPr>
        <w:t xml:space="preserve">الملكية </w:t>
      </w:r>
      <w:r w:rsidR="00AD35A3">
        <w:rPr>
          <w:rtl/>
        </w:rPr>
        <w:t xml:space="preserve">الفكرية </w:t>
      </w:r>
      <w:r w:rsidR="001413DD" w:rsidRPr="00AD35A3">
        <w:rPr>
          <w:strike/>
          <w:rtl/>
        </w:rPr>
        <w:t>الصناعية</w:t>
      </w:r>
      <w:r w:rsidR="001413DD">
        <w:rPr>
          <w:rtl/>
        </w:rPr>
        <w:t xml:space="preserve">"؛ </w:t>
      </w:r>
    </w:p>
    <w:p w14:paraId="2B817C94" w14:textId="57222086" w:rsidR="001413DD" w:rsidRDefault="006F7063" w:rsidP="00DB3391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>والاستعاضة عن</w:t>
      </w:r>
      <w:r w:rsidR="001413DD">
        <w:rPr>
          <w:rtl/>
        </w:rPr>
        <w:t xml:space="preserve"> مصطلح "الملكية الصناعية" بمصطلح "الملكية الفكرية" المستخدم في أماكن أخرى من دليل الويبو</w:t>
      </w:r>
      <w:r w:rsidR="003F64F8">
        <w:rPr>
          <w:rtl/>
        </w:rPr>
        <w:t>،</w:t>
      </w:r>
      <w:r w:rsidR="001413DD">
        <w:rPr>
          <w:rtl/>
        </w:rPr>
        <w:t xml:space="preserve"> عند الاقتضاء.</w:t>
      </w:r>
    </w:p>
    <w:p w14:paraId="2195096B" w14:textId="5544F259" w:rsidR="001413DD" w:rsidRDefault="000300E6" w:rsidP="001413DD">
      <w:pPr>
        <w:pStyle w:val="ONUMA"/>
      </w:pPr>
      <w:r>
        <w:rPr>
          <w:rFonts w:hint="cs"/>
          <w:rtl/>
        </w:rPr>
        <w:t>و</w:t>
      </w:r>
      <w:r w:rsidR="001413DD">
        <w:rPr>
          <w:rtl/>
        </w:rPr>
        <w:t xml:space="preserve">لا يلزم تحديث أجزاء أخرى من الدليل </w:t>
      </w:r>
      <w:r>
        <w:rPr>
          <w:rFonts w:hint="cs"/>
          <w:rtl/>
        </w:rPr>
        <w:t>للسببين</w:t>
      </w:r>
      <w:r w:rsidR="001413DD">
        <w:rPr>
          <w:rtl/>
        </w:rPr>
        <w:t xml:space="preserve"> التالي</w:t>
      </w:r>
      <w:r>
        <w:rPr>
          <w:rFonts w:hint="cs"/>
          <w:rtl/>
        </w:rPr>
        <w:t>ين</w:t>
      </w:r>
      <w:r w:rsidR="001413DD">
        <w:rPr>
          <w:rtl/>
        </w:rPr>
        <w:t>:</w:t>
      </w:r>
    </w:p>
    <w:p w14:paraId="5D4ADFA5" w14:textId="5AFED1FF" w:rsidR="005B63FC" w:rsidRDefault="005B63FC" w:rsidP="000300E6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>سبق وأن خضع</w:t>
      </w:r>
      <w:r w:rsidR="001413DD">
        <w:rPr>
          <w:rtl/>
        </w:rPr>
        <w:t xml:space="preserve"> النص في الجزأين 1 (</w:t>
      </w:r>
      <w:r>
        <w:rPr>
          <w:rFonts w:hint="cs"/>
          <w:rtl/>
        </w:rPr>
        <w:t>عن</w:t>
      </w:r>
      <w:r w:rsidR="001413DD">
        <w:rPr>
          <w:rtl/>
        </w:rPr>
        <w:t xml:space="preserve"> دليل الويبو) والجزء 3 (معايير الويبو) </w:t>
      </w:r>
      <w:r>
        <w:rPr>
          <w:rFonts w:hint="cs"/>
          <w:rtl/>
        </w:rPr>
        <w:t>ل</w:t>
      </w:r>
      <w:r w:rsidRPr="005B63FC">
        <w:rPr>
          <w:rtl/>
        </w:rPr>
        <w:t xml:space="preserve">تحديث </w:t>
      </w:r>
      <w:r>
        <w:rPr>
          <w:rFonts w:hint="cs"/>
          <w:rtl/>
        </w:rPr>
        <w:t>حيث استعيض عن عبارة</w:t>
      </w:r>
      <w:r w:rsidR="001413DD">
        <w:rPr>
          <w:rtl/>
        </w:rPr>
        <w:t xml:space="preserve"> "الملكية الصناعية" بعبارة "الملكية الفكرية" عند الحاجة ل</w:t>
      </w:r>
      <w:r w:rsidR="00D35456">
        <w:rPr>
          <w:rFonts w:hint="cs"/>
          <w:rtl/>
        </w:rPr>
        <w:t>ت</w:t>
      </w:r>
      <w:r w:rsidR="001413DD">
        <w:rPr>
          <w:rtl/>
        </w:rPr>
        <w:t xml:space="preserve">عكس المحتويات بدقة. </w:t>
      </w:r>
      <w:r>
        <w:rPr>
          <w:rFonts w:hint="cs"/>
          <w:rtl/>
        </w:rPr>
        <w:t>ول</w:t>
      </w:r>
      <w:r w:rsidR="00C05BAB">
        <w:rPr>
          <w:rFonts w:hint="cs"/>
          <w:rtl/>
        </w:rPr>
        <w:t xml:space="preserve">يست هناك حاجة إلى </w:t>
      </w:r>
      <w:r>
        <w:rPr>
          <w:rFonts w:hint="cs"/>
          <w:rtl/>
        </w:rPr>
        <w:t>تحديث</w:t>
      </w:r>
      <w:r w:rsidR="001413DD">
        <w:rPr>
          <w:rtl/>
        </w:rPr>
        <w:t xml:space="preserve"> </w:t>
      </w:r>
      <w:r>
        <w:rPr>
          <w:rFonts w:hint="cs"/>
          <w:rtl/>
        </w:rPr>
        <w:t>عنواني</w:t>
      </w:r>
      <w:r w:rsidR="001413DD">
        <w:rPr>
          <w:rtl/>
        </w:rPr>
        <w:t xml:space="preserve"> </w:t>
      </w:r>
      <w:r>
        <w:rPr>
          <w:rFonts w:hint="cs"/>
          <w:rtl/>
        </w:rPr>
        <w:t>الجزأين</w:t>
      </w:r>
      <w:r w:rsidR="001413DD">
        <w:rPr>
          <w:rtl/>
        </w:rPr>
        <w:t xml:space="preserve">؛ </w:t>
      </w:r>
    </w:p>
    <w:p w14:paraId="55971F71" w14:textId="7387554B" w:rsidR="001413DD" w:rsidRDefault="00311080" w:rsidP="000300E6">
      <w:pPr>
        <w:pStyle w:val="ONUMA"/>
        <w:numPr>
          <w:ilvl w:val="0"/>
          <w:numId w:val="29"/>
        </w:numPr>
        <w:ind w:left="991" w:hanging="425"/>
      </w:pPr>
      <w:r>
        <w:rPr>
          <w:rFonts w:hint="cs"/>
          <w:rtl/>
        </w:rPr>
        <w:t xml:space="preserve">ولا يتعين إجراء أي تغيير على </w:t>
      </w:r>
      <w:r w:rsidR="001413DD">
        <w:rPr>
          <w:rtl/>
        </w:rPr>
        <w:t xml:space="preserve">الأجزاء 2 (التعاون الدولي) </w:t>
      </w:r>
      <w:r w:rsidR="00995463">
        <w:rPr>
          <w:rFonts w:hint="cs"/>
          <w:rtl/>
        </w:rPr>
        <w:t>و4</w:t>
      </w:r>
      <w:r w:rsidR="001413DD">
        <w:rPr>
          <w:rtl/>
        </w:rPr>
        <w:t xml:space="preserve"> (الحد الأدنى </w:t>
      </w:r>
      <w:r>
        <w:rPr>
          <w:rFonts w:hint="cs"/>
          <w:rtl/>
        </w:rPr>
        <w:t>ل</w:t>
      </w:r>
      <w:r w:rsidR="001413DD">
        <w:rPr>
          <w:rtl/>
        </w:rPr>
        <w:t xml:space="preserve">لوثائق </w:t>
      </w:r>
      <w:r>
        <w:rPr>
          <w:rFonts w:hint="cs"/>
          <w:rtl/>
        </w:rPr>
        <w:t>المنصوص عليها في</w:t>
      </w:r>
      <w:r w:rsidR="001413DD">
        <w:rPr>
          <w:rtl/>
        </w:rPr>
        <w:t xml:space="preserve"> معاهدة التعاون بشأن البراءات) </w:t>
      </w:r>
      <w:r w:rsidR="00995463">
        <w:rPr>
          <w:rFonts w:hint="cs"/>
          <w:rtl/>
        </w:rPr>
        <w:t>و5</w:t>
      </w:r>
      <w:r w:rsidR="001413DD">
        <w:rPr>
          <w:rtl/>
        </w:rPr>
        <w:t xml:space="preserve"> (التصنيفات الدولية) لأنها لا تتضمن بيانات </w:t>
      </w:r>
      <w:r>
        <w:rPr>
          <w:rFonts w:hint="cs"/>
          <w:rtl/>
        </w:rPr>
        <w:t>عن حق المؤلف</w:t>
      </w:r>
      <w:r w:rsidR="001413DD">
        <w:rPr>
          <w:rtl/>
        </w:rPr>
        <w:t xml:space="preserve"> أو لا </w:t>
      </w:r>
      <w:r w:rsidR="00045BC5">
        <w:rPr>
          <w:rFonts w:hint="cs"/>
          <w:rtl/>
        </w:rPr>
        <w:t>تذكر</w:t>
      </w:r>
      <w:r w:rsidR="001413DD">
        <w:rPr>
          <w:rtl/>
        </w:rPr>
        <w:t xml:space="preserve"> الملكية الصناعية على وجه التحديد.</w:t>
      </w:r>
    </w:p>
    <w:p w14:paraId="7904F434" w14:textId="71DE5E3D" w:rsidR="00C43F6C" w:rsidRDefault="00995463" w:rsidP="00823739">
      <w:pPr>
        <w:pStyle w:val="ONUMA"/>
        <w:rPr>
          <w:rtl/>
        </w:rPr>
      </w:pPr>
      <w:r>
        <w:rPr>
          <w:rFonts w:hint="cs"/>
          <w:rtl/>
        </w:rPr>
        <w:t>و</w:t>
      </w:r>
      <w:r w:rsidR="001413DD">
        <w:rPr>
          <w:rtl/>
        </w:rPr>
        <w:t xml:space="preserve">لا تهدف التغييرات المقترحة في المصطلحات إلى توسيع نطاق عمل </w:t>
      </w:r>
      <w:r>
        <w:rPr>
          <w:rFonts w:hint="cs"/>
          <w:rtl/>
        </w:rPr>
        <w:t>لجنة المعايير</w:t>
      </w:r>
      <w:r w:rsidR="001413DD">
        <w:rPr>
          <w:rtl/>
        </w:rPr>
        <w:t xml:space="preserve"> بأي شكل من الأشكال. </w:t>
      </w:r>
      <w:r>
        <w:rPr>
          <w:rFonts w:hint="cs"/>
          <w:rtl/>
        </w:rPr>
        <w:t>و</w:t>
      </w:r>
      <w:r w:rsidR="001413DD">
        <w:rPr>
          <w:rtl/>
        </w:rPr>
        <w:t>بدلاً من ذلك</w:t>
      </w:r>
      <w:r w:rsidR="003F64F8">
        <w:rPr>
          <w:rtl/>
        </w:rPr>
        <w:t>،</w:t>
      </w:r>
      <w:r w:rsidR="001413DD">
        <w:rPr>
          <w:rtl/>
        </w:rPr>
        <w:t xml:space="preserve"> فهي تعكس ببساطة المجالات التي تنشط فيها </w:t>
      </w:r>
      <w:r w:rsidRPr="00995463">
        <w:rPr>
          <w:rtl/>
        </w:rPr>
        <w:t xml:space="preserve">لجنة المعايير </w:t>
      </w:r>
      <w:r w:rsidR="001413DD">
        <w:rPr>
          <w:rtl/>
        </w:rPr>
        <w:t xml:space="preserve">بالفعل أو تستكشفها </w:t>
      </w:r>
      <w:r>
        <w:rPr>
          <w:rFonts w:hint="cs"/>
          <w:rtl/>
        </w:rPr>
        <w:t>لتعمل عليها</w:t>
      </w:r>
      <w:r w:rsidR="001413DD">
        <w:rPr>
          <w:rtl/>
        </w:rPr>
        <w:t xml:space="preserve"> في المستقبل.</w:t>
      </w:r>
    </w:p>
    <w:p w14:paraId="23E6A493" w14:textId="77777777" w:rsidR="004F57F4" w:rsidRPr="009D1FDC" w:rsidRDefault="004F57F4" w:rsidP="005508A8">
      <w:pPr>
        <w:pStyle w:val="ONUMA"/>
        <w:ind w:left="6025" w:hanging="540"/>
        <w:rPr>
          <w:i/>
          <w:iCs/>
        </w:rPr>
      </w:pPr>
      <w:r w:rsidRPr="009D1FDC">
        <w:rPr>
          <w:rFonts w:hint="cs"/>
          <w:i/>
          <w:iCs/>
          <w:rtl/>
        </w:rPr>
        <w:t>إن لجنة المعايير مدعوة إلى ما يلي:</w:t>
      </w:r>
    </w:p>
    <w:p w14:paraId="62446B20" w14:textId="6AF877E0" w:rsidR="005508A8" w:rsidRPr="009D1FDC" w:rsidRDefault="005508A8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9D1FDC">
        <w:rPr>
          <w:rFonts w:hint="cs"/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الإحاطة علما</w:t>
      </w:r>
      <w:r w:rsidRPr="009D1FDC">
        <w:rPr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ب</w:t>
      </w:r>
      <w:r w:rsidRPr="009D1FDC">
        <w:rPr>
          <w:i/>
          <w:iCs/>
          <w:rtl/>
        </w:rPr>
        <w:t xml:space="preserve">محتوى هذه الوثيقة؛ </w:t>
      </w:r>
    </w:p>
    <w:p w14:paraId="3457880B" w14:textId="0FA81CE7" w:rsidR="00D64FBC" w:rsidRPr="00D64FBC" w:rsidRDefault="00D64FBC" w:rsidP="00D64FBC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>
        <w:rPr>
          <w:rFonts w:hint="cs"/>
          <w:i/>
          <w:iCs/>
          <w:rtl/>
        </w:rPr>
        <w:t>و</w:t>
      </w:r>
      <w:r w:rsidRPr="00D64FBC">
        <w:rPr>
          <w:i/>
          <w:iCs/>
          <w:rtl/>
        </w:rPr>
        <w:t xml:space="preserve">الموافقة على تعديل المصطلحات الواردة في دليل الويبو </w:t>
      </w:r>
      <w:r>
        <w:rPr>
          <w:rFonts w:hint="cs"/>
          <w:i/>
          <w:iCs/>
          <w:rtl/>
        </w:rPr>
        <w:t>على النحو المبين</w:t>
      </w:r>
      <w:r w:rsidRPr="00D64FBC">
        <w:rPr>
          <w:i/>
          <w:iCs/>
          <w:rtl/>
        </w:rPr>
        <w:t xml:space="preserve"> في الفقرة 4 أعلاه؛ </w:t>
      </w:r>
    </w:p>
    <w:p w14:paraId="12C577DA" w14:textId="53D457B9" w:rsidR="00C43F6C" w:rsidRPr="009D1FDC" w:rsidRDefault="00D64FBC" w:rsidP="00D64FBC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  <w:rtl/>
        </w:rPr>
      </w:pPr>
      <w:r>
        <w:rPr>
          <w:rFonts w:hint="cs"/>
          <w:i/>
          <w:iCs/>
          <w:rtl/>
        </w:rPr>
        <w:t>و</w:t>
      </w:r>
      <w:r w:rsidRPr="00D64FBC">
        <w:rPr>
          <w:i/>
          <w:iCs/>
          <w:rtl/>
        </w:rPr>
        <w:t xml:space="preserve">مطالبة الأمانة بتحديث دليل الويبو وفقًا </w:t>
      </w:r>
      <w:r>
        <w:rPr>
          <w:rFonts w:hint="cs"/>
          <w:i/>
          <w:iCs/>
          <w:rtl/>
        </w:rPr>
        <w:t>لاتفاقات</w:t>
      </w:r>
      <w:r w:rsidRPr="00D64FBC">
        <w:rPr>
          <w:i/>
          <w:iCs/>
          <w:rtl/>
        </w:rPr>
        <w:t xml:space="preserve"> الدورة التاسعة.</w:t>
      </w:r>
    </w:p>
    <w:p w14:paraId="10438951" w14:textId="77777777"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14:paraId="09F7AA97" w14:textId="0B4DAF40" w:rsidR="00360601" w:rsidRPr="00425C84" w:rsidRDefault="00206593" w:rsidP="00360601">
      <w:pPr>
        <w:pStyle w:val="Endofdocument-Annex"/>
        <w:rPr>
          <w:lang w:eastAsia="en-US"/>
        </w:r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9D1FDC">
        <w:rPr>
          <w:rFonts w:hint="cs"/>
          <w:rtl/>
          <w:lang w:eastAsia="en-US"/>
        </w:rPr>
        <w:t>نهاية الوثيقة</w:t>
      </w:r>
      <w:r w:rsidR="007969D1" w:rsidRPr="007969D1">
        <w:rPr>
          <w:rtl/>
          <w:lang w:eastAsia="en-US"/>
        </w:rPr>
        <w:t>]</w:t>
      </w:r>
    </w:p>
    <w:p w14:paraId="057D7CA8" w14:textId="755031D6" w:rsidR="007969D1" w:rsidRPr="00425C84" w:rsidRDefault="007969D1" w:rsidP="00425C84">
      <w:pPr>
        <w:pStyle w:val="Endofdocument-Annex"/>
        <w:rPr>
          <w:rtl/>
          <w:lang w:eastAsia="en-US"/>
        </w:rPr>
      </w:pPr>
    </w:p>
    <w:sectPr w:rsidR="007969D1" w:rsidRPr="00425C84" w:rsidSect="00CC3E2D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18C01" w14:textId="77777777" w:rsidR="00505458" w:rsidRDefault="00505458">
      <w:r>
        <w:separator/>
      </w:r>
    </w:p>
  </w:endnote>
  <w:endnote w:type="continuationSeparator" w:id="0">
    <w:p w14:paraId="2FE26106" w14:textId="77777777" w:rsidR="00505458" w:rsidRDefault="00505458" w:rsidP="003B38C1">
      <w:r>
        <w:separator/>
      </w:r>
    </w:p>
    <w:p w14:paraId="1AB0E87E" w14:textId="77777777" w:rsidR="00505458" w:rsidRPr="003B38C1" w:rsidRDefault="005054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F590C2" w14:textId="77777777" w:rsidR="00505458" w:rsidRPr="003B38C1" w:rsidRDefault="005054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B9812" w14:textId="77777777" w:rsidR="00505458" w:rsidRDefault="00505458">
      <w:r>
        <w:separator/>
      </w:r>
    </w:p>
  </w:footnote>
  <w:footnote w:type="continuationSeparator" w:id="0">
    <w:p w14:paraId="7280F7B4" w14:textId="77777777" w:rsidR="00505458" w:rsidRDefault="00505458" w:rsidP="008B60B2">
      <w:r>
        <w:separator/>
      </w:r>
    </w:p>
    <w:p w14:paraId="58ABAE4C" w14:textId="77777777" w:rsidR="00505458" w:rsidRPr="00ED77FB" w:rsidRDefault="005054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49B146" w14:textId="77777777" w:rsidR="00505458" w:rsidRPr="00ED77FB" w:rsidRDefault="005054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F4A7" w14:textId="34976342" w:rsidR="00155952" w:rsidRPr="00AE13CB" w:rsidRDefault="00155952" w:rsidP="00155952">
    <w:pPr>
      <w:bidi w:val="0"/>
      <w:rPr>
        <w:rFonts w:cs="Arial"/>
        <w:caps/>
        <w:szCs w:val="20"/>
        <w:lang w:val="fr-MA"/>
      </w:rPr>
    </w:pPr>
    <w:r w:rsidRPr="00360601">
      <w:rPr>
        <w:rFonts w:cs="Arial"/>
        <w:caps/>
        <w:szCs w:val="20"/>
      </w:rPr>
      <w:t>CWS/9/</w:t>
    </w:r>
    <w:r w:rsidR="00AE13CB">
      <w:rPr>
        <w:rFonts w:cs="Arial"/>
        <w:caps/>
        <w:szCs w:val="20"/>
      </w:rPr>
      <w:t>19</w:t>
    </w:r>
  </w:p>
  <w:p w14:paraId="18D88363" w14:textId="039F8704" w:rsidR="00155952" w:rsidRPr="00360601" w:rsidRDefault="00155952" w:rsidP="00155952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553BD7">
      <w:rPr>
        <w:rFonts w:cs="Arial"/>
        <w:noProof/>
        <w:szCs w:val="20"/>
      </w:rPr>
      <w:t>2</w:t>
    </w:r>
    <w:r w:rsidRPr="00360601">
      <w:rPr>
        <w:rFonts w:cs="Arial"/>
        <w:szCs w:val="20"/>
      </w:rPr>
      <w:fldChar w:fldCharType="end"/>
    </w:r>
  </w:p>
  <w:p w14:paraId="114FCE8B" w14:textId="453522D7" w:rsidR="00155952" w:rsidRDefault="00155952" w:rsidP="00155952">
    <w:pPr>
      <w:pStyle w:val="Header"/>
      <w:jc w:val="right"/>
      <w:rPr>
        <w:rtl/>
      </w:rPr>
    </w:pPr>
  </w:p>
  <w:p w14:paraId="22865C96" w14:textId="77777777" w:rsidR="00155952" w:rsidRDefault="00155952" w:rsidP="001559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8D14" w14:textId="77777777" w:rsidR="00E804AB" w:rsidRDefault="00E804AB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64410"/>
    <w:multiLevelType w:val="hybridMultilevel"/>
    <w:tmpl w:val="7520E4A0"/>
    <w:lvl w:ilvl="0" w:tplc="8580E61E">
      <w:start w:val="1"/>
      <w:numFmt w:val="arabicAbjad"/>
      <w:lvlText w:val="(%1)"/>
      <w:lvlJc w:val="left"/>
      <w:pPr>
        <w:ind w:left="752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C405D4"/>
    <w:multiLevelType w:val="multilevel"/>
    <w:tmpl w:val="8F10F150"/>
    <w:lvl w:ilvl="0">
      <w:start w:val="1"/>
      <w:numFmt w:val="bullet"/>
      <w:lvlText w:val="−"/>
      <w:lvlJc w:val="left"/>
      <w:pPr>
        <w:ind w:left="0" w:firstLine="0"/>
      </w:pPr>
      <w:rPr>
        <w:rFonts w:ascii="Times New Roman" w:eastAsia="DejaVu Sans" w:hAnsi="Times New Roman" w:cs="Times New Roman" w:hint="default"/>
        <w:b w:val="0"/>
        <w:bCs w:val="0"/>
        <w:i w:val="0"/>
        <w:iCs w:val="0"/>
        <w:color w:val="auto"/>
        <w:sz w:val="22"/>
        <w:szCs w:val="22"/>
        <w:lang w:val="en-US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14"/>
  </w:num>
  <w:num w:numId="11">
    <w:abstractNumId w:val="18"/>
  </w:num>
  <w:num w:numId="12">
    <w:abstractNumId w:val="15"/>
  </w:num>
  <w:num w:numId="13">
    <w:abstractNumId w:val="20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  <w:num w:numId="20">
    <w:abstractNumId w:val="21"/>
  </w:num>
  <w:num w:numId="21">
    <w:abstractNumId w:val="7"/>
  </w:num>
  <w:num w:numId="22">
    <w:abstractNumId w:val="22"/>
  </w:num>
  <w:num w:numId="23">
    <w:abstractNumId w:val="13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23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300E6"/>
    <w:rsid w:val="00035A24"/>
    <w:rsid w:val="00043CAA"/>
    <w:rsid w:val="00045BC5"/>
    <w:rsid w:val="00056816"/>
    <w:rsid w:val="00065834"/>
    <w:rsid w:val="00070761"/>
    <w:rsid w:val="00071F21"/>
    <w:rsid w:val="00075432"/>
    <w:rsid w:val="000910E5"/>
    <w:rsid w:val="000968ED"/>
    <w:rsid w:val="000A3D97"/>
    <w:rsid w:val="000B2A4E"/>
    <w:rsid w:val="000B5B36"/>
    <w:rsid w:val="000C3B24"/>
    <w:rsid w:val="000D3DAB"/>
    <w:rsid w:val="000E31F5"/>
    <w:rsid w:val="000E52DA"/>
    <w:rsid w:val="000F5E56"/>
    <w:rsid w:val="001362EE"/>
    <w:rsid w:val="001406E1"/>
    <w:rsid w:val="00140F22"/>
    <w:rsid w:val="001413DD"/>
    <w:rsid w:val="00155952"/>
    <w:rsid w:val="00155D8A"/>
    <w:rsid w:val="001647D5"/>
    <w:rsid w:val="00167832"/>
    <w:rsid w:val="00171BE2"/>
    <w:rsid w:val="001832A6"/>
    <w:rsid w:val="0019592A"/>
    <w:rsid w:val="001B4A46"/>
    <w:rsid w:val="001D4107"/>
    <w:rsid w:val="00203D24"/>
    <w:rsid w:val="00206593"/>
    <w:rsid w:val="00210D5F"/>
    <w:rsid w:val="0021123C"/>
    <w:rsid w:val="0021217E"/>
    <w:rsid w:val="002326AB"/>
    <w:rsid w:val="00243430"/>
    <w:rsid w:val="00250149"/>
    <w:rsid w:val="00262607"/>
    <w:rsid w:val="002634C4"/>
    <w:rsid w:val="00265354"/>
    <w:rsid w:val="002928D3"/>
    <w:rsid w:val="00297107"/>
    <w:rsid w:val="002A7B3A"/>
    <w:rsid w:val="002C76A8"/>
    <w:rsid w:val="002D4484"/>
    <w:rsid w:val="002F1FE6"/>
    <w:rsid w:val="002F4E68"/>
    <w:rsid w:val="00303282"/>
    <w:rsid w:val="00304850"/>
    <w:rsid w:val="00311080"/>
    <w:rsid w:val="00312F7F"/>
    <w:rsid w:val="00321316"/>
    <w:rsid w:val="00321EB3"/>
    <w:rsid w:val="003266F9"/>
    <w:rsid w:val="00327E12"/>
    <w:rsid w:val="00333351"/>
    <w:rsid w:val="00345169"/>
    <w:rsid w:val="003452A8"/>
    <w:rsid w:val="00360601"/>
    <w:rsid w:val="00361450"/>
    <w:rsid w:val="003673CF"/>
    <w:rsid w:val="00375B47"/>
    <w:rsid w:val="003845C1"/>
    <w:rsid w:val="00390119"/>
    <w:rsid w:val="003A219A"/>
    <w:rsid w:val="003A6F89"/>
    <w:rsid w:val="003B355C"/>
    <w:rsid w:val="003B3581"/>
    <w:rsid w:val="003B38C1"/>
    <w:rsid w:val="003C34E9"/>
    <w:rsid w:val="003F20F4"/>
    <w:rsid w:val="003F64F8"/>
    <w:rsid w:val="00423E3E"/>
    <w:rsid w:val="00425C84"/>
    <w:rsid w:val="00427AF4"/>
    <w:rsid w:val="00435E3E"/>
    <w:rsid w:val="00436F2D"/>
    <w:rsid w:val="004434C3"/>
    <w:rsid w:val="00444A53"/>
    <w:rsid w:val="0045246E"/>
    <w:rsid w:val="00452F85"/>
    <w:rsid w:val="00461B51"/>
    <w:rsid w:val="004647DA"/>
    <w:rsid w:val="00464C0E"/>
    <w:rsid w:val="00474062"/>
    <w:rsid w:val="00477D6B"/>
    <w:rsid w:val="0048522D"/>
    <w:rsid w:val="004D29A8"/>
    <w:rsid w:val="004E7145"/>
    <w:rsid w:val="004F57F4"/>
    <w:rsid w:val="005019FF"/>
    <w:rsid w:val="0050470A"/>
    <w:rsid w:val="00505458"/>
    <w:rsid w:val="0053057A"/>
    <w:rsid w:val="0053711D"/>
    <w:rsid w:val="005508A8"/>
    <w:rsid w:val="00553BD7"/>
    <w:rsid w:val="00556076"/>
    <w:rsid w:val="00560A29"/>
    <w:rsid w:val="00565DBE"/>
    <w:rsid w:val="005740C5"/>
    <w:rsid w:val="0059409E"/>
    <w:rsid w:val="005A2C07"/>
    <w:rsid w:val="005B2C79"/>
    <w:rsid w:val="005B453D"/>
    <w:rsid w:val="005B63FC"/>
    <w:rsid w:val="005C6649"/>
    <w:rsid w:val="005E36BB"/>
    <w:rsid w:val="005E723C"/>
    <w:rsid w:val="005E7B89"/>
    <w:rsid w:val="005F0828"/>
    <w:rsid w:val="00600D30"/>
    <w:rsid w:val="00605827"/>
    <w:rsid w:val="006216FA"/>
    <w:rsid w:val="00646050"/>
    <w:rsid w:val="00650C02"/>
    <w:rsid w:val="006713CA"/>
    <w:rsid w:val="00672C45"/>
    <w:rsid w:val="00676C5C"/>
    <w:rsid w:val="006B5C12"/>
    <w:rsid w:val="006D03D2"/>
    <w:rsid w:val="006D27D2"/>
    <w:rsid w:val="006D4F94"/>
    <w:rsid w:val="006D7AAB"/>
    <w:rsid w:val="006D7C7A"/>
    <w:rsid w:val="006F641A"/>
    <w:rsid w:val="006F7063"/>
    <w:rsid w:val="00707BB4"/>
    <w:rsid w:val="00710A03"/>
    <w:rsid w:val="007161B4"/>
    <w:rsid w:val="00720EFD"/>
    <w:rsid w:val="00731F15"/>
    <w:rsid w:val="00732E92"/>
    <w:rsid w:val="00750C1A"/>
    <w:rsid w:val="007854AF"/>
    <w:rsid w:val="0079149A"/>
    <w:rsid w:val="00793A7C"/>
    <w:rsid w:val="007969D1"/>
    <w:rsid w:val="007A2821"/>
    <w:rsid w:val="007A398A"/>
    <w:rsid w:val="007C2853"/>
    <w:rsid w:val="007C4902"/>
    <w:rsid w:val="007D1613"/>
    <w:rsid w:val="007E4889"/>
    <w:rsid w:val="007E4C0E"/>
    <w:rsid w:val="007F2C24"/>
    <w:rsid w:val="00823739"/>
    <w:rsid w:val="008243C0"/>
    <w:rsid w:val="00825DE5"/>
    <w:rsid w:val="008A134B"/>
    <w:rsid w:val="008A7C37"/>
    <w:rsid w:val="008B2CC1"/>
    <w:rsid w:val="008B60B2"/>
    <w:rsid w:val="0090731E"/>
    <w:rsid w:val="00916EE2"/>
    <w:rsid w:val="0093527D"/>
    <w:rsid w:val="00941258"/>
    <w:rsid w:val="0094554E"/>
    <w:rsid w:val="00947238"/>
    <w:rsid w:val="00966A22"/>
    <w:rsid w:val="0096722F"/>
    <w:rsid w:val="00980843"/>
    <w:rsid w:val="0099406E"/>
    <w:rsid w:val="00995463"/>
    <w:rsid w:val="009B0855"/>
    <w:rsid w:val="009B48A1"/>
    <w:rsid w:val="009D1FDC"/>
    <w:rsid w:val="009D2E78"/>
    <w:rsid w:val="009D3072"/>
    <w:rsid w:val="009D3A30"/>
    <w:rsid w:val="009E1721"/>
    <w:rsid w:val="009E2791"/>
    <w:rsid w:val="009E3BA7"/>
    <w:rsid w:val="009E3F6F"/>
    <w:rsid w:val="009F499F"/>
    <w:rsid w:val="00A33241"/>
    <w:rsid w:val="00A37342"/>
    <w:rsid w:val="00A41FCF"/>
    <w:rsid w:val="00A42DAF"/>
    <w:rsid w:val="00A45BD8"/>
    <w:rsid w:val="00A65D57"/>
    <w:rsid w:val="00A869B7"/>
    <w:rsid w:val="00A90F0A"/>
    <w:rsid w:val="00AA79E7"/>
    <w:rsid w:val="00AC205C"/>
    <w:rsid w:val="00AD30FC"/>
    <w:rsid w:val="00AD35A3"/>
    <w:rsid w:val="00AE13CB"/>
    <w:rsid w:val="00AF0A6B"/>
    <w:rsid w:val="00AF4F00"/>
    <w:rsid w:val="00B05A69"/>
    <w:rsid w:val="00B06CFB"/>
    <w:rsid w:val="00B331D8"/>
    <w:rsid w:val="00B42CA9"/>
    <w:rsid w:val="00B51FF7"/>
    <w:rsid w:val="00B5767A"/>
    <w:rsid w:val="00B7515E"/>
    <w:rsid w:val="00B75281"/>
    <w:rsid w:val="00B754E1"/>
    <w:rsid w:val="00B76CEB"/>
    <w:rsid w:val="00B92F1F"/>
    <w:rsid w:val="00B9734B"/>
    <w:rsid w:val="00BA2064"/>
    <w:rsid w:val="00BA30E2"/>
    <w:rsid w:val="00BB571E"/>
    <w:rsid w:val="00BB781F"/>
    <w:rsid w:val="00BC6536"/>
    <w:rsid w:val="00BC7951"/>
    <w:rsid w:val="00C02F04"/>
    <w:rsid w:val="00C05BAB"/>
    <w:rsid w:val="00C07D74"/>
    <w:rsid w:val="00C11BFE"/>
    <w:rsid w:val="00C32E43"/>
    <w:rsid w:val="00C3436A"/>
    <w:rsid w:val="00C43F6C"/>
    <w:rsid w:val="00C5068F"/>
    <w:rsid w:val="00C73194"/>
    <w:rsid w:val="00C74BB4"/>
    <w:rsid w:val="00C86D74"/>
    <w:rsid w:val="00C91553"/>
    <w:rsid w:val="00C925E7"/>
    <w:rsid w:val="00CB3DBA"/>
    <w:rsid w:val="00CB6E6F"/>
    <w:rsid w:val="00CC2CDF"/>
    <w:rsid w:val="00CC3E2D"/>
    <w:rsid w:val="00CD04F1"/>
    <w:rsid w:val="00CD1944"/>
    <w:rsid w:val="00CE19F8"/>
    <w:rsid w:val="00CF681A"/>
    <w:rsid w:val="00D02F84"/>
    <w:rsid w:val="00D07C78"/>
    <w:rsid w:val="00D125D8"/>
    <w:rsid w:val="00D35456"/>
    <w:rsid w:val="00D45252"/>
    <w:rsid w:val="00D474E6"/>
    <w:rsid w:val="00D50A16"/>
    <w:rsid w:val="00D512F3"/>
    <w:rsid w:val="00D60B2C"/>
    <w:rsid w:val="00D62282"/>
    <w:rsid w:val="00D64FBC"/>
    <w:rsid w:val="00D67EAE"/>
    <w:rsid w:val="00D71B4D"/>
    <w:rsid w:val="00D7681B"/>
    <w:rsid w:val="00D90B96"/>
    <w:rsid w:val="00D93D55"/>
    <w:rsid w:val="00DB3391"/>
    <w:rsid w:val="00DC0F46"/>
    <w:rsid w:val="00DC17E3"/>
    <w:rsid w:val="00DD65C8"/>
    <w:rsid w:val="00DD7B7F"/>
    <w:rsid w:val="00E13090"/>
    <w:rsid w:val="00E15015"/>
    <w:rsid w:val="00E16C61"/>
    <w:rsid w:val="00E17738"/>
    <w:rsid w:val="00E225C3"/>
    <w:rsid w:val="00E319DF"/>
    <w:rsid w:val="00E335FE"/>
    <w:rsid w:val="00E34683"/>
    <w:rsid w:val="00E655A0"/>
    <w:rsid w:val="00E66CC5"/>
    <w:rsid w:val="00E804AB"/>
    <w:rsid w:val="00EA2B00"/>
    <w:rsid w:val="00EA4792"/>
    <w:rsid w:val="00EA7D6E"/>
    <w:rsid w:val="00EB2F76"/>
    <w:rsid w:val="00EC4E49"/>
    <w:rsid w:val="00ED6EB7"/>
    <w:rsid w:val="00ED77FB"/>
    <w:rsid w:val="00EE307E"/>
    <w:rsid w:val="00EE45FA"/>
    <w:rsid w:val="00EF1011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B108C"/>
    <w:rsid w:val="00FC482F"/>
    <w:rsid w:val="00FD0B86"/>
    <w:rsid w:val="00FE132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73BC5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9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589D-D901-4652-A4A3-1FC1CDA8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CWS/9/1 PROV. (Arabic)</vt:lpstr>
      <vt:lpstr>CWS/9/1 PROV. (Arabic)</vt:lpstr>
    </vt:vector>
  </TitlesOfParts>
  <Company>WIPO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CWS/9/19</dc:title>
  <dc:creator>WIPO</dc:creator>
  <cp:keywords>FOR OFFICIAL USE ONLY</cp:keywords>
  <cp:lastModifiedBy>CHAVAS Louison</cp:lastModifiedBy>
  <cp:revision>2</cp:revision>
  <cp:lastPrinted>2021-10-08T11:44:00Z</cp:lastPrinted>
  <dcterms:created xsi:type="dcterms:W3CDTF">2021-10-13T12:34:00Z</dcterms:created>
  <dcterms:modified xsi:type="dcterms:W3CDTF">2021-10-13T12:34:00Z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