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C26939">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3A7623" w:rsidP="00321EDD">
      <w:pPr>
        <w:pBdr>
          <w:top w:val="single" w:sz="4" w:space="10" w:color="auto"/>
        </w:pBdr>
        <w:bidi w:val="0"/>
        <w:rPr>
          <w:rFonts w:ascii="Arial Black" w:eastAsia="SimSun" w:hAnsi="Arial Black" w:cs="Arial"/>
          <w:b/>
          <w:caps/>
          <w:noProof/>
          <w:sz w:val="16"/>
          <w:szCs w:val="16"/>
          <w:rtl/>
          <w:lang w:eastAsia="zh-CN" w:bidi="ar-LB"/>
        </w:rPr>
      </w:pPr>
      <w:bookmarkStart w:id="2" w:name="Code"/>
      <w:bookmarkStart w:id="3" w:name="Code2"/>
      <w:bookmarkEnd w:id="2"/>
      <w:r>
        <w:rPr>
          <w:rFonts w:ascii="Arial Black" w:eastAsia="SimSun" w:hAnsi="Arial Black" w:cs="Arial"/>
          <w:b/>
          <w:caps/>
          <w:noProof/>
          <w:sz w:val="16"/>
          <w:szCs w:val="16"/>
          <w:lang w:eastAsia="zh-CN"/>
        </w:rPr>
        <w:t>CWS</w:t>
      </w:r>
      <w:r w:rsidR="00EA2663" w:rsidRPr="00EA2663">
        <w:rPr>
          <w:rFonts w:ascii="Arial Black" w:eastAsia="SimSun" w:hAnsi="Arial Black" w:cs="Arial"/>
          <w:b/>
          <w:caps/>
          <w:noProof/>
          <w:sz w:val="16"/>
          <w:szCs w:val="16"/>
          <w:lang w:eastAsia="zh-CN"/>
        </w:rPr>
        <w:t>/</w:t>
      </w:r>
      <w:r>
        <w:rPr>
          <w:rFonts w:ascii="Arial Black" w:eastAsia="SimSun" w:hAnsi="Arial Black" w:cs="Arial"/>
          <w:b/>
          <w:caps/>
          <w:noProof/>
          <w:sz w:val="16"/>
          <w:szCs w:val="16"/>
          <w:lang w:eastAsia="zh-CN"/>
        </w:rPr>
        <w:t>8</w:t>
      </w:r>
      <w:r w:rsidR="006230C8">
        <w:rPr>
          <w:rFonts w:ascii="Arial Black" w:eastAsia="SimSun" w:hAnsi="Arial Black" w:cs="Arial"/>
          <w:b/>
          <w:caps/>
          <w:noProof/>
          <w:sz w:val="16"/>
          <w:szCs w:val="16"/>
          <w:lang w:eastAsia="zh-CN"/>
        </w:rPr>
        <w:t>/</w:t>
      </w:r>
      <w:r w:rsidR="00321EDD">
        <w:rPr>
          <w:rFonts w:ascii="Arial Black" w:eastAsia="SimSun" w:hAnsi="Arial Black" w:cs="Arial"/>
          <w:b/>
          <w:caps/>
          <w:noProof/>
          <w:sz w:val="16"/>
          <w:szCs w:val="16"/>
          <w:lang w:eastAsia="zh-CN"/>
        </w:rPr>
        <w:t>10</w:t>
      </w:r>
    </w:p>
    <w:bookmarkEnd w:id="3"/>
    <w:p w:rsidR="003F7284" w:rsidRPr="00BB6440" w:rsidRDefault="003F7284" w:rsidP="005D79F6">
      <w:pPr>
        <w:jc w:val="right"/>
        <w:rPr>
          <w:b/>
          <w:bCs/>
          <w:sz w:val="30"/>
          <w:szCs w:val="30"/>
          <w:rtl/>
        </w:rPr>
      </w:pPr>
      <w:r w:rsidRPr="00BB6440">
        <w:rPr>
          <w:b/>
          <w:bCs/>
          <w:sz w:val="30"/>
          <w:szCs w:val="30"/>
          <w:rtl/>
        </w:rPr>
        <w:t xml:space="preserve">الأصل: </w:t>
      </w:r>
      <w:bookmarkStart w:id="4" w:name="Original"/>
      <w:bookmarkEnd w:id="4"/>
      <w:r w:rsidR="003A7623">
        <w:rPr>
          <w:rFonts w:hint="cs"/>
          <w:b/>
          <w:bCs/>
          <w:sz w:val="30"/>
          <w:szCs w:val="30"/>
          <w:rtl/>
        </w:rPr>
        <w:t>بالإنكليزية</w:t>
      </w:r>
    </w:p>
    <w:p w:rsidR="003F7284" w:rsidRPr="00BB6440" w:rsidRDefault="003F7284" w:rsidP="00321EDD">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bookmarkStart w:id="5" w:name="Date"/>
      <w:bookmarkEnd w:id="5"/>
      <w:r w:rsidR="00321EDD">
        <w:rPr>
          <w:rFonts w:hint="cs"/>
          <w:b/>
          <w:bCs/>
          <w:sz w:val="30"/>
          <w:szCs w:val="30"/>
          <w:rtl/>
          <w:lang w:bidi="ar-LB"/>
        </w:rPr>
        <w:t>30</w:t>
      </w:r>
      <w:r w:rsidR="003A7623">
        <w:rPr>
          <w:rFonts w:hint="cs"/>
          <w:b/>
          <w:bCs/>
          <w:sz w:val="30"/>
          <w:szCs w:val="30"/>
          <w:rtl/>
        </w:rPr>
        <w:t xml:space="preserve"> أكتوبر 2020</w:t>
      </w:r>
    </w:p>
    <w:p w:rsidR="002E7810" w:rsidRPr="00FD6D15" w:rsidRDefault="00EA2663" w:rsidP="00595AE3">
      <w:pPr>
        <w:pStyle w:val="Heading1"/>
        <w:spacing w:after="600" w:line="240" w:lineRule="auto"/>
        <w:rPr>
          <w:rtl/>
          <w:lang w:bidi="ar-LB"/>
        </w:rPr>
      </w:pPr>
      <w:bookmarkStart w:id="6" w:name="Body"/>
      <w:bookmarkEnd w:id="6"/>
      <w:r w:rsidRPr="00EA2663">
        <w:rPr>
          <w:rtl/>
        </w:rPr>
        <w:t xml:space="preserve">اللجنة </w:t>
      </w:r>
      <w:r w:rsidR="003A7623">
        <w:rPr>
          <w:rFonts w:hint="cs"/>
          <w:rtl/>
          <w:lang w:bidi="ar-LB"/>
        </w:rPr>
        <w:t>المعنية بمعايير الويبو</w:t>
      </w:r>
    </w:p>
    <w:p w:rsidR="002E7810" w:rsidRPr="002E7810" w:rsidRDefault="00EA2663" w:rsidP="003A7623">
      <w:pPr>
        <w:rPr>
          <w:rFonts w:ascii="Arial Black" w:hAnsi="Arial Black" w:cs="PT Bold Heading"/>
          <w:sz w:val="30"/>
          <w:szCs w:val="30"/>
          <w:rtl/>
        </w:rPr>
      </w:pPr>
      <w:bookmarkStart w:id="7" w:name="Session"/>
      <w:bookmarkEnd w:id="7"/>
      <w:r w:rsidRPr="00EA2663">
        <w:rPr>
          <w:rFonts w:ascii="Arial Black" w:hAnsi="Arial Black" w:cs="PT Bold Heading"/>
          <w:sz w:val="30"/>
          <w:szCs w:val="30"/>
          <w:rtl/>
        </w:rPr>
        <w:t xml:space="preserve">الدورة </w:t>
      </w:r>
      <w:r w:rsidR="003A7623">
        <w:rPr>
          <w:rFonts w:ascii="Arial Black" w:hAnsi="Arial Black" w:cs="PT Bold Heading" w:hint="cs"/>
          <w:sz w:val="30"/>
          <w:szCs w:val="30"/>
          <w:rtl/>
        </w:rPr>
        <w:t>الثامنة</w:t>
      </w:r>
    </w:p>
    <w:p w:rsidR="002E7810" w:rsidRPr="00090301" w:rsidRDefault="00EA2663" w:rsidP="00090301">
      <w:pPr>
        <w:spacing w:line="600" w:lineRule="auto"/>
        <w:rPr>
          <w:b/>
          <w:bCs/>
          <w:rtl/>
        </w:rPr>
      </w:pPr>
      <w:bookmarkStart w:id="8" w:name="Place"/>
      <w:bookmarkEnd w:id="8"/>
      <w:r w:rsidRPr="00EA2663">
        <w:rPr>
          <w:b/>
          <w:bCs/>
          <w:rtl/>
        </w:rPr>
        <w:t xml:space="preserve">جنيف، من </w:t>
      </w:r>
      <w:r w:rsidR="003A7623">
        <w:rPr>
          <w:rFonts w:hint="cs"/>
          <w:b/>
          <w:bCs/>
          <w:rtl/>
        </w:rPr>
        <w:t>30 نوفمبر</w:t>
      </w:r>
      <w:r w:rsidRPr="00EA2663">
        <w:rPr>
          <w:b/>
          <w:bCs/>
          <w:rtl/>
        </w:rPr>
        <w:t xml:space="preserve"> إلى </w:t>
      </w:r>
      <w:r w:rsidR="003A7623">
        <w:rPr>
          <w:rFonts w:hint="cs"/>
          <w:b/>
          <w:bCs/>
          <w:rtl/>
        </w:rPr>
        <w:t>4</w:t>
      </w:r>
      <w:r w:rsidRPr="00EA2663">
        <w:rPr>
          <w:b/>
          <w:bCs/>
          <w:rtl/>
        </w:rPr>
        <w:t xml:space="preserve"> </w:t>
      </w:r>
      <w:r w:rsidR="003A7623">
        <w:rPr>
          <w:rFonts w:hint="cs"/>
          <w:b/>
          <w:bCs/>
          <w:rtl/>
        </w:rPr>
        <w:t>ديسمبر</w:t>
      </w:r>
      <w:r w:rsidRPr="00EA2663">
        <w:rPr>
          <w:b/>
          <w:bCs/>
          <w:rtl/>
        </w:rPr>
        <w:t xml:space="preserve"> </w:t>
      </w:r>
      <w:r w:rsidR="00737220">
        <w:rPr>
          <w:rFonts w:hint="cs"/>
          <w:b/>
          <w:bCs/>
          <w:rtl/>
        </w:rPr>
        <w:t>2020</w:t>
      </w:r>
      <w:bookmarkStart w:id="9" w:name="TitleOfDoc"/>
      <w:bookmarkEnd w:id="9"/>
    </w:p>
    <w:p w:rsidR="003A7623" w:rsidRPr="00090301" w:rsidRDefault="00321EDD" w:rsidP="00090301">
      <w:pPr>
        <w:rPr>
          <w:rFonts w:ascii="Arial Black" w:hAnsi="Arial Black" w:cs="PT Bold Heading"/>
          <w:sz w:val="26"/>
          <w:szCs w:val="26"/>
          <w:rtl/>
        </w:rPr>
      </w:pPr>
      <w:bookmarkStart w:id="10" w:name="Doc"/>
      <w:bookmarkEnd w:id="10"/>
      <w:r w:rsidRPr="00090301">
        <w:rPr>
          <w:rFonts w:ascii="Arial Black" w:hAnsi="Arial Black" w:cs="PT Bold Heading" w:hint="cs"/>
          <w:sz w:val="26"/>
          <w:szCs w:val="26"/>
          <w:rtl/>
        </w:rPr>
        <w:t>نشر نتائج الدراسة الاستقصائية بشأن نفاذ الجمهور إلى معلومات البراءات، الجزء 1</w:t>
      </w:r>
    </w:p>
    <w:p w:rsidR="00E3612C" w:rsidRPr="00090301" w:rsidRDefault="003A7623" w:rsidP="00090301">
      <w:pPr>
        <w:spacing w:before="200" w:after="960"/>
        <w:rPr>
          <w:i/>
          <w:iCs/>
          <w:rtl/>
        </w:rPr>
      </w:pPr>
      <w:r>
        <w:rPr>
          <w:rFonts w:hint="cs"/>
          <w:i/>
          <w:iCs/>
          <w:rtl/>
        </w:rPr>
        <w:t xml:space="preserve">وثيقة </w:t>
      </w:r>
      <w:r w:rsidR="003F7284" w:rsidRPr="00BB6440">
        <w:rPr>
          <w:i/>
          <w:iCs/>
          <w:rtl/>
        </w:rPr>
        <w:t>من إعداد</w:t>
      </w:r>
      <w:r>
        <w:rPr>
          <w:rFonts w:hint="cs"/>
          <w:i/>
          <w:iCs/>
          <w:rtl/>
        </w:rPr>
        <w:t xml:space="preserve"> </w:t>
      </w:r>
      <w:r w:rsidR="00321EDD">
        <w:rPr>
          <w:rFonts w:hint="cs"/>
          <w:i/>
          <w:iCs/>
          <w:rtl/>
        </w:rPr>
        <w:t>المكتب الدولي</w:t>
      </w:r>
    </w:p>
    <w:p w:rsidR="00C41AE0" w:rsidRDefault="00BB4808" w:rsidP="00090301">
      <w:pPr>
        <w:pStyle w:val="Heading3"/>
        <w:rPr>
          <w:rtl/>
          <w:lang w:bidi="ar-LB"/>
        </w:rPr>
      </w:pPr>
      <w:r>
        <w:rPr>
          <w:rFonts w:hint="cs"/>
          <w:rtl/>
          <w:lang w:bidi="ar-LB"/>
        </w:rPr>
        <w:t>معلومات أساسية</w:t>
      </w:r>
    </w:p>
    <w:p w:rsidR="00A70D50" w:rsidRDefault="0074166F" w:rsidP="00090301">
      <w:pPr>
        <w:pStyle w:val="ONUMA"/>
        <w:rPr>
          <w:lang w:bidi="ar-LB"/>
        </w:rPr>
      </w:pPr>
      <w:r>
        <w:rPr>
          <w:rFonts w:hint="cs"/>
          <w:rtl/>
          <w:lang w:bidi="ar-LB"/>
        </w:rPr>
        <w:t xml:space="preserve">نظرت اللجنة المعنية بمعايير الويبو (لجنة المعايير)، في دورتها السابعة المنعقدة في عام 2019، في الدراسة الاستقصائية بشأن نفاذ الجمهور إلى معلومات البراءات التي قدمتها فرقة العمل المعنية </w:t>
      </w:r>
      <w:r w:rsidR="00D06078">
        <w:rPr>
          <w:rFonts w:hint="cs"/>
          <w:rtl/>
          <w:lang w:bidi="ar-LB"/>
        </w:rPr>
        <w:t>بنفاذ الجمهور إلى معلومات البراءات. ويجمع الاستبيان معلومات من م</w:t>
      </w:r>
      <w:r w:rsidR="009E6A1A">
        <w:rPr>
          <w:rFonts w:hint="cs"/>
          <w:rtl/>
          <w:lang w:bidi="ar-LB"/>
        </w:rPr>
        <w:t xml:space="preserve">كاتب الملكية الصناعية عن محتواها، وممارساتها، ووظائفها، وخططها </w:t>
      </w:r>
      <w:r w:rsidR="00D06078">
        <w:rPr>
          <w:rFonts w:hint="cs"/>
          <w:rtl/>
          <w:lang w:bidi="ar-LB"/>
        </w:rPr>
        <w:t xml:space="preserve">المستقبلية فيما يتعلق بمعلومات البراءات المتاحة للجمهور. </w:t>
      </w:r>
      <w:r w:rsidR="00837F29">
        <w:rPr>
          <w:rFonts w:hint="cs"/>
          <w:rtl/>
          <w:lang w:bidi="ar-LB"/>
        </w:rPr>
        <w:t xml:space="preserve">ونظمت فرقة العمل الدراسة الاستقصائية في جزأين من أجل زيادة معدلات الردود: ويحتوي الجزء الأول على استبيان موجز لجمع المعلومات الأساسية، في حين يحتوي الجزء الثاني على استبيان أكثر تفصيلاً. </w:t>
      </w:r>
      <w:r w:rsidR="00945496">
        <w:rPr>
          <w:rFonts w:hint="cs"/>
          <w:rtl/>
          <w:lang w:bidi="ar-LB"/>
        </w:rPr>
        <w:t xml:space="preserve">ووافقت لجنة المعايير على استبيان الجزء الأول، لكنها لم تتوصل إلى اتفاق بشأن استبيان الجزء الثاني الذي </w:t>
      </w:r>
      <w:r w:rsidR="009E6A1A">
        <w:rPr>
          <w:rFonts w:hint="cs"/>
          <w:rtl/>
          <w:lang w:bidi="ar-LB"/>
        </w:rPr>
        <w:t>أعيد</w:t>
      </w:r>
      <w:r w:rsidR="00945496">
        <w:rPr>
          <w:rFonts w:hint="cs"/>
          <w:rtl/>
          <w:lang w:bidi="ar-LB"/>
        </w:rPr>
        <w:t xml:space="preserve"> إلى فرقة العمل </w:t>
      </w:r>
      <w:r w:rsidR="00466D65">
        <w:rPr>
          <w:rFonts w:hint="cs"/>
          <w:rtl/>
          <w:lang w:bidi="ar-LB"/>
        </w:rPr>
        <w:t>لتنظر</w:t>
      </w:r>
      <w:r w:rsidR="00945496">
        <w:rPr>
          <w:rFonts w:hint="cs"/>
          <w:rtl/>
          <w:lang w:bidi="ar-LB"/>
        </w:rPr>
        <w:t xml:space="preserve"> فيه بشكل معمّق. </w:t>
      </w:r>
      <w:r w:rsidR="00466D65">
        <w:rPr>
          <w:rFonts w:hint="cs"/>
          <w:rtl/>
          <w:lang w:bidi="ar-LB"/>
        </w:rPr>
        <w:t xml:space="preserve">وطلبت لجنة المعايير من الأمانة العامة أن تصدر تعميماً يدعو مكاتب الملكية الصناعية إلى المشاركة في الجزء 1 من الدراسة الاستقصائية. (انظر الفقرات من 197 إلى 201 من الوثيقة </w:t>
      </w:r>
      <w:r w:rsidR="00466D65">
        <w:rPr>
          <w:lang w:bidi="ar-LB"/>
        </w:rPr>
        <w:t>CWS/7/29</w:t>
      </w:r>
      <w:r w:rsidR="00466D65">
        <w:rPr>
          <w:rFonts w:hint="cs"/>
          <w:rtl/>
          <w:lang w:bidi="ar-LB"/>
        </w:rPr>
        <w:t>).</w:t>
      </w:r>
    </w:p>
    <w:p w:rsidR="00466D65" w:rsidRDefault="00466D65" w:rsidP="00090301">
      <w:pPr>
        <w:pStyle w:val="Heading3"/>
        <w:rPr>
          <w:rtl/>
          <w:lang w:bidi="ar-LB"/>
        </w:rPr>
      </w:pPr>
      <w:r>
        <w:rPr>
          <w:rFonts w:hint="cs"/>
          <w:rtl/>
          <w:lang w:bidi="ar-LB"/>
        </w:rPr>
        <w:t>نتائج الدراسة الاستقصائية</w:t>
      </w:r>
    </w:p>
    <w:p w:rsidR="00466D65" w:rsidRDefault="00466D65" w:rsidP="00090301">
      <w:pPr>
        <w:pStyle w:val="ONUMA"/>
        <w:rPr>
          <w:rStyle w:val="Hyperlink"/>
          <w:color w:val="auto"/>
          <w:u w:val="none"/>
          <w:lang w:bidi="ar-LB"/>
        </w:rPr>
      </w:pPr>
      <w:r>
        <w:rPr>
          <w:rFonts w:hint="cs"/>
          <w:rtl/>
          <w:lang w:bidi="ar-LB"/>
        </w:rPr>
        <w:t xml:space="preserve">أصدرت الأمانة العامة، في فبراير 2020، التعميم رقم </w:t>
      </w:r>
      <w:r>
        <w:rPr>
          <w:lang w:bidi="ar-LB"/>
        </w:rPr>
        <w:t>C.CWS.133</w:t>
      </w:r>
      <w:r>
        <w:rPr>
          <w:rFonts w:hint="cs"/>
          <w:rtl/>
          <w:lang w:bidi="ar-LB"/>
        </w:rPr>
        <w:t xml:space="preserve"> الذي تدعو فيه مكاتب الملكية الصناعية إلى المشاركة في الجزء </w:t>
      </w:r>
      <w:r w:rsidR="00E7655C">
        <w:rPr>
          <w:rFonts w:hint="cs"/>
          <w:rtl/>
          <w:lang w:bidi="ar-LB"/>
        </w:rPr>
        <w:t xml:space="preserve">1 من الدراسة الاستقصائية بشأن نفاذ الجمهور إلى معلومات البراءات. وتم تلقي الردود خلال شهر يوليو </w:t>
      </w:r>
      <w:r w:rsidR="00E7655C">
        <w:rPr>
          <w:rFonts w:hint="cs"/>
          <w:rtl/>
          <w:lang w:bidi="ar-LB"/>
        </w:rPr>
        <w:lastRenderedPageBreak/>
        <w:t xml:space="preserve">2020. وحلل المكتب الدولي، بصفته الجهة المشرفة على فرقة العمل، الردود وتشارك النتائج مع فرقة العمل لتقدم تعليقاتها بشأنها. </w:t>
      </w:r>
      <w:r w:rsidR="00C22407">
        <w:rPr>
          <w:rFonts w:hint="cs"/>
          <w:rtl/>
          <w:lang w:bidi="ar-LB"/>
        </w:rPr>
        <w:t>وقدمت</w:t>
      </w:r>
      <w:r w:rsidR="00E7655C">
        <w:rPr>
          <w:rFonts w:hint="cs"/>
          <w:rtl/>
          <w:lang w:bidi="ar-LB"/>
        </w:rPr>
        <w:t xml:space="preserve"> فرقة العمل التقرير التالي</w:t>
      </w:r>
      <w:r w:rsidR="00C22407">
        <w:rPr>
          <w:rFonts w:hint="cs"/>
          <w:rtl/>
          <w:lang w:bidi="ar-LB"/>
        </w:rPr>
        <w:t xml:space="preserve"> لتنظر فيه لجنة المعايير وتقدم تعليقاتها بشأنه. ويمكن الاطلاع على الردود على الدراسة الاستقصائية على الرابط </w:t>
      </w:r>
      <w:hyperlink r:id="rId9" w:history="1">
        <w:r w:rsidR="00C22407" w:rsidRPr="005C5D21">
          <w:rPr>
            <w:rStyle w:val="Hyperlink"/>
          </w:rPr>
          <w:t>https://www.wipo.int/edocs/mdocs/cws/en/cws_8/cws_8_item_10.zip</w:t>
        </w:r>
      </w:hyperlink>
      <w:r w:rsidR="00C22407">
        <w:rPr>
          <w:rStyle w:val="Hyperlink"/>
          <w:rFonts w:hint="cs"/>
          <w:color w:val="auto"/>
          <w:u w:val="none"/>
          <w:rtl/>
        </w:rPr>
        <w:t xml:space="preserve">. وطلبت فرقة العمل أيضاً من لجنة المعايير أن توافق على نشر موجز نتائج الدراسة الاستقصائية الذي يرد وصفه أدناه مع الردود على الموقع الإلكتروني للويبو. </w:t>
      </w:r>
    </w:p>
    <w:p w:rsidR="00C22407" w:rsidRDefault="00F825CB" w:rsidP="00090301">
      <w:pPr>
        <w:pStyle w:val="ONUMA"/>
        <w:rPr>
          <w:rStyle w:val="Hyperlink"/>
          <w:color w:val="auto"/>
          <w:u w:val="none"/>
          <w:lang w:bidi="ar-LB"/>
        </w:rPr>
      </w:pPr>
      <w:r>
        <w:rPr>
          <w:rStyle w:val="Hyperlink"/>
          <w:rFonts w:hint="cs"/>
          <w:color w:val="auto"/>
          <w:u w:val="none"/>
          <w:rtl/>
        </w:rPr>
        <w:t xml:space="preserve">وتم تلقي ستين رداً على الدراسة الاستقصائية من: </w:t>
      </w:r>
      <w:r w:rsidR="00724FDD" w:rsidRPr="00724FDD">
        <w:rPr>
          <w:rStyle w:val="Hyperlink"/>
          <w:color w:val="auto"/>
          <w:u w:val="none"/>
          <w:rtl/>
        </w:rPr>
        <w:t xml:space="preserve">الاتحاد الروسي؛ والأرجنتين؛ وأرمينيا؛ وإسبانيا؛ وأستراليا، وإستونيا؛ وإسرائيل؛ وإكوادور؛ وألمانيا؛ وأنغولا؛ وأوكرانيا؛ </w:t>
      </w:r>
      <w:proofErr w:type="spellStart"/>
      <w:r w:rsidR="00724FDD" w:rsidRPr="00724FDD">
        <w:rPr>
          <w:rStyle w:val="Hyperlink"/>
          <w:color w:val="auto"/>
          <w:u w:val="none"/>
          <w:rtl/>
        </w:rPr>
        <w:t>وأيرلندا</w:t>
      </w:r>
      <w:proofErr w:type="spellEnd"/>
      <w:r w:rsidR="00724FDD" w:rsidRPr="00724FDD">
        <w:rPr>
          <w:rStyle w:val="Hyperlink"/>
          <w:color w:val="auto"/>
          <w:u w:val="none"/>
          <w:rtl/>
        </w:rPr>
        <w:t>؛ وإيطاليا؛ وبابوا نيو غينيا؛ وباراغواي؛ وباكستان؛ والبحرين، والبرازيل؛ والبرتغال؛ وبروني دار السلام؛ وبلجيكا، وبلغاريا؛ والبوسنة والهرسك؛ وبيلاروس؛ وتايلاند؛ وترينيداد وتوباغو؛ وتشيكيا؛ وتونس؛ وسان مارينو؛ وسلوفاكيا؛ والسويد؛ وسيشيل؛ وشيلي؛ والصين؛ وهونغ كونغ (الصين)؛ وعمان؛ وفرنسا؛ وفنلندا؛ وكرواتيا؛ وكمبوديا؛ وكندا؛ وكوت ديفوار؛ وجمهورية كوريا؛ وكوستاريكا؛ وكولومبيا؛ ولاتفيا؛ ولب</w:t>
      </w:r>
      <w:r w:rsidR="00ED19C6">
        <w:rPr>
          <w:rStyle w:val="Hyperlink"/>
          <w:color w:val="auto"/>
          <w:u w:val="none"/>
          <w:rtl/>
        </w:rPr>
        <w:t>نان؛ ول</w:t>
      </w:r>
      <w:r w:rsidR="00724FDD" w:rsidRPr="00724FDD">
        <w:rPr>
          <w:rStyle w:val="Hyperlink"/>
          <w:color w:val="auto"/>
          <w:u w:val="none"/>
          <w:rtl/>
        </w:rPr>
        <w:t>كسمبرغ؛ وليتوانيا؛ والمكسيك؛ والمملكة المتحدة؛ و</w:t>
      </w:r>
      <w:r w:rsidR="00ED19C6">
        <w:rPr>
          <w:rStyle w:val="Hyperlink"/>
          <w:rFonts w:hint="cs"/>
          <w:color w:val="auto"/>
          <w:u w:val="none"/>
          <w:rtl/>
        </w:rPr>
        <w:t>ال</w:t>
      </w:r>
      <w:r w:rsidR="00724FDD" w:rsidRPr="00724FDD">
        <w:rPr>
          <w:rStyle w:val="Hyperlink"/>
          <w:color w:val="auto"/>
          <w:u w:val="none"/>
          <w:rtl/>
        </w:rPr>
        <w:t xml:space="preserve">منظمة </w:t>
      </w:r>
      <w:r w:rsidR="00ED19C6">
        <w:rPr>
          <w:rStyle w:val="Hyperlink"/>
          <w:rFonts w:hint="cs"/>
          <w:color w:val="auto"/>
          <w:u w:val="none"/>
          <w:rtl/>
        </w:rPr>
        <w:t>الإقليمية الأفريقية للملكية الفكرية (</w:t>
      </w:r>
      <w:r w:rsidR="00ED19C6">
        <w:rPr>
          <w:rStyle w:val="Hyperlink"/>
          <w:color w:val="auto"/>
          <w:u w:val="none"/>
        </w:rPr>
        <w:t>ARIPO</w:t>
      </w:r>
      <w:r w:rsidR="00ED19C6">
        <w:rPr>
          <w:rStyle w:val="Hyperlink"/>
          <w:rFonts w:hint="cs"/>
          <w:color w:val="auto"/>
          <w:u w:val="none"/>
          <w:rtl/>
          <w:lang w:bidi="ar-LB"/>
        </w:rPr>
        <w:t>)؛</w:t>
      </w:r>
      <w:r w:rsidR="00724FDD" w:rsidRPr="00724FDD">
        <w:rPr>
          <w:rStyle w:val="Hyperlink"/>
          <w:color w:val="auto"/>
          <w:u w:val="none"/>
          <w:rtl/>
        </w:rPr>
        <w:t xml:space="preserve"> </w:t>
      </w:r>
      <w:r w:rsidR="00ED19C6">
        <w:rPr>
          <w:rStyle w:val="Hyperlink"/>
          <w:rFonts w:hint="cs"/>
          <w:color w:val="auto"/>
          <w:u w:val="none"/>
          <w:rtl/>
        </w:rPr>
        <w:t>والمنظمة الأوروبية الآسيوية للبراءات (</w:t>
      </w:r>
      <w:r w:rsidR="00ED19C6">
        <w:rPr>
          <w:rStyle w:val="Hyperlink"/>
          <w:color w:val="auto"/>
          <w:u w:val="none"/>
        </w:rPr>
        <w:t>EAPO</w:t>
      </w:r>
      <w:r w:rsidR="00ED19C6">
        <w:rPr>
          <w:rStyle w:val="Hyperlink"/>
          <w:rFonts w:hint="cs"/>
          <w:color w:val="auto"/>
          <w:u w:val="none"/>
          <w:rtl/>
          <w:lang w:bidi="ar-LB"/>
        </w:rPr>
        <w:t xml:space="preserve">)؛ </w:t>
      </w:r>
      <w:r w:rsidR="00724FDD" w:rsidRPr="00724FDD">
        <w:rPr>
          <w:rStyle w:val="Hyperlink"/>
          <w:color w:val="auto"/>
          <w:u w:val="none"/>
          <w:rtl/>
        </w:rPr>
        <w:t>وجمهورية مولدوفا؛ وموناكو؛ والنروج؛ ونيكاراغوا؛ ونيوزيلندا؛ وهنغاريا؛ والولايات المتحدة الأمريكية؛ واليابان.</w:t>
      </w:r>
    </w:p>
    <w:p w:rsidR="00723C4F" w:rsidRDefault="00723C4F" w:rsidP="00090301">
      <w:pPr>
        <w:pStyle w:val="ONUMA"/>
        <w:rPr>
          <w:rStyle w:val="Hyperlink"/>
          <w:color w:val="auto"/>
          <w:u w:val="none"/>
          <w:lang w:bidi="ar-LB"/>
        </w:rPr>
      </w:pPr>
      <w:r>
        <w:rPr>
          <w:rStyle w:val="Hyperlink"/>
          <w:rFonts w:hint="cs"/>
          <w:color w:val="auto"/>
          <w:u w:val="none"/>
          <w:rtl/>
          <w:lang w:bidi="ar-LB"/>
        </w:rPr>
        <w:t xml:space="preserve">وقال ثلاثة وخمسون من المستجيبين (88 في المائة) إن </w:t>
      </w:r>
      <w:r w:rsidR="00356B27">
        <w:rPr>
          <w:rStyle w:val="Hyperlink"/>
          <w:rFonts w:hint="cs"/>
          <w:color w:val="auto"/>
          <w:u w:val="none"/>
          <w:rtl/>
          <w:lang w:bidi="ar-LB"/>
        </w:rPr>
        <w:t>مكاتبهم</w:t>
      </w:r>
      <w:r>
        <w:rPr>
          <w:rStyle w:val="Hyperlink"/>
          <w:rFonts w:hint="cs"/>
          <w:color w:val="auto"/>
          <w:u w:val="none"/>
          <w:rtl/>
          <w:lang w:bidi="ar-LB"/>
        </w:rPr>
        <w:t xml:space="preserve"> تقدم معلومات البراءات على الإنترنت. ويقدم أكثر من 75 في المائة من هؤلاء المستجيبين المعلومات على الإنترنت فيما يتعلق ببيانات الأولوية، والوضع القانوني، والطلبات المنشورة، والطلبات الممنوحة البراءات، والجريدة الرسمية الخاصة بهم. ويقدم نصف المستجيبين على الأقل المعلومات على الإنترنت فيما يتعلق بالتراخيص، وعمليات إعادة الانتداب، والتصحيحات، وتمديد الفترات (بما في ذلك شهادات الحماية التكميلية). وتشمل المعلومات المقدمة بدرجة أقل قرارات المحاكم (40 في المائة)، والتحقق من الملفات (31 في المائة)، والطلبات غير المنشورة (22 في المائة)، والمعلومات عن أسرة البراءات (19 في المائة).</w:t>
      </w:r>
    </w:p>
    <w:p w:rsidR="00723C4F" w:rsidRDefault="00723C4F" w:rsidP="00090301">
      <w:pPr>
        <w:pStyle w:val="ONUMA"/>
        <w:rPr>
          <w:rStyle w:val="Hyperlink"/>
          <w:color w:val="auto"/>
          <w:u w:val="none"/>
          <w:lang w:bidi="ar-LB"/>
        </w:rPr>
      </w:pPr>
      <w:r>
        <w:rPr>
          <w:rStyle w:val="Hyperlink"/>
          <w:rFonts w:hint="cs"/>
          <w:color w:val="auto"/>
          <w:u w:val="none"/>
          <w:rtl/>
          <w:lang w:bidi="ar-LB"/>
        </w:rPr>
        <w:t>ومن بين المكاتب التي تقدم معلومات بشأن الوضع القانوني على الإنترنت، يقدم أكثر من 70 في المائة</w:t>
      </w:r>
      <w:r w:rsidR="004D28DD">
        <w:rPr>
          <w:rStyle w:val="Hyperlink"/>
          <w:rFonts w:hint="cs"/>
          <w:color w:val="auto"/>
          <w:u w:val="none"/>
          <w:rtl/>
          <w:lang w:bidi="ar-LB"/>
        </w:rPr>
        <w:t xml:space="preserve"> البيانات لبضع سنوات على الأقل بشأن ما إذا كانت البراءة قد مُنحت، أو كانت سارية حالياً، وبشأن دفع الرسوم، وتغييرات الملكية. ويقدم أكثر من النصف معلومات عن تاريخ دخول معاهدة التعاون بشأن البراءات المرحلة الوطنية، والأحداث ما قبل وما بعد منح البراءات المرتبطة بقرارات المحاكم. </w:t>
      </w:r>
    </w:p>
    <w:p w:rsidR="004D28DD" w:rsidRDefault="00442024" w:rsidP="00090301">
      <w:pPr>
        <w:pStyle w:val="ONUMA"/>
        <w:rPr>
          <w:rStyle w:val="Hyperlink"/>
          <w:color w:val="auto"/>
          <w:u w:val="none"/>
          <w:lang w:bidi="ar-LB"/>
        </w:rPr>
      </w:pPr>
      <w:r>
        <w:rPr>
          <w:rStyle w:val="Hyperlink"/>
          <w:rFonts w:hint="cs"/>
          <w:color w:val="auto"/>
          <w:u w:val="none"/>
          <w:rtl/>
          <w:lang w:bidi="ar-LB"/>
        </w:rPr>
        <w:t>وتسمح جميع المكاتب تقريباً (51) بالنفاذ عبر الإنترنت لأي شخص من دون اشتراط تسجيل الدخول. ويحدّث معظم المستجيبين معلومات البراءات يومياً أو أسبوعياً أو كل أسبوعين (بين 60 في المائة و70 في المائة حسب نوع المعلومات)، لكنّ التحديثات الشهرية (15 في المائة إلى 20 في المائة) والتحديثات الآنية (10 في المائة إلى 15 في المائة) شائعة أيضاً. ويقدم 55 مكتباً (92 في المائة) معلومات البراءات باللغة الإنكليزية، ويقدم معظم هذه المكاتب كذلك المعلومات بلغة أو أكثر من اللغات المحلية.</w:t>
      </w:r>
    </w:p>
    <w:p w:rsidR="00442024" w:rsidRPr="008C2FF6" w:rsidRDefault="00442024" w:rsidP="00ED0E06">
      <w:pPr>
        <w:pStyle w:val="Decision"/>
        <w:keepNext/>
        <w:keepLines/>
        <w:ind w:left="5530"/>
        <w:rPr>
          <w:rStyle w:val="Hyperlink"/>
          <w:i w:val="0"/>
          <w:iCs w:val="0"/>
          <w:color w:val="auto"/>
          <w:u w:val="none"/>
          <w:lang w:bidi="ar-LB"/>
        </w:rPr>
      </w:pPr>
      <w:r w:rsidRPr="008C2FF6">
        <w:rPr>
          <w:rStyle w:val="Hyperlink"/>
          <w:rFonts w:hint="cs"/>
          <w:color w:val="auto"/>
          <w:u w:val="none"/>
          <w:rtl/>
          <w:lang w:bidi="ar-LB"/>
        </w:rPr>
        <w:lastRenderedPageBreak/>
        <w:t>إن لجنة المعايير مدعوة</w:t>
      </w:r>
      <w:r w:rsidR="00765E9C" w:rsidRPr="008C2FF6">
        <w:rPr>
          <w:rStyle w:val="Hyperlink"/>
          <w:rFonts w:hint="cs"/>
          <w:color w:val="auto"/>
          <w:u w:val="none"/>
          <w:rtl/>
          <w:lang w:bidi="ar-LB"/>
        </w:rPr>
        <w:t xml:space="preserve"> إلى</w:t>
      </w:r>
      <w:r w:rsidR="008C2FF6" w:rsidRPr="008C2FF6">
        <w:rPr>
          <w:rStyle w:val="Hyperlink"/>
          <w:rFonts w:hint="cs"/>
          <w:color w:val="auto"/>
          <w:u w:val="none"/>
          <w:rtl/>
          <w:lang w:bidi="ar-LB"/>
        </w:rPr>
        <w:t xml:space="preserve"> ما يلي:</w:t>
      </w:r>
    </w:p>
    <w:p w:rsidR="008C2FF6" w:rsidRPr="008C2FF6" w:rsidRDefault="008C2FF6" w:rsidP="00090301">
      <w:pPr>
        <w:pStyle w:val="BodyText"/>
        <w:numPr>
          <w:ilvl w:val="0"/>
          <w:numId w:val="20"/>
        </w:numPr>
        <w:ind w:left="6205" w:firstLine="0"/>
        <w:rPr>
          <w:i/>
          <w:iCs/>
          <w:lang w:bidi="ar-LB"/>
        </w:rPr>
      </w:pPr>
      <w:r w:rsidRPr="008C2FF6">
        <w:rPr>
          <w:rFonts w:hint="cs"/>
          <w:i/>
          <w:iCs/>
          <w:rtl/>
          <w:lang w:bidi="ar-LB"/>
        </w:rPr>
        <w:t>الإحاطة علماً بمضمون هذه الوثيقة؛</w:t>
      </w:r>
    </w:p>
    <w:p w:rsidR="008C2FF6" w:rsidRPr="008C2FF6" w:rsidRDefault="008C2FF6" w:rsidP="00090301">
      <w:pPr>
        <w:pStyle w:val="BodyText"/>
        <w:numPr>
          <w:ilvl w:val="0"/>
          <w:numId w:val="20"/>
        </w:numPr>
        <w:ind w:left="6205" w:firstLine="0"/>
        <w:rPr>
          <w:i/>
          <w:iCs/>
          <w:lang w:bidi="ar-LB"/>
        </w:rPr>
      </w:pPr>
      <w:r w:rsidRPr="008C2FF6">
        <w:rPr>
          <w:rFonts w:hint="cs"/>
          <w:i/>
          <w:iCs/>
          <w:rtl/>
          <w:lang w:bidi="ar-LB"/>
        </w:rPr>
        <w:t>والطلب من المكتب الدولي أن ينشر نتائج الدراسة الاستقصائية مع الردود على الموقع الإلكتروني للويبو على النحو المحدد في الفقرة 2 أعلاه.</w:t>
      </w:r>
    </w:p>
    <w:p w:rsidR="008C2FF6" w:rsidRPr="00DB5726" w:rsidRDefault="008C2FF6" w:rsidP="00090301">
      <w:pPr>
        <w:pStyle w:val="Endofdocument-Annex"/>
        <w:rPr>
          <w:rtl/>
          <w:lang w:bidi="ar-LB"/>
        </w:rPr>
      </w:pPr>
      <w:bookmarkStart w:id="11" w:name="_GoBack"/>
      <w:bookmarkEnd w:id="11"/>
      <w:r>
        <w:rPr>
          <w:rFonts w:hint="cs"/>
          <w:rtl/>
          <w:lang w:bidi="ar-LB"/>
        </w:rPr>
        <w:t>[نهاية الوثيقة]</w:t>
      </w:r>
    </w:p>
    <w:sectPr w:rsidR="008C2FF6" w:rsidRPr="00DB5726"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767C" w:rsidRDefault="00E3767C">
      <w:r>
        <w:separator/>
      </w:r>
    </w:p>
  </w:endnote>
  <w:endnote w:type="continuationSeparator" w:id="0">
    <w:p w:rsidR="00E3767C" w:rsidRDefault="00E37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767C" w:rsidRDefault="00E3767C" w:rsidP="009622BF">
      <w:bookmarkStart w:id="0" w:name="OLE_LINK1"/>
      <w:bookmarkStart w:id="1" w:name="OLE_LINK2"/>
      <w:r>
        <w:separator/>
      </w:r>
      <w:bookmarkEnd w:id="0"/>
      <w:bookmarkEnd w:id="1"/>
    </w:p>
  </w:footnote>
  <w:footnote w:type="continuationSeparator" w:id="0">
    <w:p w:rsidR="00E3767C" w:rsidRDefault="00E3767C"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301" w:rsidRDefault="00516D84" w:rsidP="00090301">
    <w:pPr>
      <w:bidi w:val="0"/>
      <w:rPr>
        <w:rFonts w:ascii="Arial" w:hAnsi="Arial" w:cs="Arial"/>
        <w:sz w:val="22"/>
        <w:szCs w:val="22"/>
      </w:rPr>
    </w:pPr>
    <w:bookmarkStart w:id="12" w:name="Code3"/>
    <w:bookmarkEnd w:id="12"/>
    <w:r>
      <w:rPr>
        <w:rFonts w:ascii="Arial" w:hAnsi="Arial" w:cs="Arial"/>
        <w:sz w:val="22"/>
        <w:szCs w:val="22"/>
      </w:rPr>
      <w:t>C</w:t>
    </w:r>
    <w:r w:rsidR="009E6A1A">
      <w:rPr>
        <w:rFonts w:ascii="Arial" w:hAnsi="Arial" w:cs="Arial"/>
        <w:sz w:val="22"/>
        <w:szCs w:val="22"/>
      </w:rPr>
      <w:t>WS/8/10</w:t>
    </w:r>
  </w:p>
  <w:p w:rsidR="004C495B" w:rsidRPr="00C50A61" w:rsidRDefault="004C495B" w:rsidP="00090301">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CA3B92">
      <w:rPr>
        <w:rFonts w:ascii="Arial" w:hAnsi="Arial" w:cs="Arial"/>
        <w:noProof/>
        <w:sz w:val="22"/>
        <w:szCs w:val="22"/>
        <w:lang w:bidi="ar-EG"/>
      </w:rPr>
      <w:t>3</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0" w15:restartNumberingAfterBreak="0">
    <w:nsid w:val="0A33045A"/>
    <w:multiLevelType w:val="hybridMultilevel"/>
    <w:tmpl w:val="4C6C5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A0314E"/>
    <w:multiLevelType w:val="hybridMultilevel"/>
    <w:tmpl w:val="6C72C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1F3874"/>
    <w:multiLevelType w:val="hybridMultilevel"/>
    <w:tmpl w:val="EE1E9004"/>
    <w:lvl w:ilvl="0" w:tplc="CAE41098">
      <w:start w:val="1"/>
      <w:numFmt w:val="arabicAbjad"/>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F516257"/>
    <w:multiLevelType w:val="hybridMultilevel"/>
    <w:tmpl w:val="4560D040"/>
    <w:lvl w:ilvl="0" w:tplc="B31CC9F4">
      <w:start w:val="1"/>
      <w:numFmt w:val="bullet"/>
      <w:lvlText w:val="-"/>
      <w:lvlJc w:val="left"/>
      <w:pPr>
        <w:ind w:left="1080" w:hanging="360"/>
      </w:pPr>
      <w:rPr>
        <w:rFonts w:ascii="Arabic Typesetting" w:eastAsia="Times New Roman" w:hAnsi="Arabic Typesetting" w:cs="Arabic Typesetting"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30809E2"/>
    <w:multiLevelType w:val="hybridMultilevel"/>
    <w:tmpl w:val="68DE8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F02693"/>
    <w:multiLevelType w:val="hybridMultilevel"/>
    <w:tmpl w:val="2564F848"/>
    <w:lvl w:ilvl="0" w:tplc="CAE41098">
      <w:start w:val="1"/>
      <w:numFmt w:val="arabicAbjad"/>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9550935"/>
    <w:multiLevelType w:val="hybridMultilevel"/>
    <w:tmpl w:val="F31AC3FC"/>
    <w:lvl w:ilvl="0" w:tplc="CAE41098">
      <w:start w:val="1"/>
      <w:numFmt w:val="arabicAbjad"/>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BC757CB"/>
    <w:multiLevelType w:val="hybridMultilevel"/>
    <w:tmpl w:val="C306798E"/>
    <w:lvl w:ilvl="0" w:tplc="CAE41098">
      <w:start w:val="1"/>
      <w:numFmt w:val="arabicAbjad"/>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9"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1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18"/>
  </w:num>
  <w:num w:numId="13">
    <w:abstractNumId w:val="11"/>
  </w:num>
  <w:num w:numId="14">
    <w:abstractNumId w:val="13"/>
  </w:num>
  <w:num w:numId="15">
    <w:abstractNumId w:val="12"/>
  </w:num>
  <w:num w:numId="16">
    <w:abstractNumId w:val="15"/>
  </w:num>
  <w:num w:numId="17">
    <w:abstractNumId w:val="10"/>
  </w:num>
  <w:num w:numId="18">
    <w:abstractNumId w:val="16"/>
  </w:num>
  <w:num w:numId="19">
    <w:abstractNumId w:val="14"/>
  </w:num>
  <w:num w:numId="20">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AE3"/>
    <w:rsid w:val="00002CBE"/>
    <w:rsid w:val="00003232"/>
    <w:rsid w:val="000033DA"/>
    <w:rsid w:val="00004AF1"/>
    <w:rsid w:val="0000579F"/>
    <w:rsid w:val="000074D1"/>
    <w:rsid w:val="000076BD"/>
    <w:rsid w:val="00010481"/>
    <w:rsid w:val="00010671"/>
    <w:rsid w:val="000114E2"/>
    <w:rsid w:val="0001313D"/>
    <w:rsid w:val="00013347"/>
    <w:rsid w:val="0001344A"/>
    <w:rsid w:val="00013D73"/>
    <w:rsid w:val="000142E1"/>
    <w:rsid w:val="000146BD"/>
    <w:rsid w:val="00014B68"/>
    <w:rsid w:val="00014CC0"/>
    <w:rsid w:val="0001645D"/>
    <w:rsid w:val="000179B9"/>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07C0"/>
    <w:rsid w:val="00061E03"/>
    <w:rsid w:val="00061FF5"/>
    <w:rsid w:val="00062502"/>
    <w:rsid w:val="00063C91"/>
    <w:rsid w:val="000640E7"/>
    <w:rsid w:val="00066DC7"/>
    <w:rsid w:val="0006794A"/>
    <w:rsid w:val="00067F31"/>
    <w:rsid w:val="00071138"/>
    <w:rsid w:val="00071227"/>
    <w:rsid w:val="00073402"/>
    <w:rsid w:val="00075745"/>
    <w:rsid w:val="00075A04"/>
    <w:rsid w:val="00075D39"/>
    <w:rsid w:val="000760C3"/>
    <w:rsid w:val="000763A4"/>
    <w:rsid w:val="00076901"/>
    <w:rsid w:val="00077248"/>
    <w:rsid w:val="0008237C"/>
    <w:rsid w:val="000833C3"/>
    <w:rsid w:val="0008421F"/>
    <w:rsid w:val="0008451C"/>
    <w:rsid w:val="00085A0B"/>
    <w:rsid w:val="000863B7"/>
    <w:rsid w:val="00086CB9"/>
    <w:rsid w:val="00087DB6"/>
    <w:rsid w:val="00090139"/>
    <w:rsid w:val="0009024C"/>
    <w:rsid w:val="00090301"/>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43BA"/>
    <w:rsid w:val="000D5B81"/>
    <w:rsid w:val="000D5FB7"/>
    <w:rsid w:val="000D7E81"/>
    <w:rsid w:val="000E06A5"/>
    <w:rsid w:val="000E16EB"/>
    <w:rsid w:val="000E357F"/>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652C"/>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03A"/>
    <w:rsid w:val="001171EF"/>
    <w:rsid w:val="001173C5"/>
    <w:rsid w:val="00121092"/>
    <w:rsid w:val="001218E9"/>
    <w:rsid w:val="00121AA0"/>
    <w:rsid w:val="00121FE6"/>
    <w:rsid w:val="00123F16"/>
    <w:rsid w:val="0012405D"/>
    <w:rsid w:val="001252B1"/>
    <w:rsid w:val="00126897"/>
    <w:rsid w:val="0012696D"/>
    <w:rsid w:val="001306B4"/>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47FDC"/>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29C"/>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0EB"/>
    <w:rsid w:val="0018414E"/>
    <w:rsid w:val="00185718"/>
    <w:rsid w:val="001857AF"/>
    <w:rsid w:val="00185BBE"/>
    <w:rsid w:val="00186606"/>
    <w:rsid w:val="0019005A"/>
    <w:rsid w:val="00190B6D"/>
    <w:rsid w:val="00191E75"/>
    <w:rsid w:val="00192022"/>
    <w:rsid w:val="0019231C"/>
    <w:rsid w:val="0019301D"/>
    <w:rsid w:val="0019454F"/>
    <w:rsid w:val="00194719"/>
    <w:rsid w:val="00194774"/>
    <w:rsid w:val="00195CE0"/>
    <w:rsid w:val="00197292"/>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BF8"/>
    <w:rsid w:val="001D2DC4"/>
    <w:rsid w:val="001D346A"/>
    <w:rsid w:val="001D6A48"/>
    <w:rsid w:val="001D6CF6"/>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119"/>
    <w:rsid w:val="00222760"/>
    <w:rsid w:val="00222782"/>
    <w:rsid w:val="002228A0"/>
    <w:rsid w:val="0022360A"/>
    <w:rsid w:val="002269E0"/>
    <w:rsid w:val="00226B82"/>
    <w:rsid w:val="00227103"/>
    <w:rsid w:val="00230249"/>
    <w:rsid w:val="0023068C"/>
    <w:rsid w:val="00230D5F"/>
    <w:rsid w:val="0023134A"/>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37ED"/>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3614"/>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32A"/>
    <w:rsid w:val="002A076C"/>
    <w:rsid w:val="002A0B33"/>
    <w:rsid w:val="002A1059"/>
    <w:rsid w:val="002A1407"/>
    <w:rsid w:val="002A3C9D"/>
    <w:rsid w:val="002A5403"/>
    <w:rsid w:val="002A6C9F"/>
    <w:rsid w:val="002A77F3"/>
    <w:rsid w:val="002B14F0"/>
    <w:rsid w:val="002B17FD"/>
    <w:rsid w:val="002B1AFF"/>
    <w:rsid w:val="002B1F0F"/>
    <w:rsid w:val="002B2BE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E18"/>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A69"/>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1EDD"/>
    <w:rsid w:val="0032261F"/>
    <w:rsid w:val="003237A2"/>
    <w:rsid w:val="00324729"/>
    <w:rsid w:val="00325C8B"/>
    <w:rsid w:val="00326C08"/>
    <w:rsid w:val="00327011"/>
    <w:rsid w:val="00334127"/>
    <w:rsid w:val="00335CA6"/>
    <w:rsid w:val="003365F0"/>
    <w:rsid w:val="00336C50"/>
    <w:rsid w:val="00337265"/>
    <w:rsid w:val="00337388"/>
    <w:rsid w:val="00337E76"/>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56B27"/>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623"/>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5200"/>
    <w:rsid w:val="003C6D76"/>
    <w:rsid w:val="003C72F6"/>
    <w:rsid w:val="003D073C"/>
    <w:rsid w:val="003D0791"/>
    <w:rsid w:val="003D1130"/>
    <w:rsid w:val="003D37D4"/>
    <w:rsid w:val="003D46C0"/>
    <w:rsid w:val="003D47A7"/>
    <w:rsid w:val="003D56B5"/>
    <w:rsid w:val="003D5DCC"/>
    <w:rsid w:val="003D6B84"/>
    <w:rsid w:val="003E1A49"/>
    <w:rsid w:val="003E2D01"/>
    <w:rsid w:val="003E330E"/>
    <w:rsid w:val="003E3AE3"/>
    <w:rsid w:val="003E5733"/>
    <w:rsid w:val="003E5E27"/>
    <w:rsid w:val="003E64A5"/>
    <w:rsid w:val="003E6FD2"/>
    <w:rsid w:val="003E788F"/>
    <w:rsid w:val="003E7A47"/>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18B9"/>
    <w:rsid w:val="00433C0A"/>
    <w:rsid w:val="004349FA"/>
    <w:rsid w:val="004406BD"/>
    <w:rsid w:val="00442024"/>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7E2"/>
    <w:rsid w:val="0046298E"/>
    <w:rsid w:val="004647BB"/>
    <w:rsid w:val="0046482B"/>
    <w:rsid w:val="004648E0"/>
    <w:rsid w:val="00466020"/>
    <w:rsid w:val="00466D65"/>
    <w:rsid w:val="00472043"/>
    <w:rsid w:val="00472F56"/>
    <w:rsid w:val="0047335E"/>
    <w:rsid w:val="00473CA1"/>
    <w:rsid w:val="0047572C"/>
    <w:rsid w:val="0047606E"/>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4F8F"/>
    <w:rsid w:val="0049528C"/>
    <w:rsid w:val="00497356"/>
    <w:rsid w:val="004A076F"/>
    <w:rsid w:val="004A1DC1"/>
    <w:rsid w:val="004A31A2"/>
    <w:rsid w:val="004A48A7"/>
    <w:rsid w:val="004A655D"/>
    <w:rsid w:val="004B01B1"/>
    <w:rsid w:val="004B08D1"/>
    <w:rsid w:val="004B10E6"/>
    <w:rsid w:val="004B198F"/>
    <w:rsid w:val="004B20F1"/>
    <w:rsid w:val="004B46D0"/>
    <w:rsid w:val="004B57B0"/>
    <w:rsid w:val="004B60CE"/>
    <w:rsid w:val="004B61C9"/>
    <w:rsid w:val="004C0B26"/>
    <w:rsid w:val="004C12FE"/>
    <w:rsid w:val="004C1D57"/>
    <w:rsid w:val="004C2F7C"/>
    <w:rsid w:val="004C34F8"/>
    <w:rsid w:val="004C375F"/>
    <w:rsid w:val="004C482F"/>
    <w:rsid w:val="004C495B"/>
    <w:rsid w:val="004C49C9"/>
    <w:rsid w:val="004C5318"/>
    <w:rsid w:val="004C627F"/>
    <w:rsid w:val="004C74CC"/>
    <w:rsid w:val="004C76C1"/>
    <w:rsid w:val="004C7DDE"/>
    <w:rsid w:val="004D0D1A"/>
    <w:rsid w:val="004D169F"/>
    <w:rsid w:val="004D18CF"/>
    <w:rsid w:val="004D28DD"/>
    <w:rsid w:val="004D30CE"/>
    <w:rsid w:val="004D4071"/>
    <w:rsid w:val="004D421A"/>
    <w:rsid w:val="004D4D0C"/>
    <w:rsid w:val="004D6144"/>
    <w:rsid w:val="004D678F"/>
    <w:rsid w:val="004E1264"/>
    <w:rsid w:val="004E2CBC"/>
    <w:rsid w:val="004E3186"/>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6D84"/>
    <w:rsid w:val="00517A63"/>
    <w:rsid w:val="00517C8D"/>
    <w:rsid w:val="00517FD1"/>
    <w:rsid w:val="005219E6"/>
    <w:rsid w:val="00521B4A"/>
    <w:rsid w:val="0052212E"/>
    <w:rsid w:val="00522E91"/>
    <w:rsid w:val="0052302D"/>
    <w:rsid w:val="005236A5"/>
    <w:rsid w:val="005247B8"/>
    <w:rsid w:val="00525F30"/>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2C2"/>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AE3"/>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C36"/>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1323"/>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654"/>
    <w:rsid w:val="00601A1F"/>
    <w:rsid w:val="00602655"/>
    <w:rsid w:val="00603B68"/>
    <w:rsid w:val="00605297"/>
    <w:rsid w:val="00605CB9"/>
    <w:rsid w:val="006065BF"/>
    <w:rsid w:val="00607C00"/>
    <w:rsid w:val="00610430"/>
    <w:rsid w:val="00611858"/>
    <w:rsid w:val="006128AB"/>
    <w:rsid w:val="00613A99"/>
    <w:rsid w:val="00614EB1"/>
    <w:rsid w:val="00614F67"/>
    <w:rsid w:val="00615277"/>
    <w:rsid w:val="00615519"/>
    <w:rsid w:val="00615CED"/>
    <w:rsid w:val="00615CFC"/>
    <w:rsid w:val="00617A92"/>
    <w:rsid w:val="00620BF9"/>
    <w:rsid w:val="00620CEE"/>
    <w:rsid w:val="00622558"/>
    <w:rsid w:val="00622D5F"/>
    <w:rsid w:val="00622EAE"/>
    <w:rsid w:val="006230C8"/>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6E5"/>
    <w:rsid w:val="006609AA"/>
    <w:rsid w:val="00662EDE"/>
    <w:rsid w:val="00664C9F"/>
    <w:rsid w:val="00666548"/>
    <w:rsid w:val="00666A71"/>
    <w:rsid w:val="00667537"/>
    <w:rsid w:val="00667B2B"/>
    <w:rsid w:val="00670865"/>
    <w:rsid w:val="00671AED"/>
    <w:rsid w:val="006725B5"/>
    <w:rsid w:val="00673521"/>
    <w:rsid w:val="00673702"/>
    <w:rsid w:val="00673767"/>
    <w:rsid w:val="00673C4B"/>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796"/>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E1E"/>
    <w:rsid w:val="006B1F20"/>
    <w:rsid w:val="006B398A"/>
    <w:rsid w:val="006B3E04"/>
    <w:rsid w:val="006B4024"/>
    <w:rsid w:val="006B47D7"/>
    <w:rsid w:val="006B499D"/>
    <w:rsid w:val="006B5041"/>
    <w:rsid w:val="006B643D"/>
    <w:rsid w:val="006B79A4"/>
    <w:rsid w:val="006C0DA2"/>
    <w:rsid w:val="006C1254"/>
    <w:rsid w:val="006C2DC5"/>
    <w:rsid w:val="006C480B"/>
    <w:rsid w:val="006C49B4"/>
    <w:rsid w:val="006C570B"/>
    <w:rsid w:val="006C572E"/>
    <w:rsid w:val="006C5997"/>
    <w:rsid w:val="006C5CD2"/>
    <w:rsid w:val="006D0636"/>
    <w:rsid w:val="006D06DC"/>
    <w:rsid w:val="006D6E1D"/>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3C4F"/>
    <w:rsid w:val="00724FDD"/>
    <w:rsid w:val="007260FE"/>
    <w:rsid w:val="00726DD6"/>
    <w:rsid w:val="0073076E"/>
    <w:rsid w:val="00733416"/>
    <w:rsid w:val="0073377E"/>
    <w:rsid w:val="00733E05"/>
    <w:rsid w:val="0073551B"/>
    <w:rsid w:val="00735C8A"/>
    <w:rsid w:val="00735FE2"/>
    <w:rsid w:val="0073719A"/>
    <w:rsid w:val="00737220"/>
    <w:rsid w:val="007379B1"/>
    <w:rsid w:val="00737C62"/>
    <w:rsid w:val="00737C91"/>
    <w:rsid w:val="0074130E"/>
    <w:rsid w:val="0074166F"/>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3AA3"/>
    <w:rsid w:val="007642DC"/>
    <w:rsid w:val="00765E9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40DF"/>
    <w:rsid w:val="00795460"/>
    <w:rsid w:val="00796CF7"/>
    <w:rsid w:val="007A0313"/>
    <w:rsid w:val="007A0A83"/>
    <w:rsid w:val="007A4BB3"/>
    <w:rsid w:val="007A5AA4"/>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6899"/>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37F29"/>
    <w:rsid w:val="00840419"/>
    <w:rsid w:val="008409A2"/>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65BD2"/>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3327"/>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4917"/>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2FF6"/>
    <w:rsid w:val="008C3347"/>
    <w:rsid w:val="008C39D6"/>
    <w:rsid w:val="008C3B96"/>
    <w:rsid w:val="008C43BF"/>
    <w:rsid w:val="008C4E87"/>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10D7"/>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6D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1A86"/>
    <w:rsid w:val="0094204A"/>
    <w:rsid w:val="009443ED"/>
    <w:rsid w:val="00945496"/>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1BD8"/>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76EAA"/>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E6A1A"/>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0CF"/>
    <w:rsid w:val="00A13947"/>
    <w:rsid w:val="00A13E2B"/>
    <w:rsid w:val="00A1562A"/>
    <w:rsid w:val="00A15901"/>
    <w:rsid w:val="00A1618E"/>
    <w:rsid w:val="00A161A1"/>
    <w:rsid w:val="00A20562"/>
    <w:rsid w:val="00A20F75"/>
    <w:rsid w:val="00A212B1"/>
    <w:rsid w:val="00A2545B"/>
    <w:rsid w:val="00A26FFF"/>
    <w:rsid w:val="00A27950"/>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2D98"/>
    <w:rsid w:val="00A433B6"/>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0B6"/>
    <w:rsid w:val="00A5578A"/>
    <w:rsid w:val="00A61365"/>
    <w:rsid w:val="00A61759"/>
    <w:rsid w:val="00A61B88"/>
    <w:rsid w:val="00A62C70"/>
    <w:rsid w:val="00A63982"/>
    <w:rsid w:val="00A65845"/>
    <w:rsid w:val="00A65A41"/>
    <w:rsid w:val="00A666AA"/>
    <w:rsid w:val="00A671FC"/>
    <w:rsid w:val="00A70D50"/>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4887"/>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5F87"/>
    <w:rsid w:val="00AA628B"/>
    <w:rsid w:val="00AA6DE4"/>
    <w:rsid w:val="00AA7408"/>
    <w:rsid w:val="00AA7D1F"/>
    <w:rsid w:val="00AB02C6"/>
    <w:rsid w:val="00AB246B"/>
    <w:rsid w:val="00AB2E96"/>
    <w:rsid w:val="00AB36D4"/>
    <w:rsid w:val="00AB47C7"/>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3C9"/>
    <w:rsid w:val="00B55B09"/>
    <w:rsid w:val="00B56711"/>
    <w:rsid w:val="00B57EF2"/>
    <w:rsid w:val="00B604F3"/>
    <w:rsid w:val="00B609DC"/>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4808"/>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CB2"/>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6154"/>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2407"/>
    <w:rsid w:val="00C2338E"/>
    <w:rsid w:val="00C23FB0"/>
    <w:rsid w:val="00C24021"/>
    <w:rsid w:val="00C248AF"/>
    <w:rsid w:val="00C24B09"/>
    <w:rsid w:val="00C24BDE"/>
    <w:rsid w:val="00C24E9F"/>
    <w:rsid w:val="00C26939"/>
    <w:rsid w:val="00C31362"/>
    <w:rsid w:val="00C32151"/>
    <w:rsid w:val="00C3217A"/>
    <w:rsid w:val="00C32963"/>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64F1"/>
    <w:rsid w:val="00C57ED3"/>
    <w:rsid w:val="00C61640"/>
    <w:rsid w:val="00C61AA7"/>
    <w:rsid w:val="00C61B8E"/>
    <w:rsid w:val="00C626D2"/>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3B92"/>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2EA4"/>
    <w:rsid w:val="00CF3739"/>
    <w:rsid w:val="00CF5597"/>
    <w:rsid w:val="00CF57B4"/>
    <w:rsid w:val="00CF5CA5"/>
    <w:rsid w:val="00CF658A"/>
    <w:rsid w:val="00CF66B6"/>
    <w:rsid w:val="00D007D6"/>
    <w:rsid w:val="00D01A9F"/>
    <w:rsid w:val="00D01CED"/>
    <w:rsid w:val="00D01E38"/>
    <w:rsid w:val="00D022B5"/>
    <w:rsid w:val="00D039B5"/>
    <w:rsid w:val="00D04AA9"/>
    <w:rsid w:val="00D04E85"/>
    <w:rsid w:val="00D04F76"/>
    <w:rsid w:val="00D053D2"/>
    <w:rsid w:val="00D06078"/>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ABF"/>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179"/>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692E"/>
    <w:rsid w:val="00DA7413"/>
    <w:rsid w:val="00DB0066"/>
    <w:rsid w:val="00DB0F9E"/>
    <w:rsid w:val="00DB1307"/>
    <w:rsid w:val="00DB1E1A"/>
    <w:rsid w:val="00DB2AF6"/>
    <w:rsid w:val="00DB364F"/>
    <w:rsid w:val="00DB39E7"/>
    <w:rsid w:val="00DB3B3E"/>
    <w:rsid w:val="00DB5726"/>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0A61"/>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378B"/>
    <w:rsid w:val="00E3612C"/>
    <w:rsid w:val="00E363CD"/>
    <w:rsid w:val="00E365C4"/>
    <w:rsid w:val="00E36C7F"/>
    <w:rsid w:val="00E37652"/>
    <w:rsid w:val="00E3767C"/>
    <w:rsid w:val="00E3768F"/>
    <w:rsid w:val="00E402BC"/>
    <w:rsid w:val="00E41403"/>
    <w:rsid w:val="00E418C7"/>
    <w:rsid w:val="00E41BD7"/>
    <w:rsid w:val="00E428D6"/>
    <w:rsid w:val="00E42D4C"/>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4B1"/>
    <w:rsid w:val="00E7190A"/>
    <w:rsid w:val="00E71E5C"/>
    <w:rsid w:val="00E7245E"/>
    <w:rsid w:val="00E73831"/>
    <w:rsid w:val="00E73B66"/>
    <w:rsid w:val="00E7434A"/>
    <w:rsid w:val="00E7498E"/>
    <w:rsid w:val="00E74BB9"/>
    <w:rsid w:val="00E74FF5"/>
    <w:rsid w:val="00E7584A"/>
    <w:rsid w:val="00E760D0"/>
    <w:rsid w:val="00E7655C"/>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4A86"/>
    <w:rsid w:val="00E96226"/>
    <w:rsid w:val="00E96DDE"/>
    <w:rsid w:val="00EA04AE"/>
    <w:rsid w:val="00EA062F"/>
    <w:rsid w:val="00EA1266"/>
    <w:rsid w:val="00EA17A9"/>
    <w:rsid w:val="00EA2663"/>
    <w:rsid w:val="00EA311B"/>
    <w:rsid w:val="00EA36CA"/>
    <w:rsid w:val="00EA3D9C"/>
    <w:rsid w:val="00EA43C0"/>
    <w:rsid w:val="00EA4CB0"/>
    <w:rsid w:val="00EA566F"/>
    <w:rsid w:val="00EA5903"/>
    <w:rsid w:val="00EB04F3"/>
    <w:rsid w:val="00EB14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0E06"/>
    <w:rsid w:val="00ED1877"/>
    <w:rsid w:val="00ED19C6"/>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4C67"/>
    <w:rsid w:val="00EF5B34"/>
    <w:rsid w:val="00EF657C"/>
    <w:rsid w:val="00F004D1"/>
    <w:rsid w:val="00F00C0D"/>
    <w:rsid w:val="00F0128B"/>
    <w:rsid w:val="00F02663"/>
    <w:rsid w:val="00F03369"/>
    <w:rsid w:val="00F04E62"/>
    <w:rsid w:val="00F050AA"/>
    <w:rsid w:val="00F05E6D"/>
    <w:rsid w:val="00F07131"/>
    <w:rsid w:val="00F11800"/>
    <w:rsid w:val="00F11B61"/>
    <w:rsid w:val="00F12942"/>
    <w:rsid w:val="00F135D6"/>
    <w:rsid w:val="00F13922"/>
    <w:rsid w:val="00F13DBC"/>
    <w:rsid w:val="00F15FCF"/>
    <w:rsid w:val="00F16613"/>
    <w:rsid w:val="00F20706"/>
    <w:rsid w:val="00F21496"/>
    <w:rsid w:val="00F21E77"/>
    <w:rsid w:val="00F248CB"/>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25CB"/>
    <w:rsid w:val="00F8465D"/>
    <w:rsid w:val="00F848B3"/>
    <w:rsid w:val="00F85755"/>
    <w:rsid w:val="00F86986"/>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0F33"/>
    <w:rsid w:val="00FB1458"/>
    <w:rsid w:val="00FB2BEF"/>
    <w:rsid w:val="00FB36CA"/>
    <w:rsid w:val="00FB5344"/>
    <w:rsid w:val="00FB5A13"/>
    <w:rsid w:val="00FB72AC"/>
    <w:rsid w:val="00FB7706"/>
    <w:rsid w:val="00FB7EC9"/>
    <w:rsid w:val="00FB7F82"/>
    <w:rsid w:val="00FC0DAF"/>
    <w:rsid w:val="00FC11F5"/>
    <w:rsid w:val="00FC126D"/>
    <w:rsid w:val="00FC12C7"/>
    <w:rsid w:val="00FC3387"/>
    <w:rsid w:val="00FC382F"/>
    <w:rsid w:val="00FC4236"/>
    <w:rsid w:val="00FC615D"/>
    <w:rsid w:val="00FC6F95"/>
    <w:rsid w:val="00FD0058"/>
    <w:rsid w:val="00FD01CC"/>
    <w:rsid w:val="00FD08AF"/>
    <w:rsid w:val="00FD1E7A"/>
    <w:rsid w:val="00FD2672"/>
    <w:rsid w:val="00FD28F4"/>
    <w:rsid w:val="00FD2CE2"/>
    <w:rsid w:val="00FD4A1E"/>
    <w:rsid w:val="00FD5995"/>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1023CEE"/>
  <w15:docId w15:val="{FDBE6BC3-DE33-4D1A-8E80-9D263A13F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673C4B"/>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edocs/mdocs/cws/en/cws_8/cws_8_item_1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am\Desktop\arabic%20mond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722E1-8810-49DE-95BF-EA97E4A67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arabic monday.dotm</Template>
  <TotalTime>5</TotalTime>
  <Pages>3</Pages>
  <Words>656</Words>
  <Characters>3793</Characters>
  <Application>Microsoft Office Word</Application>
  <DocSecurity>0</DocSecurity>
  <Lines>31</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SCCR/40/ (Arabic)</vt:lpstr>
      <vt:lpstr>SCCR/40/ (Arabic)</vt:lpstr>
    </vt:vector>
  </TitlesOfParts>
  <Company>World Intellectual Property Organization</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CWS/8/10 (Arabic)</dc:title>
  <dc:creator>Mariam</dc:creator>
  <cp:lastModifiedBy>YOUSSEF Randa</cp:lastModifiedBy>
  <cp:revision>5</cp:revision>
  <cp:lastPrinted>2020-11-02T18:42:00Z</cp:lastPrinted>
  <dcterms:created xsi:type="dcterms:W3CDTF">2020-11-02T18:38:00Z</dcterms:created>
  <dcterms:modified xsi:type="dcterms:W3CDTF">2020-11-02T18:43:00Z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92cb7b57-bcf6-476d-a1bf-06c0278a8b81</vt:lpwstr>
  </property>
</Properties>
</file>