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F468A2" w:rsidRPr="00F468A2" w:rsidTr="00B6101C">
        <w:tc>
          <w:tcPr>
            <w:tcW w:w="4843" w:type="dxa"/>
            <w:tcBorders>
              <w:bottom w:val="single" w:sz="4" w:space="0" w:color="auto"/>
            </w:tcBorders>
          </w:tcPr>
          <w:p w:rsidR="00584DE9" w:rsidRPr="00F468A2" w:rsidRDefault="00584DE9" w:rsidP="001F47A1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Pr="00F468A2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F468A2">
              <w:rPr>
                <w:noProof/>
              </w:rPr>
              <w:drawing>
                <wp:inline distT="0" distB="0" distL="0" distR="0" wp14:anchorId="3FC1E4DB" wp14:editId="0C757E5A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F468A2" w:rsidRDefault="001667B6" w:rsidP="001667B6">
            <w:pPr>
              <w:rPr>
                <w:b/>
                <w:bCs/>
                <w:sz w:val="40"/>
                <w:szCs w:val="40"/>
              </w:rPr>
            </w:pPr>
            <w:r w:rsidRPr="00F468A2"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F468A2" w:rsidRPr="00F468A2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F468A2" w:rsidRDefault="00C2761A" w:rsidP="004F6B69">
            <w:pPr>
              <w:pStyle w:val="DocumentCodeAR"/>
              <w:bidi/>
              <w:rPr>
                <w:rtl/>
              </w:rPr>
            </w:pPr>
            <w:r>
              <w:t>CWS</w:t>
            </w:r>
            <w:r w:rsidR="00065ED1">
              <w:t>/</w:t>
            </w:r>
            <w:r>
              <w:t>5</w:t>
            </w:r>
            <w:r w:rsidR="00B6101C" w:rsidRPr="00F468A2">
              <w:t>/</w:t>
            </w:r>
            <w:r w:rsidR="004F6B69">
              <w:t>6</w:t>
            </w:r>
          </w:p>
        </w:tc>
      </w:tr>
      <w:tr w:rsidR="00F468A2" w:rsidRPr="00F468A2" w:rsidTr="00BF164F">
        <w:tc>
          <w:tcPr>
            <w:tcW w:w="9571" w:type="dxa"/>
            <w:gridSpan w:val="3"/>
          </w:tcPr>
          <w:p w:rsidR="001667B6" w:rsidRPr="00F468A2" w:rsidRDefault="00F27A7C" w:rsidP="004F6B69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4F6B69">
              <w:rPr>
                <w:rFonts w:hint="cs"/>
                <w:rtl/>
              </w:rPr>
              <w:t>بالإنكليزية</w:t>
            </w:r>
          </w:p>
        </w:tc>
      </w:tr>
      <w:tr w:rsidR="001667B6" w:rsidRPr="00F468A2" w:rsidTr="00BF164F">
        <w:tc>
          <w:tcPr>
            <w:tcW w:w="9571" w:type="dxa"/>
            <w:gridSpan w:val="3"/>
          </w:tcPr>
          <w:p w:rsidR="001667B6" w:rsidRPr="00F468A2" w:rsidRDefault="00B6101C" w:rsidP="004F6B69">
            <w:pPr>
              <w:pStyle w:val="DocumentDateAR"/>
              <w:bidi/>
              <w:rPr>
                <w:rtl/>
              </w:rPr>
            </w:pPr>
            <w:r w:rsidRPr="00F468A2">
              <w:rPr>
                <w:rFonts w:hint="cs"/>
                <w:rtl/>
              </w:rPr>
              <w:t xml:space="preserve">التاريخ: </w:t>
            </w:r>
            <w:r w:rsidR="004F6B69">
              <w:rPr>
                <w:rFonts w:hint="cs"/>
                <w:rtl/>
              </w:rPr>
              <w:t>21</w:t>
            </w:r>
            <w:r w:rsidR="0024328E" w:rsidRPr="00B6101C">
              <w:rPr>
                <w:rFonts w:hint="cs"/>
                <w:rtl/>
              </w:rPr>
              <w:t xml:space="preserve"> </w:t>
            </w:r>
            <w:r w:rsidR="004F6B69">
              <w:rPr>
                <w:rFonts w:hint="cs"/>
                <w:rtl/>
              </w:rPr>
              <w:t>أبريل</w:t>
            </w:r>
            <w:r w:rsidR="0024328E" w:rsidRPr="00B6101C">
              <w:rPr>
                <w:rFonts w:hint="cs"/>
                <w:rtl/>
              </w:rPr>
              <w:t xml:space="preserve"> </w:t>
            </w:r>
            <w:r w:rsidR="008D5779" w:rsidRPr="00F468A2">
              <w:rPr>
                <w:rFonts w:hint="cs"/>
                <w:rtl/>
              </w:rPr>
              <w:t>201</w:t>
            </w:r>
            <w:r w:rsidR="006E3DBD" w:rsidRPr="00F468A2">
              <w:rPr>
                <w:rFonts w:hint="cs"/>
                <w:rtl/>
              </w:rPr>
              <w:t>7</w:t>
            </w:r>
          </w:p>
        </w:tc>
      </w:tr>
    </w:tbl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Pr="007828FF" w:rsidRDefault="00C2761A" w:rsidP="00C2761A">
      <w:pPr>
        <w:pStyle w:val="MeetingTitleAR"/>
        <w:bidi/>
        <w:ind w:right="550"/>
        <w:rPr>
          <w:rtl/>
        </w:rPr>
      </w:pPr>
      <w:r w:rsidRPr="007828FF">
        <w:rPr>
          <w:rtl/>
        </w:rPr>
        <w:t>اللجنة المعنية بمعايير الويبو</w:t>
      </w:r>
    </w:p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Pr="00783D11" w:rsidRDefault="00C2761A" w:rsidP="00C2761A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>
        <w:rPr>
          <w:rFonts w:ascii="Cambria Math" w:hAnsi="Cambria Math" w:hint="cs"/>
          <w:rtl/>
        </w:rPr>
        <w:t>الخامسة</w:t>
      </w:r>
    </w:p>
    <w:p w:rsidR="00C2761A" w:rsidRPr="00D61541" w:rsidRDefault="00C2761A" w:rsidP="00C2761A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>
        <w:rPr>
          <w:rFonts w:hint="cs"/>
          <w:rtl/>
        </w:rPr>
        <w:t>29 مايو إلى 2 يونيو 2017</w:t>
      </w:r>
    </w:p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Pr="00D61541" w:rsidRDefault="00CB2041" w:rsidP="00CB2041">
      <w:pPr>
        <w:pStyle w:val="DocumentTitleAR"/>
        <w:bidi/>
        <w:rPr>
          <w:rtl/>
        </w:rPr>
      </w:pPr>
      <w:r w:rsidRPr="00CB2041">
        <w:rPr>
          <w:rtl/>
        </w:rPr>
        <w:t>مراجعة معيار الويبو </w:t>
      </w:r>
      <w:r w:rsidRPr="001F47A1">
        <w:t>ST.26</w:t>
      </w:r>
    </w:p>
    <w:p w:rsidR="00CB2041" w:rsidRDefault="00CB2041" w:rsidP="00CB2041">
      <w:pPr>
        <w:pStyle w:val="PreparedbyAR"/>
        <w:bidi/>
        <w:rPr>
          <w:rtl/>
        </w:rPr>
      </w:pPr>
      <w:r>
        <w:rPr>
          <w:rFonts w:hint="cs"/>
          <w:rtl/>
        </w:rPr>
        <w:t xml:space="preserve">وثيقة </w:t>
      </w:r>
      <w:r w:rsidR="00C2761A" w:rsidRPr="00D61541">
        <w:rPr>
          <w:rFonts w:hint="cs"/>
          <w:rtl/>
        </w:rPr>
        <w:t xml:space="preserve">من </w:t>
      </w:r>
      <w:r w:rsidR="00C2761A"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C2761A" w:rsidRDefault="00793016" w:rsidP="0013409A">
      <w:pPr>
        <w:pStyle w:val="NumberedParaAR"/>
      </w:pPr>
      <w:r>
        <w:rPr>
          <w:rFonts w:hint="cs"/>
          <w:rtl/>
        </w:rPr>
        <w:t xml:space="preserve">اعتمدت </w:t>
      </w:r>
      <w:r w:rsidRPr="00CB2041">
        <w:rPr>
          <w:rtl/>
        </w:rPr>
        <w:t xml:space="preserve">اللجنة المعنية بمعايير الويبو (لجنة المعايير) </w:t>
      </w:r>
      <w:r>
        <w:rPr>
          <w:rtl/>
        </w:rPr>
        <w:t xml:space="preserve">في </w:t>
      </w:r>
      <w:r w:rsidR="00CB2041" w:rsidRPr="00CB2041">
        <w:rPr>
          <w:rtl/>
        </w:rPr>
        <w:t>دور</w:t>
      </w:r>
      <w:r>
        <w:rPr>
          <w:rFonts w:hint="cs"/>
          <w:rtl/>
        </w:rPr>
        <w:t>تها</w:t>
      </w:r>
      <w:r w:rsidR="00CB2041" w:rsidRPr="00CB2041">
        <w:rPr>
          <w:rtl/>
        </w:rPr>
        <w:t xml:space="preserve"> الراب</w:t>
      </w:r>
      <w:r>
        <w:rPr>
          <w:rtl/>
        </w:rPr>
        <w:t>عة المجتمعة مجدّدا في مارس 2016</w:t>
      </w:r>
      <w:r>
        <w:rPr>
          <w:rFonts w:hint="cs"/>
          <w:rtl/>
        </w:rPr>
        <w:t xml:space="preserve"> معيار</w:t>
      </w:r>
      <w:r w:rsidR="00971051">
        <w:rPr>
          <w:rFonts w:hint="eastAsia"/>
          <w:rtl/>
        </w:rPr>
        <w:t> </w:t>
      </w:r>
      <w:r>
        <w:rPr>
          <w:rFonts w:hint="cs"/>
          <w:rtl/>
        </w:rPr>
        <w:t>الويبو</w:t>
      </w:r>
      <w:r w:rsidR="00971051">
        <w:rPr>
          <w:rFonts w:hint="eastAsia"/>
          <w:rtl/>
        </w:rPr>
        <w:t> </w:t>
      </w:r>
      <w:r w:rsidRPr="00CB2041">
        <w:t>ST.</w:t>
      </w:r>
      <w:r w:rsidR="00711A3E" w:rsidRPr="00916507">
        <w:t>26</w:t>
      </w:r>
      <w:r w:rsidR="00CB2041" w:rsidRPr="00CB2041">
        <w:rPr>
          <w:rtl/>
        </w:rPr>
        <w:t xml:space="preserve"> "</w:t>
      </w:r>
      <w:r w:rsidR="002E2617">
        <w:rPr>
          <w:rFonts w:hint="cs"/>
          <w:rtl/>
        </w:rPr>
        <w:t>ت</w:t>
      </w:r>
      <w:r w:rsidR="002E2617" w:rsidRPr="002E2617">
        <w:rPr>
          <w:rtl/>
        </w:rPr>
        <w:t>وصية بشأن عرض قوائم تسلسل النوويدات والأحماض الأمينية باستخدام لغة الترميز الموسعة</w:t>
      </w:r>
      <w:r w:rsidR="00971051">
        <w:rPr>
          <w:rFonts w:hint="cs"/>
          <w:rtl/>
        </w:rPr>
        <w:t> </w:t>
      </w:r>
      <w:r w:rsidR="002E2617" w:rsidRPr="002E2617">
        <w:rPr>
          <w:rtl/>
        </w:rPr>
        <w:t>(</w:t>
      </w:r>
      <w:r w:rsidR="002E2617" w:rsidRPr="002E2617">
        <w:t>XML</w:t>
      </w:r>
      <w:r w:rsidR="002E2617" w:rsidRPr="002E2617">
        <w:rPr>
          <w:rtl/>
        </w:rPr>
        <w:t>)"</w:t>
      </w:r>
      <w:r w:rsidR="002E2617">
        <w:rPr>
          <w:rFonts w:hint="cs"/>
          <w:rtl/>
        </w:rPr>
        <w:t xml:space="preserve">. </w:t>
      </w:r>
      <w:r w:rsidR="00916507">
        <w:rPr>
          <w:rFonts w:hint="cs"/>
          <w:rtl/>
        </w:rPr>
        <w:t xml:space="preserve">وبناءً على ذلك، </w:t>
      </w:r>
      <w:r w:rsidR="00916507" w:rsidRPr="00916507">
        <w:rPr>
          <w:rtl/>
        </w:rPr>
        <w:t xml:space="preserve">اتفقت </w:t>
      </w:r>
      <w:r w:rsidR="00916507">
        <w:rPr>
          <w:rtl/>
        </w:rPr>
        <w:t>لجنة المعايير</w:t>
      </w:r>
      <w:r w:rsidR="00916507" w:rsidRPr="00916507">
        <w:rPr>
          <w:rtl/>
        </w:rPr>
        <w:t xml:space="preserve"> على الوصف المعدّل للمهمة 44: "إعداد توصيات بشأن أحكام الانتقال من المعيار </w:t>
      </w:r>
      <w:r w:rsidR="00916507" w:rsidRPr="00916507">
        <w:t>ST.25</w:t>
      </w:r>
      <w:r w:rsidR="00916507" w:rsidRPr="00916507">
        <w:rPr>
          <w:rtl/>
        </w:rPr>
        <w:t xml:space="preserve"> إلى المعيار </w:t>
      </w:r>
      <w:r w:rsidR="00916507" w:rsidRPr="00916507">
        <w:t>ST.26</w:t>
      </w:r>
      <w:r w:rsidR="00916507" w:rsidRPr="00916507">
        <w:rPr>
          <w:rtl/>
        </w:rPr>
        <w:t>؛ واقتراح مراجعة معيار الويبو </w:t>
      </w:r>
      <w:r w:rsidR="00916507" w:rsidRPr="00916507">
        <w:t>ST.26</w:t>
      </w:r>
      <w:r w:rsidR="00916507" w:rsidRPr="00916507">
        <w:rPr>
          <w:rtl/>
        </w:rPr>
        <w:t xml:space="preserve">، </w:t>
      </w:r>
      <w:r w:rsidR="0013409A">
        <w:rPr>
          <w:rFonts w:hint="cs"/>
          <w:rtl/>
        </w:rPr>
        <w:t>إذا لزم الأمر</w:t>
      </w:r>
      <w:r w:rsidR="00916507" w:rsidRPr="00916507">
        <w:rPr>
          <w:rtl/>
        </w:rPr>
        <w:t>"</w:t>
      </w:r>
      <w:r w:rsidR="00596D3A">
        <w:rPr>
          <w:rFonts w:hint="cs"/>
          <w:rtl/>
        </w:rPr>
        <w:t xml:space="preserve"> (انظر الفقرات من 49</w:t>
      </w:r>
      <w:r w:rsidR="002B5496">
        <w:rPr>
          <w:rFonts w:hint="eastAsia"/>
          <w:rtl/>
        </w:rPr>
        <w:t> </w:t>
      </w:r>
      <w:r w:rsidR="00596D3A">
        <w:rPr>
          <w:rFonts w:hint="cs"/>
          <w:rtl/>
        </w:rPr>
        <w:t xml:space="preserve">إلى 53 ومن 82 إلى 84 من الوثيقة </w:t>
      </w:r>
      <w:r w:rsidR="00596D3A">
        <w:t>CWS/4BIS/16</w:t>
      </w:r>
      <w:r w:rsidR="00596D3A">
        <w:rPr>
          <w:rFonts w:hint="cs"/>
          <w:rtl/>
        </w:rPr>
        <w:t>)</w:t>
      </w:r>
      <w:r w:rsidR="00916507" w:rsidRPr="00916507">
        <w:rPr>
          <w:rtl/>
        </w:rPr>
        <w:t>.</w:t>
      </w:r>
    </w:p>
    <w:p w:rsidR="000931F9" w:rsidRDefault="00711A3E" w:rsidP="00A543C7">
      <w:pPr>
        <w:pStyle w:val="NumberedParaAR"/>
      </w:pPr>
      <w:r>
        <w:rPr>
          <w:rFonts w:hint="cs"/>
          <w:rtl/>
        </w:rPr>
        <w:t xml:space="preserve">وفي إطار الوصف الجديد للمهمة 44، أجرت </w:t>
      </w:r>
      <w:r w:rsidRPr="00711A3E">
        <w:rPr>
          <w:rtl/>
        </w:rPr>
        <w:t>فرقة العمل المعنية بقوائم التسلسل</w:t>
      </w:r>
      <w:r>
        <w:rPr>
          <w:rFonts w:hint="cs"/>
          <w:rtl/>
        </w:rPr>
        <w:t xml:space="preserve"> مناقشات بشأن </w:t>
      </w:r>
      <w:r w:rsidR="00A543C7">
        <w:rPr>
          <w:rFonts w:hint="cs"/>
          <w:rtl/>
        </w:rPr>
        <w:t>مراجعة معيار الويبو</w:t>
      </w:r>
      <w:r>
        <w:rPr>
          <w:rFonts w:hint="cs"/>
          <w:rtl/>
        </w:rPr>
        <w:t xml:space="preserve"> </w:t>
      </w:r>
      <w:r w:rsidRPr="00916507">
        <w:t>ST.26</w:t>
      </w:r>
      <w:r>
        <w:rPr>
          <w:rFonts w:hint="cs"/>
          <w:rtl/>
        </w:rPr>
        <w:t xml:space="preserve">؛ وقدّم </w:t>
      </w:r>
      <w:r w:rsidR="00A543C7">
        <w:rPr>
          <w:rFonts w:hint="cs"/>
          <w:rtl/>
        </w:rPr>
        <w:t>ال</w:t>
      </w:r>
      <w:r>
        <w:rPr>
          <w:rFonts w:hint="cs"/>
          <w:rtl/>
        </w:rPr>
        <w:t>م</w:t>
      </w:r>
      <w:r w:rsidRPr="00711A3E">
        <w:rPr>
          <w:rtl/>
        </w:rPr>
        <w:t xml:space="preserve">كتب الأوروبي للبراءات بصفته المشرف على فرقة العمل </w:t>
      </w:r>
      <w:r>
        <w:rPr>
          <w:rFonts w:hint="cs"/>
          <w:rtl/>
        </w:rPr>
        <w:t xml:space="preserve">تقريراً مرحلياً عن العمل الذي اضطلعت به الفرقة </w:t>
      </w:r>
      <w:r w:rsidR="000931F9">
        <w:rPr>
          <w:rFonts w:hint="cs"/>
          <w:rtl/>
        </w:rPr>
        <w:t xml:space="preserve">يرد في المرفق </w:t>
      </w:r>
      <w:r w:rsidR="001E0720">
        <w:rPr>
          <w:rFonts w:hint="cs"/>
          <w:rtl/>
        </w:rPr>
        <w:t>الأول</w:t>
      </w:r>
      <w:r w:rsidR="000931F9">
        <w:rPr>
          <w:rFonts w:hint="cs"/>
          <w:rtl/>
        </w:rPr>
        <w:t xml:space="preserve"> لهذه الوثيقة. </w:t>
      </w:r>
    </w:p>
    <w:p w:rsidR="001E0720" w:rsidRDefault="000931F9" w:rsidP="002B5496">
      <w:pPr>
        <w:pStyle w:val="NumberedParaAR"/>
      </w:pPr>
      <w:r>
        <w:rPr>
          <w:rFonts w:hint="cs"/>
          <w:rtl/>
        </w:rPr>
        <w:t xml:space="preserve">وتمخّض عن هذه المناقشات اقتراح نهائي </w:t>
      </w:r>
      <w:r w:rsidR="007459BB">
        <w:rPr>
          <w:rFonts w:hint="cs"/>
          <w:rtl/>
        </w:rPr>
        <w:t>لمراجعة</w:t>
      </w:r>
      <w:r w:rsidR="000265B8">
        <w:rPr>
          <w:rFonts w:hint="cs"/>
          <w:rtl/>
        </w:rPr>
        <w:t xml:space="preserve"> المعيار </w:t>
      </w:r>
      <w:r w:rsidR="000265B8" w:rsidRPr="00916507">
        <w:t>ST.26</w:t>
      </w:r>
      <w:r w:rsidR="000265B8">
        <w:rPr>
          <w:rFonts w:hint="cs"/>
          <w:rtl/>
        </w:rPr>
        <w:t xml:space="preserve"> يتضمن تعديلات على المتن الرئيسي للمعيار ومرفقاته من </w:t>
      </w:r>
      <w:r w:rsidR="00F82DFB">
        <w:rPr>
          <w:rFonts w:hint="cs"/>
          <w:rtl/>
        </w:rPr>
        <w:t xml:space="preserve">المرفق </w:t>
      </w:r>
      <w:r w:rsidR="001E0720">
        <w:rPr>
          <w:rFonts w:hint="cs"/>
          <w:rtl/>
        </w:rPr>
        <w:t>الأول</w:t>
      </w:r>
      <w:r w:rsidR="000265B8">
        <w:rPr>
          <w:rFonts w:hint="cs"/>
          <w:rtl/>
        </w:rPr>
        <w:t xml:space="preserve"> إلى </w:t>
      </w:r>
      <w:r w:rsidR="00F82DFB">
        <w:rPr>
          <w:rFonts w:hint="cs"/>
          <w:rtl/>
        </w:rPr>
        <w:t>المرفق الثالث</w:t>
      </w:r>
      <w:r w:rsidR="000265B8">
        <w:rPr>
          <w:rFonts w:hint="cs"/>
          <w:rtl/>
        </w:rPr>
        <w:t>، إضافة إلى</w:t>
      </w:r>
      <w:r w:rsidR="007459BB">
        <w:rPr>
          <w:rFonts w:hint="cs"/>
          <w:rtl/>
        </w:rPr>
        <w:t xml:space="preserve"> مرفق سادس جديد (وثيقة إرشادية)، </w:t>
      </w:r>
      <w:r w:rsidR="000265B8">
        <w:rPr>
          <w:rFonts w:hint="cs"/>
          <w:rtl/>
        </w:rPr>
        <w:t>رفعت</w:t>
      </w:r>
      <w:r w:rsidR="007459BB">
        <w:rPr>
          <w:rFonts w:hint="cs"/>
          <w:rtl/>
        </w:rPr>
        <w:t>ه</w:t>
      </w:r>
      <w:r w:rsidR="000265B8">
        <w:rPr>
          <w:rFonts w:hint="cs"/>
          <w:rtl/>
        </w:rPr>
        <w:t xml:space="preserve"> فرقة العمل إلى لجنة المعايير لتنظر فيه وتعتمده، حسب الاقتضاء. وتجدر الإشارة إلى أن المرفقين </w:t>
      </w:r>
      <w:r w:rsidR="00F82DFB">
        <w:rPr>
          <w:rFonts w:hint="cs"/>
          <w:rtl/>
        </w:rPr>
        <w:t>الرابع</w:t>
      </w:r>
      <w:r w:rsidR="000265B8">
        <w:rPr>
          <w:rFonts w:hint="cs"/>
          <w:rtl/>
        </w:rPr>
        <w:t xml:space="preserve"> و</w:t>
      </w:r>
      <w:r w:rsidR="00F82DFB">
        <w:rPr>
          <w:rFonts w:hint="cs"/>
          <w:rtl/>
        </w:rPr>
        <w:t>الخامس</w:t>
      </w:r>
      <w:r w:rsidR="000265B8">
        <w:rPr>
          <w:rFonts w:hint="cs"/>
          <w:rtl/>
        </w:rPr>
        <w:t xml:space="preserve"> </w:t>
      </w:r>
      <w:r w:rsidR="00150CE6">
        <w:rPr>
          <w:rFonts w:hint="cs"/>
          <w:rtl/>
        </w:rPr>
        <w:t xml:space="preserve">للمعيار </w:t>
      </w:r>
      <w:r w:rsidR="00150CE6" w:rsidRPr="00916507">
        <w:t>ST.26</w:t>
      </w:r>
      <w:r w:rsidR="00150CE6">
        <w:rPr>
          <w:rFonts w:hint="cs"/>
          <w:rtl/>
        </w:rPr>
        <w:t xml:space="preserve"> يبقيان في صيغتهما الأولية (</w:t>
      </w:r>
      <w:r w:rsidR="00606C14">
        <w:rPr>
          <w:rFonts w:hint="cs"/>
          <w:rtl/>
        </w:rPr>
        <w:t>لذا ف</w:t>
      </w:r>
      <w:r w:rsidR="00150CE6">
        <w:rPr>
          <w:rFonts w:hint="cs"/>
          <w:rtl/>
        </w:rPr>
        <w:t xml:space="preserve">هما غير مرفقين بهذه الوثيقة). </w:t>
      </w:r>
      <w:r w:rsidR="00460277">
        <w:rPr>
          <w:rFonts w:hint="cs"/>
          <w:rtl/>
        </w:rPr>
        <w:t>وت</w:t>
      </w:r>
      <w:r w:rsidR="00DC428C">
        <w:rPr>
          <w:rFonts w:hint="cs"/>
          <w:rtl/>
        </w:rPr>
        <w:t xml:space="preserve">رد </w:t>
      </w:r>
      <w:r w:rsidR="00460277">
        <w:rPr>
          <w:rFonts w:hint="cs"/>
          <w:rtl/>
        </w:rPr>
        <w:t>المراجعة</w:t>
      </w:r>
      <w:r w:rsidR="00DC428C">
        <w:rPr>
          <w:rFonts w:hint="cs"/>
          <w:rtl/>
        </w:rPr>
        <w:t xml:space="preserve"> المقترح</w:t>
      </w:r>
      <w:r w:rsidR="00460277">
        <w:rPr>
          <w:rFonts w:hint="cs"/>
          <w:rtl/>
        </w:rPr>
        <w:t>ة</w:t>
      </w:r>
      <w:r w:rsidR="00DC428C">
        <w:rPr>
          <w:rFonts w:hint="cs"/>
          <w:rtl/>
        </w:rPr>
        <w:t xml:space="preserve"> لمتن المعيار </w:t>
      </w:r>
      <w:r w:rsidR="00DC428C" w:rsidRPr="00916507">
        <w:t>ST.26</w:t>
      </w:r>
      <w:r w:rsidR="00DC428C">
        <w:rPr>
          <w:rFonts w:hint="cs"/>
          <w:rtl/>
        </w:rPr>
        <w:t xml:space="preserve"> الرئيسي ومرفقيه </w:t>
      </w:r>
      <w:r w:rsidR="00F82DFB">
        <w:rPr>
          <w:rFonts w:hint="cs"/>
          <w:rtl/>
        </w:rPr>
        <w:t>الأول</w:t>
      </w:r>
      <w:r w:rsidR="00DC428C">
        <w:rPr>
          <w:rFonts w:hint="cs"/>
          <w:rtl/>
        </w:rPr>
        <w:t xml:space="preserve"> و</w:t>
      </w:r>
      <w:r w:rsidR="00F82DFB">
        <w:rPr>
          <w:rFonts w:hint="cs"/>
          <w:rtl/>
        </w:rPr>
        <w:t>الثاني</w:t>
      </w:r>
      <w:r w:rsidR="00DC428C">
        <w:rPr>
          <w:rFonts w:hint="cs"/>
          <w:rtl/>
        </w:rPr>
        <w:t xml:space="preserve"> (المسميان المرفق </w:t>
      </w:r>
      <w:r w:rsidR="00F82DFB">
        <w:rPr>
          <w:rFonts w:hint="cs"/>
          <w:rtl/>
        </w:rPr>
        <w:t>الأول</w:t>
      </w:r>
      <w:r w:rsidR="00DC428C">
        <w:rPr>
          <w:rFonts w:hint="cs"/>
          <w:rtl/>
        </w:rPr>
        <w:t xml:space="preserve"> للمعيار </w:t>
      </w:r>
      <w:r w:rsidR="00DC428C" w:rsidRPr="00916507">
        <w:t>ST.26</w:t>
      </w:r>
      <w:r w:rsidR="00DC428C">
        <w:rPr>
          <w:rFonts w:hint="cs"/>
          <w:rtl/>
        </w:rPr>
        <w:t xml:space="preserve"> والمرفق </w:t>
      </w:r>
      <w:r w:rsidR="00F82DFB">
        <w:rPr>
          <w:rFonts w:hint="cs"/>
          <w:rtl/>
        </w:rPr>
        <w:t>الثاني</w:t>
      </w:r>
      <w:r w:rsidR="00DC428C">
        <w:rPr>
          <w:rFonts w:hint="cs"/>
          <w:rtl/>
        </w:rPr>
        <w:t xml:space="preserve"> للمعيار </w:t>
      </w:r>
      <w:r w:rsidR="00DC428C" w:rsidRPr="00916507">
        <w:t>ST.26</w:t>
      </w:r>
      <w:r w:rsidR="00DC428C">
        <w:rPr>
          <w:rFonts w:hint="cs"/>
          <w:rtl/>
        </w:rPr>
        <w:t xml:space="preserve">) في المرفق </w:t>
      </w:r>
      <w:r w:rsidR="00460277">
        <w:rPr>
          <w:rFonts w:hint="cs"/>
          <w:rtl/>
        </w:rPr>
        <w:t>الثاني</w:t>
      </w:r>
      <w:r w:rsidR="00DC428C">
        <w:rPr>
          <w:rFonts w:hint="cs"/>
          <w:rtl/>
        </w:rPr>
        <w:t xml:space="preserve"> لهذه الوثيقة؛ وبخصوص المرفق </w:t>
      </w:r>
      <w:r w:rsidR="00460277">
        <w:rPr>
          <w:rFonts w:hint="cs"/>
          <w:rtl/>
        </w:rPr>
        <w:t xml:space="preserve">الثالث </w:t>
      </w:r>
      <w:r w:rsidR="00DC428C">
        <w:rPr>
          <w:rFonts w:hint="cs"/>
          <w:rtl/>
        </w:rPr>
        <w:t>للمعيار</w:t>
      </w:r>
      <w:r w:rsidR="002B5496">
        <w:rPr>
          <w:rFonts w:hint="eastAsia"/>
          <w:rtl/>
        </w:rPr>
        <w:t> </w:t>
      </w:r>
      <w:r w:rsidR="00DC428C" w:rsidRPr="00916507">
        <w:t>ST.26</w:t>
      </w:r>
      <w:r w:rsidR="00DC428C">
        <w:rPr>
          <w:rFonts w:hint="cs"/>
          <w:rtl/>
        </w:rPr>
        <w:t>، تقترح فرقة العمل تغيير رموز اللغات المؤلفة من حرفين من أحرف كبيرة إلى أحرف صغيرة لمواءمته</w:t>
      </w:r>
      <w:r w:rsidR="00914DCB">
        <w:rPr>
          <w:rFonts w:hint="cs"/>
          <w:rtl/>
        </w:rPr>
        <w:t>ا</w:t>
      </w:r>
      <w:r w:rsidR="00DC428C">
        <w:rPr>
          <w:rFonts w:hint="cs"/>
          <w:rtl/>
        </w:rPr>
        <w:t xml:space="preserve"> م</w:t>
      </w:r>
      <w:r w:rsidR="00223CE1">
        <w:rPr>
          <w:rFonts w:hint="cs"/>
          <w:rtl/>
        </w:rPr>
        <w:t>ع</w:t>
      </w:r>
      <w:r w:rsidR="00DC428C">
        <w:rPr>
          <w:rFonts w:hint="cs"/>
          <w:rtl/>
        </w:rPr>
        <w:t xml:space="preserve"> رموز الحرفين المحددة في المعيار </w:t>
      </w:r>
      <w:r w:rsidR="00223CE1">
        <w:t>ISO 639</w:t>
      </w:r>
      <w:r w:rsidR="00223CE1">
        <w:rPr>
          <w:rFonts w:hint="cs"/>
          <w:rtl/>
        </w:rPr>
        <w:t>، أي الاستعا</w:t>
      </w:r>
      <w:r w:rsidR="00223CE1">
        <w:rPr>
          <w:rFonts w:hint="eastAsia"/>
          <w:rtl/>
        </w:rPr>
        <w:t>ضة</w:t>
      </w:r>
      <w:r w:rsidR="00223CE1">
        <w:rPr>
          <w:rFonts w:hint="cs"/>
          <w:rtl/>
        </w:rPr>
        <w:t xml:space="preserve"> مثلاً عن رمز اللغة الإنكليزية المؤلف من </w:t>
      </w:r>
      <w:r w:rsidR="001D16CC">
        <w:rPr>
          <w:rFonts w:hint="cs"/>
          <w:rtl/>
        </w:rPr>
        <w:t>ال</w:t>
      </w:r>
      <w:r w:rsidR="00223CE1">
        <w:rPr>
          <w:rFonts w:hint="cs"/>
          <w:rtl/>
        </w:rPr>
        <w:t>حرفين "</w:t>
      </w:r>
      <w:r w:rsidR="00223CE1" w:rsidRPr="00223CE1">
        <w:t xml:space="preserve"> EN</w:t>
      </w:r>
      <w:r w:rsidR="00223CE1">
        <w:rPr>
          <w:rFonts w:hint="cs"/>
          <w:rtl/>
        </w:rPr>
        <w:t>" بالحرفين "</w:t>
      </w:r>
      <w:r w:rsidR="00223CE1" w:rsidRPr="00223CE1">
        <w:t xml:space="preserve"> </w:t>
      </w:r>
      <w:proofErr w:type="spellStart"/>
      <w:r w:rsidR="00223CE1">
        <w:t>en</w:t>
      </w:r>
      <w:proofErr w:type="spellEnd"/>
      <w:r w:rsidR="00223CE1">
        <w:rPr>
          <w:rFonts w:hint="cs"/>
          <w:rtl/>
        </w:rPr>
        <w:t xml:space="preserve">". </w:t>
      </w:r>
      <w:r w:rsidR="001E0720">
        <w:rPr>
          <w:rFonts w:hint="cs"/>
          <w:rtl/>
        </w:rPr>
        <w:t xml:space="preserve">وتجدر الإشارة إلى أنه في حال اعتمدت لجنة المعايير </w:t>
      </w:r>
      <w:r w:rsidR="00460277">
        <w:rPr>
          <w:rFonts w:hint="cs"/>
          <w:rtl/>
        </w:rPr>
        <w:t>المراجعة</w:t>
      </w:r>
      <w:r w:rsidR="001E0720">
        <w:rPr>
          <w:rFonts w:hint="cs"/>
          <w:rtl/>
        </w:rPr>
        <w:t xml:space="preserve"> المقترح</w:t>
      </w:r>
      <w:r w:rsidR="00460277">
        <w:rPr>
          <w:rFonts w:hint="cs"/>
          <w:rtl/>
        </w:rPr>
        <w:t>ة</w:t>
      </w:r>
      <w:r w:rsidR="001E0720">
        <w:rPr>
          <w:rFonts w:hint="cs"/>
          <w:rtl/>
        </w:rPr>
        <w:t xml:space="preserve">، ستكون النسخة الجديدة من المعيار </w:t>
      </w:r>
      <w:r w:rsidR="001E0720" w:rsidRPr="00916507">
        <w:t>ST.26</w:t>
      </w:r>
      <w:r w:rsidR="001E0720">
        <w:rPr>
          <w:rFonts w:hint="cs"/>
          <w:rtl/>
        </w:rPr>
        <w:t xml:space="preserve">، النسخة 1.1 (المرفق </w:t>
      </w:r>
      <w:r w:rsidR="00460277">
        <w:rPr>
          <w:rFonts w:hint="cs"/>
          <w:rtl/>
        </w:rPr>
        <w:t>الثالث</w:t>
      </w:r>
      <w:r w:rsidR="001E0720">
        <w:rPr>
          <w:rFonts w:hint="cs"/>
          <w:rtl/>
        </w:rPr>
        <w:t xml:space="preserve"> من المعيار </w:t>
      </w:r>
      <w:r w:rsidR="001E0720" w:rsidRPr="00916507">
        <w:t>ST.26</w:t>
      </w:r>
      <w:r w:rsidR="00460277">
        <w:rPr>
          <w:rFonts w:hint="cs"/>
          <w:rtl/>
        </w:rPr>
        <w:t xml:space="preserve"> غير مرفق</w:t>
      </w:r>
      <w:r w:rsidR="001E0720">
        <w:rPr>
          <w:rFonts w:hint="cs"/>
          <w:rtl/>
        </w:rPr>
        <w:t xml:space="preserve"> بهذه الوثيقة). </w:t>
      </w:r>
    </w:p>
    <w:p w:rsidR="00B05A47" w:rsidRDefault="00B05A47" w:rsidP="00B05A47">
      <w:pPr>
        <w:pStyle w:val="DecisionParaAR"/>
      </w:pPr>
      <w:r>
        <w:rPr>
          <w:rtl/>
        </w:rPr>
        <w:lastRenderedPageBreak/>
        <w:t>إن لجنة المعايير مدعوة إلى:</w:t>
      </w:r>
    </w:p>
    <w:p w:rsidR="00B05A47" w:rsidRDefault="00B05A47" w:rsidP="00B05A47">
      <w:pPr>
        <w:pStyle w:val="DecisionParaAR"/>
        <w:numPr>
          <w:ilvl w:val="0"/>
          <w:numId w:val="0"/>
        </w:numPr>
        <w:ind w:left="5534" w:firstLine="702"/>
        <w:rPr>
          <w:rtl/>
        </w:rPr>
      </w:pPr>
      <w:r w:rsidRPr="004C709F">
        <w:rPr>
          <w:rtl/>
        </w:rPr>
        <w:t>(أ</w:t>
      </w:r>
      <w:r>
        <w:rPr>
          <w:rtl/>
        </w:rPr>
        <w:t>)</w:t>
      </w:r>
      <w:r>
        <w:rPr>
          <w:rtl/>
        </w:rPr>
        <w:tab/>
        <w:t>الإحاطة علما بمضمون هذه الوثيقة</w:t>
      </w:r>
      <w:r w:rsidR="00AE40E9">
        <w:rPr>
          <w:rFonts w:hint="cs"/>
          <w:rtl/>
        </w:rPr>
        <w:t xml:space="preserve"> وبالتقرير عن عمل</w:t>
      </w:r>
      <w:r w:rsidR="00AE40E9" w:rsidRPr="00AE40E9">
        <w:rPr>
          <w:rtl/>
        </w:rPr>
        <w:t xml:space="preserve"> </w:t>
      </w:r>
      <w:r w:rsidR="00AE40E9" w:rsidRPr="00711A3E">
        <w:rPr>
          <w:rtl/>
        </w:rPr>
        <w:t>فرقة العمل المعنية بقوائم التسلسل</w:t>
      </w:r>
      <w:r w:rsidR="00AE40E9">
        <w:rPr>
          <w:rFonts w:hint="cs"/>
          <w:rtl/>
        </w:rPr>
        <w:t xml:space="preserve"> الوارد في المرفق الأول لهذه الوثيقة</w:t>
      </w:r>
      <w:r>
        <w:rPr>
          <w:rtl/>
        </w:rPr>
        <w:t>؛</w:t>
      </w:r>
    </w:p>
    <w:p w:rsidR="004C709F" w:rsidRDefault="00B05A47" w:rsidP="001946EB">
      <w:pPr>
        <w:pStyle w:val="DecisionParaAR"/>
        <w:numPr>
          <w:ilvl w:val="0"/>
          <w:numId w:val="0"/>
        </w:numPr>
        <w:spacing w:after="0"/>
        <w:ind w:left="5534" w:firstLine="702"/>
        <w:rPr>
          <w:rtl/>
        </w:rPr>
      </w:pPr>
      <w:r>
        <w:rPr>
          <w:rFonts w:hint="cs"/>
          <w:rtl/>
        </w:rPr>
        <w:t>(ب)</w:t>
      </w:r>
      <w:r>
        <w:rPr>
          <w:rFonts w:hint="cs"/>
          <w:rtl/>
        </w:rPr>
        <w:tab/>
      </w:r>
      <w:r w:rsidR="001E0720" w:rsidRPr="001E0720">
        <w:rPr>
          <w:rtl/>
        </w:rPr>
        <w:t xml:space="preserve">النظر في اعتماد </w:t>
      </w:r>
      <w:r w:rsidR="0083229B">
        <w:rPr>
          <w:rFonts w:hint="cs"/>
          <w:rtl/>
        </w:rPr>
        <w:t>المراجعة</w:t>
      </w:r>
      <w:r w:rsidR="001E0720">
        <w:rPr>
          <w:rFonts w:hint="cs"/>
          <w:rtl/>
        </w:rPr>
        <w:t xml:space="preserve"> المقترح</w:t>
      </w:r>
      <w:r w:rsidR="0083229B">
        <w:rPr>
          <w:rFonts w:hint="cs"/>
          <w:rtl/>
        </w:rPr>
        <w:t>ة</w:t>
      </w:r>
      <w:r w:rsidR="001E0720">
        <w:rPr>
          <w:rFonts w:hint="cs"/>
          <w:rtl/>
        </w:rPr>
        <w:t xml:space="preserve"> </w:t>
      </w:r>
      <w:r w:rsidR="001E0720" w:rsidRPr="001E0720">
        <w:rPr>
          <w:rtl/>
        </w:rPr>
        <w:t>لمعيار الويبو</w:t>
      </w:r>
      <w:r w:rsidR="00DC428C">
        <w:rPr>
          <w:rFonts w:hint="cs"/>
          <w:rtl/>
        </w:rPr>
        <w:t xml:space="preserve"> </w:t>
      </w:r>
      <w:r w:rsidR="001E0720" w:rsidRPr="00916507">
        <w:t>ST.26</w:t>
      </w:r>
      <w:r w:rsidR="001E0720">
        <w:rPr>
          <w:rFonts w:hint="cs"/>
          <w:rtl/>
        </w:rPr>
        <w:t>، كما يُشار إليه</w:t>
      </w:r>
      <w:r w:rsidR="0083229B">
        <w:rPr>
          <w:rFonts w:hint="cs"/>
          <w:rtl/>
        </w:rPr>
        <w:t>ا</w:t>
      </w:r>
      <w:r w:rsidR="001E0720">
        <w:rPr>
          <w:rFonts w:hint="cs"/>
          <w:rtl/>
        </w:rPr>
        <w:t xml:space="preserve"> في الفقرة 3 أعلاه وكما </w:t>
      </w:r>
      <w:r w:rsidR="0083229B">
        <w:rPr>
          <w:rFonts w:hint="cs"/>
          <w:rtl/>
        </w:rPr>
        <w:t>ترد</w:t>
      </w:r>
      <w:r w:rsidR="001E0720">
        <w:rPr>
          <w:rFonts w:hint="cs"/>
          <w:rtl/>
        </w:rPr>
        <w:t xml:space="preserve"> في المرفق </w:t>
      </w:r>
      <w:r w:rsidR="0083229B">
        <w:rPr>
          <w:rFonts w:hint="cs"/>
          <w:rtl/>
        </w:rPr>
        <w:t>الثاني</w:t>
      </w:r>
      <w:r w:rsidR="001E0720">
        <w:rPr>
          <w:rFonts w:hint="cs"/>
          <w:rtl/>
        </w:rPr>
        <w:t xml:space="preserve"> لهذه الوثيقة</w:t>
      </w:r>
      <w:r w:rsidR="00936665">
        <w:rPr>
          <w:rFonts w:hint="cs"/>
          <w:rtl/>
        </w:rPr>
        <w:t>، والبتّ في ذلك</w:t>
      </w:r>
      <w:r w:rsidR="001E0720">
        <w:rPr>
          <w:rFonts w:hint="cs"/>
          <w:rtl/>
        </w:rPr>
        <w:t xml:space="preserve">. </w:t>
      </w:r>
    </w:p>
    <w:p w:rsidR="004C709F" w:rsidRDefault="004C709F" w:rsidP="001946EB">
      <w:pPr>
        <w:pStyle w:val="EndofDocumentAR"/>
        <w:spacing w:after="0"/>
        <w:rPr>
          <w:lang w:val="fr-FR"/>
        </w:rPr>
      </w:pPr>
    </w:p>
    <w:p w:rsidR="001946EB" w:rsidRPr="001946EB" w:rsidRDefault="001946EB" w:rsidP="001946EB">
      <w:pPr>
        <w:pStyle w:val="NormalParaAR"/>
        <w:spacing w:after="0"/>
        <w:ind w:left="5534"/>
        <w:rPr>
          <w:lang w:val="fr-FR"/>
        </w:rPr>
      </w:pPr>
      <w:bookmarkStart w:id="2" w:name="_GoBack"/>
      <w:bookmarkEnd w:id="2"/>
    </w:p>
    <w:p w:rsidR="00065ED1" w:rsidRPr="001946EB" w:rsidRDefault="004C709F" w:rsidP="001946EB">
      <w:pPr>
        <w:pStyle w:val="EndofDocumentAR"/>
        <w:spacing w:after="0"/>
        <w:rPr>
          <w:lang w:val="fr-FR" w:bidi="ar-EG"/>
        </w:rPr>
      </w:pPr>
      <w:r>
        <w:rPr>
          <w:rFonts w:hint="cs"/>
          <w:rtl/>
          <w:lang w:bidi="ar-EG"/>
        </w:rPr>
        <w:t>[يلي ذلك المرفق</w:t>
      </w:r>
      <w:r w:rsidR="007A0475">
        <w:rPr>
          <w:rFonts w:hint="cs"/>
          <w:rtl/>
          <w:lang w:bidi="ar-EG"/>
        </w:rPr>
        <w:t xml:space="preserve"> الأول</w:t>
      </w:r>
      <w:r>
        <w:rPr>
          <w:rFonts w:hint="cs"/>
          <w:rtl/>
          <w:lang w:bidi="ar-EG"/>
        </w:rPr>
        <w:t>]</w:t>
      </w:r>
    </w:p>
    <w:sectPr w:rsidR="00065ED1" w:rsidRPr="001946EB" w:rsidSect="00F27A7C">
      <w:headerReference w:type="default" r:id="rId9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414" w:rsidRDefault="008F3414">
      <w:r>
        <w:separator/>
      </w:r>
    </w:p>
  </w:endnote>
  <w:endnote w:type="continuationSeparator" w:id="0">
    <w:p w:rsidR="008F3414" w:rsidRDefault="008F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414" w:rsidRDefault="008F3414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8F3414" w:rsidRDefault="008F3414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C2761A" w:rsidP="00B05A47">
    <w:pPr>
      <w:rPr>
        <w:rtl/>
      </w:rPr>
    </w:pPr>
    <w:r>
      <w:t>CWS</w:t>
    </w:r>
    <w:r w:rsidR="00065ED1">
      <w:t>/</w:t>
    </w:r>
    <w:r>
      <w:t>5</w:t>
    </w:r>
    <w:r w:rsidR="002F77FC">
      <w:t>/</w:t>
    </w:r>
    <w:r w:rsidR="00B05A47">
      <w:t>6</w:t>
    </w:r>
  </w:p>
  <w:p w:rsidR="002F77FC" w:rsidRDefault="00F27A7C" w:rsidP="00D61541">
    <w:pPr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1946EB">
      <w:rPr>
        <w:noProof/>
      </w:rPr>
      <w:t>2</w:t>
    </w:r>
    <w:r>
      <w:rPr>
        <w:noProof/>
      </w:rPr>
      <w:fldChar w:fldCharType="end"/>
    </w:r>
  </w:p>
  <w:p w:rsidR="005677B7" w:rsidRDefault="005677B7" w:rsidP="00D61541"/>
  <w:p w:rsidR="001946EB" w:rsidRDefault="001946EB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CE6132"/>
    <w:multiLevelType w:val="hybridMultilevel"/>
    <w:tmpl w:val="04BE2C88"/>
    <w:lvl w:ilvl="0" w:tplc="684EE662">
      <w:start w:val="1"/>
      <w:numFmt w:val="arabicAlpha"/>
      <w:lvlText w:val="(%1)"/>
      <w:lvlJc w:val="left"/>
      <w:pPr>
        <w:ind w:left="7511" w:hanging="12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16" w:hanging="360"/>
      </w:pPr>
    </w:lvl>
    <w:lvl w:ilvl="2" w:tplc="0409001B" w:tentative="1">
      <w:start w:val="1"/>
      <w:numFmt w:val="lowerRoman"/>
      <w:lvlText w:val="%3."/>
      <w:lvlJc w:val="right"/>
      <w:pPr>
        <w:ind w:left="8036" w:hanging="180"/>
      </w:pPr>
    </w:lvl>
    <w:lvl w:ilvl="3" w:tplc="0409000F" w:tentative="1">
      <w:start w:val="1"/>
      <w:numFmt w:val="decimal"/>
      <w:lvlText w:val="%4."/>
      <w:lvlJc w:val="left"/>
      <w:pPr>
        <w:ind w:left="8756" w:hanging="360"/>
      </w:pPr>
    </w:lvl>
    <w:lvl w:ilvl="4" w:tplc="04090019" w:tentative="1">
      <w:start w:val="1"/>
      <w:numFmt w:val="lowerLetter"/>
      <w:lvlText w:val="%5."/>
      <w:lvlJc w:val="left"/>
      <w:pPr>
        <w:ind w:left="9476" w:hanging="360"/>
      </w:pPr>
    </w:lvl>
    <w:lvl w:ilvl="5" w:tplc="0409001B" w:tentative="1">
      <w:start w:val="1"/>
      <w:numFmt w:val="lowerRoman"/>
      <w:lvlText w:val="%6."/>
      <w:lvlJc w:val="right"/>
      <w:pPr>
        <w:ind w:left="10196" w:hanging="180"/>
      </w:pPr>
    </w:lvl>
    <w:lvl w:ilvl="6" w:tplc="0409000F" w:tentative="1">
      <w:start w:val="1"/>
      <w:numFmt w:val="decimal"/>
      <w:lvlText w:val="%7."/>
      <w:lvlJc w:val="left"/>
      <w:pPr>
        <w:ind w:left="10916" w:hanging="360"/>
      </w:pPr>
    </w:lvl>
    <w:lvl w:ilvl="7" w:tplc="04090019" w:tentative="1">
      <w:start w:val="1"/>
      <w:numFmt w:val="lowerLetter"/>
      <w:lvlText w:val="%8."/>
      <w:lvlJc w:val="left"/>
      <w:pPr>
        <w:ind w:left="11636" w:hanging="360"/>
      </w:pPr>
    </w:lvl>
    <w:lvl w:ilvl="8" w:tplc="0409001B" w:tentative="1">
      <w:start w:val="1"/>
      <w:numFmt w:val="lowerRoman"/>
      <w:lvlText w:val="%9."/>
      <w:lvlJc w:val="right"/>
      <w:pPr>
        <w:ind w:left="12356" w:hanging="180"/>
      </w:pPr>
    </w:lvl>
  </w:abstractNum>
  <w:abstractNum w:abstractNumId="11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2CA5370"/>
    <w:multiLevelType w:val="hybridMultilevel"/>
    <w:tmpl w:val="158ACC10"/>
    <w:lvl w:ilvl="0" w:tplc="15384FCE">
      <w:start w:val="20"/>
      <w:numFmt w:val="bullet"/>
      <w:lvlText w:val=""/>
      <w:lvlJc w:val="left"/>
      <w:pPr>
        <w:ind w:left="1853" w:hanging="360"/>
      </w:pPr>
      <w:rPr>
        <w:rFonts w:ascii="Wingdings" w:eastAsia="Times New Roman" w:hAnsi="Wingdings" w:cs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17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0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5"/>
  </w:num>
  <w:num w:numId="3">
    <w:abstractNumId w:val="11"/>
  </w:num>
  <w:num w:numId="4">
    <w:abstractNumId w:val="19"/>
  </w:num>
  <w:num w:numId="5">
    <w:abstractNumId w:val="8"/>
  </w:num>
  <w:num w:numId="6">
    <w:abstractNumId w:val="20"/>
  </w:num>
  <w:num w:numId="7">
    <w:abstractNumId w:val="14"/>
  </w:num>
  <w:num w:numId="8">
    <w:abstractNumId w:val="18"/>
  </w:num>
  <w:num w:numId="9">
    <w:abstractNumId w:val="17"/>
  </w:num>
  <w:num w:numId="10">
    <w:abstractNumId w:val="21"/>
  </w:num>
  <w:num w:numId="11">
    <w:abstractNumId w:val="1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6"/>
  </w:num>
  <w:num w:numId="22">
    <w:abstractNumId w:val="1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ED1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265B8"/>
    <w:rsid w:val="00031B2C"/>
    <w:rsid w:val="00033D2C"/>
    <w:rsid w:val="00035CE8"/>
    <w:rsid w:val="00036041"/>
    <w:rsid w:val="000362C3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419"/>
    <w:rsid w:val="00063C91"/>
    <w:rsid w:val="000640E7"/>
    <w:rsid w:val="00065ED1"/>
    <w:rsid w:val="00066DC7"/>
    <w:rsid w:val="0006794A"/>
    <w:rsid w:val="00067F31"/>
    <w:rsid w:val="00071138"/>
    <w:rsid w:val="00071160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31F9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4718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07FC9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A05"/>
    <w:rsid w:val="00130FC9"/>
    <w:rsid w:val="001310EE"/>
    <w:rsid w:val="0013191A"/>
    <w:rsid w:val="00131E8F"/>
    <w:rsid w:val="0013409A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0CE6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6EB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6CC"/>
    <w:rsid w:val="001D1EBD"/>
    <w:rsid w:val="001D2184"/>
    <w:rsid w:val="001D24F3"/>
    <w:rsid w:val="001D2678"/>
    <w:rsid w:val="001D2DC4"/>
    <w:rsid w:val="001D6A48"/>
    <w:rsid w:val="001E0720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47A1"/>
    <w:rsid w:val="001F6545"/>
    <w:rsid w:val="001F66B5"/>
    <w:rsid w:val="001F6F36"/>
    <w:rsid w:val="001F76FD"/>
    <w:rsid w:val="002004C0"/>
    <w:rsid w:val="002012F2"/>
    <w:rsid w:val="002014D7"/>
    <w:rsid w:val="002016DE"/>
    <w:rsid w:val="00202F07"/>
    <w:rsid w:val="00203030"/>
    <w:rsid w:val="00203D45"/>
    <w:rsid w:val="00205495"/>
    <w:rsid w:val="00205E10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3CE1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419"/>
    <w:rsid w:val="002412D4"/>
    <w:rsid w:val="0024220D"/>
    <w:rsid w:val="00242BD3"/>
    <w:rsid w:val="00242C02"/>
    <w:rsid w:val="00243155"/>
    <w:rsid w:val="0024328E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786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5496"/>
    <w:rsid w:val="002B6202"/>
    <w:rsid w:val="002C014C"/>
    <w:rsid w:val="002C060C"/>
    <w:rsid w:val="002C0BA6"/>
    <w:rsid w:val="002C12A7"/>
    <w:rsid w:val="002C25B9"/>
    <w:rsid w:val="002C2B6F"/>
    <w:rsid w:val="002C2BC4"/>
    <w:rsid w:val="002C314F"/>
    <w:rsid w:val="002C4AD1"/>
    <w:rsid w:val="002C7D29"/>
    <w:rsid w:val="002D0298"/>
    <w:rsid w:val="002D1662"/>
    <w:rsid w:val="002D1DE5"/>
    <w:rsid w:val="002D323E"/>
    <w:rsid w:val="002D3506"/>
    <w:rsid w:val="002D3670"/>
    <w:rsid w:val="002D4807"/>
    <w:rsid w:val="002D5265"/>
    <w:rsid w:val="002D5DDC"/>
    <w:rsid w:val="002D5F16"/>
    <w:rsid w:val="002D62F1"/>
    <w:rsid w:val="002D6FD8"/>
    <w:rsid w:val="002D727B"/>
    <w:rsid w:val="002D7EAD"/>
    <w:rsid w:val="002E1169"/>
    <w:rsid w:val="002E1218"/>
    <w:rsid w:val="002E2617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5CE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186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3178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0277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09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6B69"/>
    <w:rsid w:val="00503AE1"/>
    <w:rsid w:val="00503CA6"/>
    <w:rsid w:val="00503FAE"/>
    <w:rsid w:val="00504101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621D"/>
    <w:rsid w:val="0055764D"/>
    <w:rsid w:val="005608FE"/>
    <w:rsid w:val="00560C6A"/>
    <w:rsid w:val="00560F85"/>
    <w:rsid w:val="005610A0"/>
    <w:rsid w:val="0056248F"/>
    <w:rsid w:val="00564985"/>
    <w:rsid w:val="00565379"/>
    <w:rsid w:val="005674C3"/>
    <w:rsid w:val="005677B7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57C"/>
    <w:rsid w:val="00576AF3"/>
    <w:rsid w:val="00581FF0"/>
    <w:rsid w:val="005825FC"/>
    <w:rsid w:val="00583437"/>
    <w:rsid w:val="00583CE0"/>
    <w:rsid w:val="00584B4A"/>
    <w:rsid w:val="00584DCB"/>
    <w:rsid w:val="00584DE9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96D3A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5FF0"/>
    <w:rsid w:val="005D794C"/>
    <w:rsid w:val="005D7A9F"/>
    <w:rsid w:val="005D7AA2"/>
    <w:rsid w:val="005E2154"/>
    <w:rsid w:val="005E2FC7"/>
    <w:rsid w:val="005E37B9"/>
    <w:rsid w:val="005E3F84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0791"/>
    <w:rsid w:val="00601A1F"/>
    <w:rsid w:val="00602655"/>
    <w:rsid w:val="00603B68"/>
    <w:rsid w:val="00605297"/>
    <w:rsid w:val="00605CB9"/>
    <w:rsid w:val="006065BF"/>
    <w:rsid w:val="00606C14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6740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B70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00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2F98"/>
    <w:rsid w:val="006E3DBD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1A3E"/>
    <w:rsid w:val="00715129"/>
    <w:rsid w:val="007154CE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4A41"/>
    <w:rsid w:val="007459BB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B7F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5BE"/>
    <w:rsid w:val="00791683"/>
    <w:rsid w:val="00792F0C"/>
    <w:rsid w:val="00793016"/>
    <w:rsid w:val="00795460"/>
    <w:rsid w:val="00796CF7"/>
    <w:rsid w:val="007A0313"/>
    <w:rsid w:val="007A0475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1D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68B0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29B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3EE1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67B23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5C87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263D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CCF"/>
    <w:rsid w:val="008F0D0C"/>
    <w:rsid w:val="008F0E9E"/>
    <w:rsid w:val="008F2913"/>
    <w:rsid w:val="008F2A4E"/>
    <w:rsid w:val="008F2AE9"/>
    <w:rsid w:val="008F332B"/>
    <w:rsid w:val="008F3414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4DCB"/>
    <w:rsid w:val="009163CC"/>
    <w:rsid w:val="00916507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665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762"/>
    <w:rsid w:val="0096587A"/>
    <w:rsid w:val="009666E7"/>
    <w:rsid w:val="00967278"/>
    <w:rsid w:val="00971051"/>
    <w:rsid w:val="00971568"/>
    <w:rsid w:val="00971929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6F85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0E1D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E5FBD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3C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565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0E9"/>
    <w:rsid w:val="00AE473C"/>
    <w:rsid w:val="00AE4ACF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5A47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1756D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19D"/>
    <w:rsid w:val="00B362D9"/>
    <w:rsid w:val="00B36B99"/>
    <w:rsid w:val="00B36D20"/>
    <w:rsid w:val="00B36F67"/>
    <w:rsid w:val="00B40633"/>
    <w:rsid w:val="00B406D6"/>
    <w:rsid w:val="00B44049"/>
    <w:rsid w:val="00B44318"/>
    <w:rsid w:val="00B4444B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1D87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1276"/>
    <w:rsid w:val="00B827E6"/>
    <w:rsid w:val="00B82A28"/>
    <w:rsid w:val="00B82B8D"/>
    <w:rsid w:val="00B82C97"/>
    <w:rsid w:val="00B841EC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2761A"/>
    <w:rsid w:val="00C32151"/>
    <w:rsid w:val="00C3217A"/>
    <w:rsid w:val="00C33551"/>
    <w:rsid w:val="00C3357D"/>
    <w:rsid w:val="00C33BE9"/>
    <w:rsid w:val="00C33C13"/>
    <w:rsid w:val="00C34099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643"/>
    <w:rsid w:val="00C57ED3"/>
    <w:rsid w:val="00C61640"/>
    <w:rsid w:val="00C61AA7"/>
    <w:rsid w:val="00C61B8E"/>
    <w:rsid w:val="00C629D0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108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08A7"/>
    <w:rsid w:val="00CB2041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5E0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1D9B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AAE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428C"/>
    <w:rsid w:val="00DC7481"/>
    <w:rsid w:val="00DC7591"/>
    <w:rsid w:val="00DD00BD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1E9F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691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170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9739F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4EB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C7511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106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27A7C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68A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2DFB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0E4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4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0E4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4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1850</Characters>
  <Application>Microsoft Office Word</Application>
  <DocSecurity>0</DocSecurity>
  <Lines>42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CWS/5/-- (Arabic)</vt:lpstr>
      <vt:lpstr>CWS/5/-- (Arabic)</vt:lpstr>
    </vt:vector>
  </TitlesOfParts>
  <Company>World Intellectual Property Organization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CWS/5/6 (in Arabic)</dc:title>
  <dc:subject>Revision of WIPO Standard ST.26</dc:subject>
  <dc:creator>WIPO</dc:creator>
  <cp:keywords>CWS</cp:keywords>
  <cp:lastModifiedBy>ZAGO Bétina</cp:lastModifiedBy>
  <cp:revision>4</cp:revision>
  <cp:lastPrinted>2017-05-01T15:04:00Z</cp:lastPrinted>
  <dcterms:created xsi:type="dcterms:W3CDTF">2017-05-10T06:58:00Z</dcterms:created>
  <dcterms:modified xsi:type="dcterms:W3CDTF">2017-05-10T06:59:00Z</dcterms:modified>
</cp:coreProperties>
</file>