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713E46">
            <w:pPr>
              <w:bidi/>
              <w:spacing w:after="1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F05990">
            <w:pPr>
              <w:pStyle w:val="DocumentCodeAR"/>
              <w:bidi/>
              <w:rPr>
                <w:rtl/>
              </w:rPr>
            </w:pPr>
            <w:r>
              <w:t>CWS</w:t>
            </w:r>
            <w:r w:rsidR="00100F97">
              <w:t>/</w:t>
            </w:r>
            <w:r w:rsidR="00F05990">
              <w:t>5</w:t>
            </w:r>
            <w:r w:rsidR="00682EC8">
              <w:t>/4</w:t>
            </w:r>
          </w:p>
        </w:tc>
      </w:tr>
      <w:tr w:rsidR="001667B6" w:rsidTr="00BF164F">
        <w:tc>
          <w:tcPr>
            <w:tcW w:w="9571" w:type="dxa"/>
            <w:gridSpan w:val="3"/>
          </w:tcPr>
          <w:p w:rsidR="001667B6" w:rsidRPr="00B6101C" w:rsidRDefault="00B6101C" w:rsidP="00682EC8">
            <w:pPr>
              <w:pStyle w:val="DocumentLanguageAR"/>
              <w:bidi/>
              <w:rPr>
                <w:rtl/>
              </w:rPr>
            </w:pPr>
            <w:r w:rsidRPr="00B6101C">
              <w:rPr>
                <w:rFonts w:hint="cs"/>
                <w:rtl/>
              </w:rPr>
              <w:t xml:space="preserve">الأصل: </w:t>
            </w:r>
            <w:r w:rsidR="00682EC8">
              <w:rPr>
                <w:rFonts w:hint="cs"/>
                <w:rtl/>
              </w:rPr>
              <w:t>بالإنكليزية</w:t>
            </w:r>
          </w:p>
        </w:tc>
      </w:tr>
      <w:tr w:rsidR="001667B6" w:rsidTr="00BF164F">
        <w:tc>
          <w:tcPr>
            <w:tcW w:w="9571" w:type="dxa"/>
            <w:gridSpan w:val="3"/>
          </w:tcPr>
          <w:p w:rsidR="001667B6" w:rsidRPr="00B6101C" w:rsidRDefault="00B6101C" w:rsidP="00682EC8">
            <w:pPr>
              <w:pStyle w:val="DocumentDateAR"/>
              <w:bidi/>
              <w:rPr>
                <w:rtl/>
              </w:rPr>
            </w:pPr>
            <w:r w:rsidRPr="00B6101C">
              <w:rPr>
                <w:rFonts w:hint="cs"/>
                <w:rtl/>
              </w:rPr>
              <w:t xml:space="preserve">التاريخ: </w:t>
            </w:r>
            <w:r w:rsidR="00682EC8">
              <w:rPr>
                <w:rFonts w:hint="cs"/>
                <w:rtl/>
              </w:rPr>
              <w:t>3</w:t>
            </w:r>
            <w:r w:rsidRPr="00B6101C">
              <w:rPr>
                <w:rFonts w:hint="cs"/>
                <w:rtl/>
              </w:rPr>
              <w:t xml:space="preserve"> </w:t>
            </w:r>
            <w:r w:rsidR="00682EC8">
              <w:rPr>
                <w:rFonts w:hint="cs"/>
                <w:rtl/>
              </w:rPr>
              <w:t>أبريل</w:t>
            </w:r>
            <w:r w:rsidRPr="00B6101C">
              <w:rPr>
                <w:rFonts w:hint="cs"/>
                <w:rtl/>
              </w:rPr>
              <w:t xml:space="preserve"> </w:t>
            </w:r>
            <w:r w:rsidR="00F05990">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05990">
      <w:pPr>
        <w:pStyle w:val="MeetingSessionAR"/>
        <w:bidi/>
        <w:rPr>
          <w:rFonts w:ascii="Cambria Math" w:hAnsi="Cambria Math"/>
          <w:rtl/>
        </w:rPr>
      </w:pPr>
      <w:r w:rsidRPr="00783D11">
        <w:rPr>
          <w:rFonts w:ascii="Cambria Math" w:hAnsi="Cambria Math"/>
          <w:rtl/>
        </w:rPr>
        <w:t xml:space="preserve">الدورة </w:t>
      </w:r>
      <w:r w:rsidR="00F05990">
        <w:rPr>
          <w:rFonts w:ascii="Cambria Math" w:hAnsi="Cambria Math" w:hint="cs"/>
          <w:rtl/>
        </w:rPr>
        <w:t>الخامسة</w:t>
      </w:r>
    </w:p>
    <w:p w:rsidR="00D61541" w:rsidRPr="00D61541" w:rsidRDefault="00D61541" w:rsidP="00F05990">
      <w:pPr>
        <w:pStyle w:val="MeetingDatesAR"/>
        <w:bidi/>
        <w:rPr>
          <w:rtl/>
        </w:rPr>
      </w:pPr>
      <w:r w:rsidRPr="00D61541">
        <w:rPr>
          <w:rFonts w:hint="cs"/>
          <w:rtl/>
        </w:rPr>
        <w:t xml:space="preserve">جنيف، من </w:t>
      </w:r>
      <w:r w:rsidR="00F05990">
        <w:rPr>
          <w:rFonts w:hint="cs"/>
          <w:rtl/>
        </w:rPr>
        <w:t>29 مايو</w:t>
      </w:r>
      <w:r w:rsidR="00100F97">
        <w:rPr>
          <w:rFonts w:hint="cs"/>
          <w:rtl/>
        </w:rPr>
        <w:t xml:space="preserve"> إلى </w:t>
      </w:r>
      <w:r w:rsidR="00F05990">
        <w:rPr>
          <w:rFonts w:hint="cs"/>
          <w:rtl/>
        </w:rPr>
        <w:t>2</w:t>
      </w:r>
      <w:r w:rsidR="00783D11">
        <w:rPr>
          <w:rFonts w:hint="cs"/>
          <w:rtl/>
        </w:rPr>
        <w:t xml:space="preserve"> </w:t>
      </w:r>
      <w:r w:rsidR="00F05990">
        <w:rPr>
          <w:rFonts w:hint="cs"/>
          <w:rtl/>
        </w:rPr>
        <w:t>يونيو</w:t>
      </w:r>
      <w:r w:rsidR="00AE2328">
        <w:rPr>
          <w:rFonts w:hint="cs"/>
          <w:rtl/>
        </w:rPr>
        <w:t xml:space="preserve"> </w:t>
      </w:r>
      <w:r w:rsidR="00F05990">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82EC8" w:rsidP="00FB7EC9">
      <w:pPr>
        <w:pStyle w:val="DocumentTitleAR"/>
        <w:bidi/>
        <w:rPr>
          <w:rtl/>
        </w:rPr>
      </w:pPr>
      <w:r w:rsidRPr="00682EC8">
        <w:rPr>
          <w:rtl/>
        </w:rPr>
        <w:t xml:space="preserve">توسيع معيار الويبو </w:t>
      </w:r>
      <w:r w:rsidRPr="00682EC8">
        <w:t>ST.96</w:t>
      </w:r>
      <w:r>
        <w:rPr>
          <w:rtl/>
        </w:rPr>
        <w:t xml:space="preserve"> ليشمل مخطط لغة الترمي</w:t>
      </w:r>
      <w:r>
        <w:rPr>
          <w:rFonts w:hint="cs"/>
          <w:rtl/>
        </w:rPr>
        <w:t>ز</w:t>
      </w:r>
      <w:r w:rsidRPr="00682EC8">
        <w:rPr>
          <w:rtl/>
        </w:rPr>
        <w:t xml:space="preserve"> الموسعة (</w:t>
      </w:r>
      <w:r w:rsidRPr="00682EC8">
        <w:t>XML</w:t>
      </w:r>
      <w:r w:rsidRPr="00682EC8">
        <w:rPr>
          <w:rtl/>
        </w:rPr>
        <w:t>) للمصنفات اليتيمة والمؤشرات الجغرافية</w:t>
      </w:r>
    </w:p>
    <w:p w:rsidR="00D61541" w:rsidRPr="00D61541" w:rsidRDefault="00682EC8"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Pr="00682EC8" w:rsidRDefault="00682EC8" w:rsidP="00682EC8">
      <w:pPr>
        <w:pStyle w:val="NormalParaAR"/>
        <w:keepNext/>
        <w:rPr>
          <w:b/>
          <w:bCs/>
          <w:sz w:val="40"/>
          <w:szCs w:val="40"/>
          <w:rtl/>
        </w:rPr>
      </w:pPr>
      <w:r w:rsidRPr="00682EC8">
        <w:rPr>
          <w:rFonts w:hint="cs"/>
          <w:b/>
          <w:bCs/>
          <w:sz w:val="40"/>
          <w:szCs w:val="40"/>
          <w:rtl/>
        </w:rPr>
        <w:t>مقدمة</w:t>
      </w:r>
    </w:p>
    <w:p w:rsidR="002F77FC" w:rsidRDefault="00A5112A" w:rsidP="002E6FA5">
      <w:pPr>
        <w:pStyle w:val="NumberedParaAR"/>
        <w:rPr>
          <w:rtl/>
        </w:rPr>
      </w:pPr>
      <w:r>
        <w:rPr>
          <w:rFonts w:hint="cs"/>
          <w:rtl/>
        </w:rPr>
        <w:t xml:space="preserve">قدم مكتب المملكة المتحدة للملكية الفكرية </w:t>
      </w:r>
      <w:r w:rsidR="002E6FA5">
        <w:rPr>
          <w:rFonts w:hint="cs"/>
          <w:rtl/>
        </w:rPr>
        <w:t>إلى الدورة الرابعة للجنة المعنية بمعايير الويبو (لجنة المعايير) المعقودة في مايو</w:t>
      </w:r>
      <w:r w:rsidR="002E6FA5">
        <w:rPr>
          <w:rFonts w:hint="eastAsia"/>
          <w:rtl/>
        </w:rPr>
        <w:t> </w:t>
      </w:r>
      <w:r w:rsidR="002E6FA5">
        <w:rPr>
          <w:rFonts w:hint="cs"/>
          <w:rtl/>
        </w:rPr>
        <w:t xml:space="preserve">2014 </w:t>
      </w:r>
      <w:r>
        <w:rPr>
          <w:rFonts w:hint="cs"/>
          <w:rtl/>
        </w:rPr>
        <w:t xml:space="preserve">اقتراحا بشأن توسيع </w:t>
      </w:r>
      <w:r w:rsidR="005A47C4">
        <w:rPr>
          <w:rtl/>
        </w:rPr>
        <w:t>معيار</w:t>
      </w:r>
      <w:r w:rsidR="005A47C4">
        <w:rPr>
          <w:rFonts w:hint="cs"/>
          <w:rtl/>
        </w:rPr>
        <w:t xml:space="preserve"> </w:t>
      </w:r>
      <w:r w:rsidRPr="00A5112A">
        <w:rPr>
          <w:rtl/>
        </w:rPr>
        <w:t>الويبو</w:t>
      </w:r>
      <w:r w:rsidR="005A47C4">
        <w:rPr>
          <w:rFonts w:hint="cs"/>
          <w:rtl/>
        </w:rPr>
        <w:t> </w:t>
      </w:r>
      <w:r w:rsidRPr="00A5112A">
        <w:t>ST.96</w:t>
      </w:r>
      <w:r w:rsidRPr="00A5112A">
        <w:rPr>
          <w:rtl/>
        </w:rPr>
        <w:t xml:space="preserve"> ليشمل</w:t>
      </w:r>
      <w:r w:rsidR="005A47C4">
        <w:rPr>
          <w:rFonts w:hint="cs"/>
          <w:rtl/>
        </w:rPr>
        <w:t xml:space="preserve"> حق</w:t>
      </w:r>
      <w:r w:rsidRPr="00A5112A">
        <w:rPr>
          <w:rtl/>
        </w:rPr>
        <w:t xml:space="preserve"> </w:t>
      </w:r>
      <w:r w:rsidR="005A47C4">
        <w:rPr>
          <w:rFonts w:hint="cs"/>
          <w:rtl/>
        </w:rPr>
        <w:t>المؤلف لل</w:t>
      </w:r>
      <w:r w:rsidR="005A47C4">
        <w:rPr>
          <w:rtl/>
        </w:rPr>
        <w:t>مصنفات</w:t>
      </w:r>
      <w:r w:rsidR="005A47C4">
        <w:rPr>
          <w:rFonts w:hint="cs"/>
          <w:rtl/>
        </w:rPr>
        <w:t xml:space="preserve"> اليتيمة (انظر الوثيقة</w:t>
      </w:r>
      <w:r w:rsidR="005A47C4">
        <w:rPr>
          <w:rFonts w:hint="eastAsia"/>
          <w:rtl/>
        </w:rPr>
        <w:t> </w:t>
      </w:r>
      <w:r w:rsidR="005A47C4" w:rsidRPr="005A47C4">
        <w:t>CWS/4/3</w:t>
      </w:r>
      <w:r w:rsidR="005A47C4">
        <w:rPr>
          <w:rFonts w:hint="cs"/>
          <w:rtl/>
        </w:rPr>
        <w:t>).</w:t>
      </w:r>
    </w:p>
    <w:p w:rsidR="009F513E" w:rsidRDefault="005A47C4" w:rsidP="00881763">
      <w:pPr>
        <w:pStyle w:val="NumberedParaAR"/>
      </w:pPr>
      <w:r>
        <w:rPr>
          <w:rFonts w:hint="cs"/>
          <w:rtl/>
        </w:rPr>
        <w:t>وعلى أساس الاقتراح، ناقشت لجنة المعايير إنشاء مهمة جديدة تتمثّل في إ</w:t>
      </w:r>
      <w:r w:rsidRPr="005A47C4">
        <w:rPr>
          <w:rtl/>
        </w:rPr>
        <w:t>عداد قاموس بيانات ومخططات لغة الترميز الموسعة (</w:t>
      </w:r>
      <w:r w:rsidRPr="005A47C4">
        <w:rPr>
          <w:cs/>
        </w:rPr>
        <w:t>‎</w:t>
      </w:r>
      <w:r w:rsidRPr="005A47C4">
        <w:t>XML</w:t>
      </w:r>
      <w:r w:rsidRPr="005A47C4">
        <w:rPr>
          <w:rtl/>
        </w:rPr>
        <w:t>‏) لإدراج حق المؤلف للمصنفات اليتيمة في معيار الويبو</w:t>
      </w:r>
      <w:r w:rsidR="00BF2C1F">
        <w:rPr>
          <w:rFonts w:hint="cs"/>
          <w:rtl/>
        </w:rPr>
        <w:t> </w:t>
      </w:r>
      <w:r w:rsidRPr="005A47C4">
        <w:rPr>
          <w:cs/>
        </w:rPr>
        <w:t>‎</w:t>
      </w:r>
      <w:r w:rsidRPr="005A47C4">
        <w:t>ST.96</w:t>
      </w:r>
      <w:r w:rsidR="00BF2C1F">
        <w:rPr>
          <w:rtl/>
        </w:rPr>
        <w:t>‏. و</w:t>
      </w:r>
      <w:r w:rsidR="00BF2C1F">
        <w:rPr>
          <w:rFonts w:hint="cs"/>
          <w:rtl/>
        </w:rPr>
        <w:t xml:space="preserve">مع </w:t>
      </w:r>
      <w:r w:rsidR="00BF2C1F">
        <w:rPr>
          <w:rtl/>
        </w:rPr>
        <w:t xml:space="preserve">أن </w:t>
      </w:r>
      <w:r w:rsidR="00BF2C1F">
        <w:rPr>
          <w:rFonts w:hint="cs"/>
          <w:rtl/>
        </w:rPr>
        <w:t xml:space="preserve">عدة </w:t>
      </w:r>
      <w:r w:rsidR="00BF2C1F">
        <w:rPr>
          <w:rtl/>
        </w:rPr>
        <w:t>وفود</w:t>
      </w:r>
      <w:r w:rsidR="00BF2C1F">
        <w:rPr>
          <w:rFonts w:hint="cs"/>
          <w:rtl/>
        </w:rPr>
        <w:t xml:space="preserve"> </w:t>
      </w:r>
      <w:r w:rsidRPr="005A47C4">
        <w:rPr>
          <w:rtl/>
        </w:rPr>
        <w:t xml:space="preserve">أيدت </w:t>
      </w:r>
      <w:r w:rsidR="00BF2C1F">
        <w:rPr>
          <w:rFonts w:hint="cs"/>
          <w:rtl/>
        </w:rPr>
        <w:t>الاقتراح</w:t>
      </w:r>
      <w:r w:rsidRPr="005A47C4">
        <w:rPr>
          <w:rtl/>
        </w:rPr>
        <w:t xml:space="preserve"> </w:t>
      </w:r>
      <w:r w:rsidR="00BF2C1F">
        <w:rPr>
          <w:rFonts w:hint="cs"/>
          <w:rtl/>
        </w:rPr>
        <w:t>الداعي إلى إنشاء</w:t>
      </w:r>
      <w:r w:rsidR="00BF2C1F">
        <w:rPr>
          <w:rtl/>
        </w:rPr>
        <w:t xml:space="preserve"> </w:t>
      </w:r>
      <w:r w:rsidRPr="005A47C4">
        <w:rPr>
          <w:rtl/>
        </w:rPr>
        <w:t xml:space="preserve">المهمة الجديدة، </w:t>
      </w:r>
      <w:r w:rsidR="00881763" w:rsidRPr="005A47C4">
        <w:rPr>
          <w:rtl/>
        </w:rPr>
        <w:t xml:space="preserve">أبدت </w:t>
      </w:r>
      <w:r w:rsidRPr="005A47C4">
        <w:rPr>
          <w:rtl/>
        </w:rPr>
        <w:t xml:space="preserve">بعض الوفود </w:t>
      </w:r>
      <w:r w:rsidR="00881763">
        <w:rPr>
          <w:rtl/>
        </w:rPr>
        <w:t>تحفظات عل</w:t>
      </w:r>
      <w:r w:rsidR="00881763">
        <w:rPr>
          <w:rFonts w:hint="cs"/>
          <w:rtl/>
        </w:rPr>
        <w:t>يه</w:t>
      </w:r>
      <w:r w:rsidRPr="005A47C4">
        <w:rPr>
          <w:rtl/>
        </w:rPr>
        <w:t xml:space="preserve"> ولم </w:t>
      </w:r>
      <w:r w:rsidR="00881763">
        <w:rPr>
          <w:rFonts w:hint="cs"/>
          <w:rtl/>
        </w:rPr>
        <w:t>توافق</w:t>
      </w:r>
      <w:r w:rsidRPr="005A47C4">
        <w:rPr>
          <w:rtl/>
        </w:rPr>
        <w:t xml:space="preserve"> على </w:t>
      </w:r>
      <w:r w:rsidR="00BF2C1F">
        <w:rPr>
          <w:rFonts w:hint="cs"/>
          <w:rtl/>
        </w:rPr>
        <w:t>إنشاء</w:t>
      </w:r>
      <w:r w:rsidRPr="005A47C4">
        <w:rPr>
          <w:rtl/>
        </w:rPr>
        <w:t xml:space="preserve"> </w:t>
      </w:r>
      <w:r w:rsidR="00BF2C1F">
        <w:rPr>
          <w:rFonts w:hint="cs"/>
          <w:rtl/>
        </w:rPr>
        <w:t>تلك</w:t>
      </w:r>
      <w:r w:rsidRPr="005A47C4">
        <w:rPr>
          <w:rtl/>
        </w:rPr>
        <w:t xml:space="preserve"> المهمة الجديدة </w:t>
      </w:r>
      <w:r w:rsidR="00BF2C1F">
        <w:rPr>
          <w:rFonts w:hint="cs"/>
          <w:rtl/>
        </w:rPr>
        <w:t>أثناء دورة لجنة المعايير</w:t>
      </w:r>
      <w:r w:rsidRPr="005A47C4">
        <w:rPr>
          <w:rtl/>
        </w:rPr>
        <w:t xml:space="preserve"> الدورة الرابعة. </w:t>
      </w:r>
      <w:r w:rsidR="00BF2C1F">
        <w:rPr>
          <w:rFonts w:hint="cs"/>
          <w:rtl/>
        </w:rPr>
        <w:t>وبناء عليه، لم تُستكمل المناقشات. (انظر الفقرتين 29 و30 من الوثيقة</w:t>
      </w:r>
      <w:r w:rsidR="00BF2C1F">
        <w:rPr>
          <w:rFonts w:hint="eastAsia"/>
          <w:rtl/>
        </w:rPr>
        <w:t> </w:t>
      </w:r>
      <w:r w:rsidR="00BF2C1F" w:rsidRPr="00BF2C1F">
        <w:t>WO/GA/46/7</w:t>
      </w:r>
      <w:r w:rsidR="00BF2C1F">
        <w:rPr>
          <w:rFonts w:hint="cs"/>
          <w:rtl/>
        </w:rPr>
        <w:t>.)</w:t>
      </w:r>
    </w:p>
    <w:p w:rsidR="00BF2C1F" w:rsidRPr="007F38D1" w:rsidRDefault="00881763" w:rsidP="00881763">
      <w:pPr>
        <w:pStyle w:val="NumberedParaAR"/>
        <w:rPr>
          <w:rtl/>
        </w:rPr>
      </w:pPr>
      <w:r>
        <w:rPr>
          <w:rFonts w:hint="cs"/>
          <w:rtl/>
        </w:rPr>
        <w:t>و</w:t>
      </w:r>
      <w:r w:rsidR="00BF2C1F">
        <w:rPr>
          <w:rFonts w:hint="cs"/>
          <w:rtl/>
        </w:rPr>
        <w:t>ذكّرت لجنة المعايير، في دورتها الرابعة المجتمعة مجددا في مارس</w:t>
      </w:r>
      <w:r>
        <w:rPr>
          <w:rFonts w:hint="eastAsia"/>
          <w:rtl/>
        </w:rPr>
        <w:t> </w:t>
      </w:r>
      <w:r w:rsidR="00BF2C1F">
        <w:rPr>
          <w:rFonts w:hint="cs"/>
          <w:rtl/>
        </w:rPr>
        <w:t xml:space="preserve">2016، بالمناقشات التي أجرتها حول هذا الموضوع في دورتها الرابعة. وأحاطت لجنة </w:t>
      </w:r>
      <w:r w:rsidR="00932D13">
        <w:rPr>
          <w:rFonts w:hint="cs"/>
          <w:rtl/>
        </w:rPr>
        <w:t>المعايير علما بتأييد وفد كندا لل</w:t>
      </w:r>
      <w:r w:rsidR="00BF2C1F">
        <w:rPr>
          <w:rFonts w:hint="cs"/>
          <w:rtl/>
        </w:rPr>
        <w:t xml:space="preserve">اقتراح </w:t>
      </w:r>
      <w:r w:rsidR="00932D13">
        <w:rPr>
          <w:rFonts w:hint="cs"/>
          <w:rtl/>
        </w:rPr>
        <w:t>بصيغته الواردة</w:t>
      </w:r>
      <w:r w:rsidR="00BF2C1F">
        <w:rPr>
          <w:rFonts w:hint="cs"/>
          <w:rtl/>
        </w:rPr>
        <w:t xml:space="preserve"> في الوثيقة</w:t>
      </w:r>
      <w:r w:rsidR="00932D13">
        <w:rPr>
          <w:rFonts w:hint="eastAsia"/>
          <w:rtl/>
        </w:rPr>
        <w:t> </w:t>
      </w:r>
      <w:r w:rsidR="00932D13" w:rsidRPr="00932D13">
        <w:t>CWS/4/3</w:t>
      </w:r>
      <w:r w:rsidR="00932D13">
        <w:rPr>
          <w:rFonts w:hint="cs"/>
          <w:rtl/>
        </w:rPr>
        <w:t xml:space="preserve">، وباهتمام وفد الاتحاد الروسي بتوسيع </w:t>
      </w:r>
      <w:r w:rsidR="00932D13" w:rsidRPr="00932D13">
        <w:rPr>
          <w:rtl/>
        </w:rPr>
        <w:t>معيار</w:t>
      </w:r>
      <w:r w:rsidR="00932D13" w:rsidRPr="00932D13">
        <w:rPr>
          <w:rFonts w:hint="cs"/>
          <w:rtl/>
        </w:rPr>
        <w:t xml:space="preserve"> </w:t>
      </w:r>
      <w:r w:rsidR="00A5112A" w:rsidRPr="00932D13">
        <w:rPr>
          <w:rtl/>
        </w:rPr>
        <w:t>الويبو</w:t>
      </w:r>
      <w:r w:rsidR="00932D13" w:rsidRPr="00932D13">
        <w:rPr>
          <w:rFonts w:hint="cs"/>
          <w:rtl/>
        </w:rPr>
        <w:t> </w:t>
      </w:r>
      <w:r w:rsidR="00A5112A" w:rsidRPr="00932D13">
        <w:t>ST.96</w:t>
      </w:r>
      <w:r w:rsidR="00A5112A" w:rsidRPr="00932D13">
        <w:rPr>
          <w:rtl/>
        </w:rPr>
        <w:t xml:space="preserve"> ليشمل</w:t>
      </w:r>
      <w:r w:rsidR="00932D13">
        <w:rPr>
          <w:rFonts w:hint="cs"/>
          <w:rtl/>
        </w:rPr>
        <w:t xml:space="preserve"> أنواعا أخرى من الملكية الفكرية، بما في ذلك المؤشرات الجغرافية. </w:t>
      </w:r>
      <w:r w:rsidR="00932D13" w:rsidRPr="00932D13">
        <w:rPr>
          <w:rtl/>
        </w:rPr>
        <w:t>واقترح وفد المملكة المتحدة، بصفته راعي الاقتراح، عدم فتح هذا البند للمناقش</w:t>
      </w:r>
      <w:r w:rsidR="00932D13">
        <w:rPr>
          <w:rtl/>
        </w:rPr>
        <w:t>ة في الدورة الرابعة المجتمعة مجددا</w:t>
      </w:r>
      <w:r w:rsidR="00932D13" w:rsidRPr="00932D13">
        <w:rPr>
          <w:rtl/>
        </w:rPr>
        <w:t xml:space="preserve"> وتركه على جدول أعمال الدورة المقبلة للجنة</w:t>
      </w:r>
      <w:r w:rsidR="00932D13">
        <w:rPr>
          <w:rFonts w:hint="cs"/>
          <w:rtl/>
        </w:rPr>
        <w:t xml:space="preserve"> المعايير</w:t>
      </w:r>
      <w:r w:rsidR="00932D13" w:rsidRPr="00932D13">
        <w:rPr>
          <w:rtl/>
        </w:rPr>
        <w:t xml:space="preserve"> </w:t>
      </w:r>
      <w:r w:rsidR="00932D13">
        <w:rPr>
          <w:rFonts w:hint="cs"/>
          <w:rtl/>
        </w:rPr>
        <w:t>المزمع عقدها</w:t>
      </w:r>
      <w:r w:rsidR="00932D13" w:rsidRPr="00932D13">
        <w:rPr>
          <w:rtl/>
        </w:rPr>
        <w:t xml:space="preserve"> في عام</w:t>
      </w:r>
      <w:r w:rsidR="00932D13">
        <w:rPr>
          <w:rFonts w:hint="cs"/>
          <w:rtl/>
        </w:rPr>
        <w:t> </w:t>
      </w:r>
      <w:r w:rsidR="00932D13" w:rsidRPr="00932D13">
        <w:rPr>
          <w:rtl/>
        </w:rPr>
        <w:t>2017. ووافقت لجنة المعايير على ترك هذا البند على جدول أعمال دورتها المقبلة</w:t>
      </w:r>
      <w:r w:rsidR="00932D13">
        <w:rPr>
          <w:rFonts w:hint="cs"/>
          <w:rtl/>
        </w:rPr>
        <w:t xml:space="preserve"> (انظر الفقرات من 24 إلى 28 من الوثيقة</w:t>
      </w:r>
      <w:r w:rsidR="00932D13">
        <w:rPr>
          <w:rFonts w:hint="eastAsia"/>
          <w:rtl/>
        </w:rPr>
        <w:t> </w:t>
      </w:r>
      <w:r w:rsidR="00932D13" w:rsidRPr="00932D13">
        <w:t>CWS/4Bis/16</w:t>
      </w:r>
      <w:r w:rsidR="00932D13">
        <w:rPr>
          <w:rFonts w:hint="cs"/>
          <w:rtl/>
        </w:rPr>
        <w:t>)</w:t>
      </w:r>
      <w:r w:rsidR="00932D13" w:rsidRPr="00932D13">
        <w:rPr>
          <w:rtl/>
        </w:rPr>
        <w:t>.</w:t>
      </w:r>
    </w:p>
    <w:p w:rsidR="00F05990" w:rsidRPr="00C13C5C" w:rsidRDefault="00932D13" w:rsidP="00C06671">
      <w:pPr>
        <w:pStyle w:val="NormalParaAR"/>
        <w:keepNext/>
        <w:rPr>
          <w:sz w:val="40"/>
          <w:szCs w:val="40"/>
          <w:rtl/>
        </w:rPr>
      </w:pPr>
      <w:r w:rsidRPr="00C13C5C">
        <w:rPr>
          <w:rFonts w:hint="cs"/>
          <w:sz w:val="40"/>
          <w:szCs w:val="40"/>
          <w:rtl/>
        </w:rPr>
        <w:lastRenderedPageBreak/>
        <w:t>اقتراح</w:t>
      </w:r>
      <w:r w:rsidR="00A5112A" w:rsidRPr="00C13C5C">
        <w:rPr>
          <w:rFonts w:hint="cs"/>
          <w:sz w:val="40"/>
          <w:szCs w:val="40"/>
          <w:rtl/>
        </w:rPr>
        <w:t xml:space="preserve"> بشأن توسيع </w:t>
      </w:r>
      <w:r w:rsidRPr="00C13C5C">
        <w:rPr>
          <w:sz w:val="40"/>
          <w:szCs w:val="40"/>
          <w:rtl/>
        </w:rPr>
        <w:t>معيار</w:t>
      </w:r>
      <w:r w:rsidRPr="00C13C5C">
        <w:rPr>
          <w:rFonts w:hint="cs"/>
          <w:sz w:val="40"/>
          <w:szCs w:val="40"/>
          <w:rtl/>
        </w:rPr>
        <w:t xml:space="preserve"> </w:t>
      </w:r>
      <w:r w:rsidR="00A5112A" w:rsidRPr="00C13C5C">
        <w:rPr>
          <w:sz w:val="40"/>
          <w:szCs w:val="40"/>
          <w:rtl/>
        </w:rPr>
        <w:t>الويبو</w:t>
      </w:r>
      <w:r w:rsidRPr="00C13C5C">
        <w:rPr>
          <w:rFonts w:hint="cs"/>
          <w:sz w:val="40"/>
          <w:szCs w:val="40"/>
          <w:rtl/>
        </w:rPr>
        <w:t> </w:t>
      </w:r>
      <w:r w:rsidR="00A5112A" w:rsidRPr="00C13C5C">
        <w:rPr>
          <w:sz w:val="40"/>
          <w:szCs w:val="40"/>
        </w:rPr>
        <w:t>ST.96</w:t>
      </w:r>
      <w:r w:rsidR="00A5112A" w:rsidRPr="00C13C5C">
        <w:rPr>
          <w:sz w:val="40"/>
          <w:szCs w:val="40"/>
          <w:rtl/>
        </w:rPr>
        <w:t xml:space="preserve"> ليشمل</w:t>
      </w:r>
      <w:r w:rsidRPr="00C13C5C">
        <w:rPr>
          <w:rFonts w:hint="cs"/>
          <w:sz w:val="40"/>
          <w:szCs w:val="40"/>
          <w:rtl/>
        </w:rPr>
        <w:t xml:space="preserve"> ال</w:t>
      </w:r>
      <w:r w:rsidRPr="00C13C5C">
        <w:rPr>
          <w:sz w:val="40"/>
          <w:szCs w:val="40"/>
          <w:rtl/>
        </w:rPr>
        <w:t>مصنفات</w:t>
      </w:r>
      <w:r w:rsidRPr="00C13C5C">
        <w:rPr>
          <w:rFonts w:hint="cs"/>
          <w:sz w:val="40"/>
          <w:szCs w:val="40"/>
          <w:rtl/>
        </w:rPr>
        <w:t xml:space="preserve"> اليتيمة</w:t>
      </w:r>
    </w:p>
    <w:p w:rsidR="00C13C5C" w:rsidRDefault="00C06671" w:rsidP="00C06671">
      <w:pPr>
        <w:pStyle w:val="NumberedParaAR"/>
      </w:pPr>
      <w:r>
        <w:rPr>
          <w:rFonts w:hint="cs"/>
          <w:rtl/>
        </w:rPr>
        <w:t>في 29 مارس</w:t>
      </w:r>
      <w:r>
        <w:rPr>
          <w:rFonts w:hint="eastAsia"/>
          <w:rtl/>
        </w:rPr>
        <w:t> </w:t>
      </w:r>
      <w:r>
        <w:rPr>
          <w:rFonts w:hint="cs"/>
          <w:rtl/>
        </w:rPr>
        <w:t xml:space="preserve">2017، قدم مكتب المملكة المتحدة للملكية الفكرية إلى الأمانة اقتراحا معدلا بشأن توسيع </w:t>
      </w:r>
      <w:r w:rsidRPr="00C06671">
        <w:rPr>
          <w:rtl/>
        </w:rPr>
        <w:t>معيار</w:t>
      </w:r>
      <w:r>
        <w:rPr>
          <w:rFonts w:hint="cs"/>
          <w:rtl/>
        </w:rPr>
        <w:t> </w:t>
      </w:r>
      <w:r w:rsidRPr="00C06671">
        <w:rPr>
          <w:rtl/>
        </w:rPr>
        <w:t>الويبو</w:t>
      </w:r>
      <w:r>
        <w:rPr>
          <w:rFonts w:hint="cs"/>
          <w:rtl/>
        </w:rPr>
        <w:t> </w:t>
      </w:r>
      <w:r w:rsidRPr="00C06671">
        <w:t>ST.96</w:t>
      </w:r>
      <w:r w:rsidRPr="00C06671">
        <w:rPr>
          <w:rtl/>
        </w:rPr>
        <w:t xml:space="preserve"> ليشمل</w:t>
      </w:r>
      <w:r>
        <w:rPr>
          <w:rFonts w:hint="cs"/>
          <w:rtl/>
        </w:rPr>
        <w:t xml:space="preserve"> </w:t>
      </w:r>
      <w:r w:rsidR="005A47C4" w:rsidRPr="00C06671">
        <w:rPr>
          <w:rtl/>
        </w:rPr>
        <w:t>لغة الترميز الموسعة (</w:t>
      </w:r>
      <w:r w:rsidR="005A47C4" w:rsidRPr="00C06671">
        <w:rPr>
          <w:cs/>
        </w:rPr>
        <w:t>‎</w:t>
      </w:r>
      <w:r w:rsidR="005A47C4" w:rsidRPr="00C06671">
        <w:t>XML</w:t>
      </w:r>
      <w:r w:rsidR="005A47C4" w:rsidRPr="00C06671">
        <w:rPr>
          <w:rtl/>
        </w:rPr>
        <w:t>‏)</w:t>
      </w:r>
      <w:r>
        <w:rPr>
          <w:rFonts w:hint="cs"/>
          <w:rtl/>
        </w:rPr>
        <w:t xml:space="preserve"> للمصنفات اليتيمة (انظر المرفق الأول من هذه الوثيقة).</w:t>
      </w:r>
    </w:p>
    <w:p w:rsidR="00E96A71" w:rsidRPr="00E96A71" w:rsidRDefault="00E96A71" w:rsidP="00E96A71">
      <w:pPr>
        <w:pStyle w:val="NormalParaAR"/>
        <w:keepNext/>
        <w:rPr>
          <w:sz w:val="40"/>
          <w:szCs w:val="40"/>
          <w:rtl/>
        </w:rPr>
      </w:pPr>
      <w:r w:rsidRPr="00C13C5C">
        <w:rPr>
          <w:rFonts w:hint="cs"/>
          <w:sz w:val="40"/>
          <w:szCs w:val="40"/>
          <w:rtl/>
        </w:rPr>
        <w:t xml:space="preserve">اقتراح بشأن توسيع </w:t>
      </w:r>
      <w:r w:rsidRPr="00C13C5C">
        <w:rPr>
          <w:sz w:val="40"/>
          <w:szCs w:val="40"/>
          <w:rtl/>
        </w:rPr>
        <w:t>معيار</w:t>
      </w:r>
      <w:r w:rsidRPr="00C13C5C">
        <w:rPr>
          <w:rFonts w:hint="cs"/>
          <w:sz w:val="40"/>
          <w:szCs w:val="40"/>
          <w:rtl/>
        </w:rPr>
        <w:t xml:space="preserve"> </w:t>
      </w:r>
      <w:r w:rsidRPr="00C13C5C">
        <w:rPr>
          <w:sz w:val="40"/>
          <w:szCs w:val="40"/>
          <w:rtl/>
        </w:rPr>
        <w:t>الويبو</w:t>
      </w:r>
      <w:r w:rsidRPr="00C13C5C">
        <w:rPr>
          <w:rFonts w:hint="cs"/>
          <w:sz w:val="40"/>
          <w:szCs w:val="40"/>
          <w:rtl/>
        </w:rPr>
        <w:t> </w:t>
      </w:r>
      <w:r w:rsidRPr="00C13C5C">
        <w:rPr>
          <w:sz w:val="40"/>
          <w:szCs w:val="40"/>
        </w:rPr>
        <w:t>ST.96</w:t>
      </w:r>
      <w:r w:rsidRPr="00C13C5C">
        <w:rPr>
          <w:sz w:val="40"/>
          <w:szCs w:val="40"/>
          <w:rtl/>
        </w:rPr>
        <w:t xml:space="preserve"> ليشمل</w:t>
      </w:r>
      <w:r>
        <w:rPr>
          <w:rFonts w:hint="cs"/>
          <w:sz w:val="40"/>
          <w:szCs w:val="40"/>
          <w:rtl/>
        </w:rPr>
        <w:t xml:space="preserve"> المؤشرات الجغرافية</w:t>
      </w:r>
    </w:p>
    <w:p w:rsidR="00E96A71" w:rsidRDefault="00E96A71" w:rsidP="00E96A71">
      <w:pPr>
        <w:pStyle w:val="NumberedParaAR"/>
      </w:pPr>
      <w:r>
        <w:rPr>
          <w:rFonts w:hint="cs"/>
          <w:rtl/>
        </w:rPr>
        <w:t>في 2 ديسمبر 2016، أرسلت الدائرة الاتحادية للملكية الفكرية (</w:t>
      </w:r>
      <w:proofErr w:type="spellStart"/>
      <w:r w:rsidRPr="00E96A71">
        <w:t>Rospatent</w:t>
      </w:r>
      <w:proofErr w:type="spellEnd"/>
      <w:r>
        <w:rPr>
          <w:rFonts w:hint="cs"/>
          <w:rtl/>
        </w:rPr>
        <w:t xml:space="preserve">) إلى الأمانة رسالة تقترح فيها </w:t>
      </w:r>
      <w:r w:rsidR="00C06671" w:rsidRPr="00E96A71">
        <w:rPr>
          <w:rFonts w:hint="cs"/>
          <w:rtl/>
        </w:rPr>
        <w:t xml:space="preserve">توسيع </w:t>
      </w:r>
      <w:r w:rsidR="00C06671" w:rsidRPr="00E96A71">
        <w:rPr>
          <w:rtl/>
        </w:rPr>
        <w:t>معيار</w:t>
      </w:r>
      <w:r w:rsidRPr="00E96A71">
        <w:rPr>
          <w:rFonts w:hint="cs"/>
          <w:rtl/>
        </w:rPr>
        <w:t> </w:t>
      </w:r>
      <w:r w:rsidR="00C06671" w:rsidRPr="00E96A71">
        <w:rPr>
          <w:rtl/>
        </w:rPr>
        <w:t>الويبو</w:t>
      </w:r>
      <w:r w:rsidRPr="00E96A71">
        <w:rPr>
          <w:rFonts w:hint="cs"/>
          <w:rtl/>
        </w:rPr>
        <w:t> </w:t>
      </w:r>
      <w:r w:rsidR="00C06671" w:rsidRPr="00E96A71">
        <w:t>ST.96</w:t>
      </w:r>
      <w:r w:rsidR="00C06671" w:rsidRPr="00E96A71">
        <w:rPr>
          <w:rtl/>
        </w:rPr>
        <w:t xml:space="preserve"> ليشمل</w:t>
      </w:r>
      <w:r w:rsidRPr="00E96A71">
        <w:rPr>
          <w:rFonts w:hint="cs"/>
          <w:rtl/>
        </w:rPr>
        <w:t xml:space="preserve"> </w:t>
      </w:r>
      <w:r w:rsidRPr="00E96A71">
        <w:rPr>
          <w:rtl/>
        </w:rPr>
        <w:t>لغة الترميز الموسعة (</w:t>
      </w:r>
      <w:r w:rsidRPr="00E96A71">
        <w:rPr>
          <w:cs/>
        </w:rPr>
        <w:t>‎</w:t>
      </w:r>
      <w:r w:rsidRPr="00E96A71">
        <w:t>XML</w:t>
      </w:r>
      <w:r w:rsidRPr="00E96A71">
        <w:rPr>
          <w:rtl/>
        </w:rPr>
        <w:t>‏)</w:t>
      </w:r>
      <w:r>
        <w:rPr>
          <w:rFonts w:hint="cs"/>
          <w:rtl/>
        </w:rPr>
        <w:t xml:space="preserve"> للمؤشرات الجغرافية (انظر المرفق الثاني من هذه الوثيقة).</w:t>
      </w:r>
    </w:p>
    <w:p w:rsidR="00E96A71" w:rsidRPr="00881763" w:rsidRDefault="00E96A71" w:rsidP="00881763">
      <w:pPr>
        <w:pStyle w:val="NormalParaAR"/>
        <w:keepNext/>
        <w:rPr>
          <w:sz w:val="40"/>
          <w:szCs w:val="40"/>
          <w:rtl/>
        </w:rPr>
      </w:pPr>
      <w:r w:rsidRPr="00881763">
        <w:rPr>
          <w:rFonts w:hint="cs"/>
          <w:sz w:val="40"/>
          <w:szCs w:val="40"/>
          <w:rtl/>
        </w:rPr>
        <w:t>المهمة المقترحة الجديدة لفرقة عمل</w:t>
      </w:r>
      <w:r w:rsidRPr="00881763">
        <w:rPr>
          <w:rFonts w:hint="eastAsia"/>
          <w:sz w:val="40"/>
          <w:szCs w:val="40"/>
          <w:rtl/>
        </w:rPr>
        <w:t> </w:t>
      </w:r>
      <w:r w:rsidRPr="00881763">
        <w:rPr>
          <w:sz w:val="40"/>
          <w:szCs w:val="40"/>
        </w:rPr>
        <w:t>XML4IP</w:t>
      </w:r>
    </w:p>
    <w:p w:rsidR="00E96A71" w:rsidRDefault="00E96A71" w:rsidP="00881763">
      <w:pPr>
        <w:pStyle w:val="NumberedParaAR"/>
        <w:rPr>
          <w:rtl/>
        </w:rPr>
      </w:pPr>
      <w:r>
        <w:rPr>
          <w:rFonts w:hint="cs"/>
          <w:rtl/>
        </w:rPr>
        <w:t>إذا وافقت لجنة المعايير على الاقتراحين المذكورين أعلاه، سينبغي ل</w:t>
      </w:r>
      <w:r w:rsidRPr="00E96A71">
        <w:rPr>
          <w:rtl/>
        </w:rPr>
        <w:t>فرقة عمل</w:t>
      </w:r>
      <w:r w:rsidR="00881763">
        <w:rPr>
          <w:rFonts w:hint="cs"/>
          <w:rtl/>
        </w:rPr>
        <w:t> </w:t>
      </w:r>
      <w:r w:rsidRPr="00E96A71">
        <w:t>XML4IP</w:t>
      </w:r>
      <w:r>
        <w:rPr>
          <w:rFonts w:hint="cs"/>
          <w:rtl/>
        </w:rPr>
        <w:t xml:space="preserve"> </w:t>
      </w:r>
      <w:r w:rsidR="006D3A58">
        <w:rPr>
          <w:rFonts w:hint="cs"/>
          <w:rtl/>
        </w:rPr>
        <w:t>أن تتولى</w:t>
      </w:r>
      <w:r>
        <w:rPr>
          <w:rFonts w:hint="cs"/>
          <w:rtl/>
        </w:rPr>
        <w:t xml:space="preserve"> أنشطة التطوير ذات الصلة لأن مراجعة </w:t>
      </w:r>
      <w:r w:rsidRPr="00E96A71">
        <w:rPr>
          <w:rtl/>
        </w:rPr>
        <w:t>معيار</w:t>
      </w:r>
      <w:r w:rsidRPr="00E96A71">
        <w:rPr>
          <w:rFonts w:hint="cs"/>
          <w:rtl/>
        </w:rPr>
        <w:t xml:space="preserve"> </w:t>
      </w:r>
      <w:r w:rsidRPr="00E96A71">
        <w:rPr>
          <w:rtl/>
        </w:rPr>
        <w:t>الويبو</w:t>
      </w:r>
      <w:r w:rsidRPr="00E96A71">
        <w:rPr>
          <w:rFonts w:hint="cs"/>
          <w:rtl/>
        </w:rPr>
        <w:t> </w:t>
      </w:r>
      <w:r w:rsidRPr="00E96A71">
        <w:t>ST.96</w:t>
      </w:r>
      <w:r>
        <w:rPr>
          <w:rFonts w:hint="cs"/>
          <w:rtl/>
        </w:rPr>
        <w:t xml:space="preserve"> تدخل ضمن مسؤولياتها. وعليه، يُقترح إسناد المهمة الجديدة التالية إلى فرقة العمل لأغراض مراجعة ذلك المعيار: "تطوير </w:t>
      </w:r>
      <w:r w:rsidR="006D3A58">
        <w:rPr>
          <w:rFonts w:hint="cs"/>
          <w:rtl/>
        </w:rPr>
        <w:t xml:space="preserve">عناصر </w:t>
      </w:r>
      <w:r>
        <w:rPr>
          <w:rFonts w:hint="cs"/>
          <w:rtl/>
        </w:rPr>
        <w:t>مخطط</w:t>
      </w:r>
      <w:r w:rsidR="008F1E4D">
        <w:rPr>
          <w:rFonts w:hint="cs"/>
          <w:rtl/>
        </w:rPr>
        <w:t xml:space="preserve"> لغة الترميز الموسعة (</w:t>
      </w:r>
      <w:r w:rsidR="008F1E4D" w:rsidRPr="008F1E4D">
        <w:t>XML</w:t>
      </w:r>
      <w:r w:rsidR="008F1E4D">
        <w:rPr>
          <w:rFonts w:hint="cs"/>
          <w:rtl/>
        </w:rPr>
        <w:t>)</w:t>
      </w:r>
      <w:r>
        <w:rPr>
          <w:rFonts w:hint="cs"/>
          <w:rtl/>
        </w:rPr>
        <w:t xml:space="preserve"> </w:t>
      </w:r>
      <w:r w:rsidR="006D3A58">
        <w:rPr>
          <w:rFonts w:hint="cs"/>
          <w:rtl/>
        </w:rPr>
        <w:t>للمصنفات اليتيمة والمؤشرات الجغرافية".</w:t>
      </w:r>
    </w:p>
    <w:p w:rsidR="00E96A71" w:rsidRDefault="006D3A58" w:rsidP="006D3A58">
      <w:pPr>
        <w:pStyle w:val="NumberedParaAR"/>
      </w:pPr>
      <w:r>
        <w:rPr>
          <w:rFonts w:hint="cs"/>
          <w:rtl/>
        </w:rPr>
        <w:t>وبعد الموافقة على الاقتراحين، سي</w:t>
      </w:r>
      <w:r w:rsidR="00B81882">
        <w:rPr>
          <w:rFonts w:hint="cs"/>
          <w:rtl/>
        </w:rPr>
        <w:t>ُ</w:t>
      </w:r>
      <w:r>
        <w:rPr>
          <w:rFonts w:hint="cs"/>
          <w:rtl/>
        </w:rPr>
        <w:t xml:space="preserve">صدر المكتب الدولي تعميما يدعو فيه أعضاء لجنة المعايير إلى ترشيح خبرائهم في مجالي المصنفات اليتيمة والمؤشرات الجغرافية </w:t>
      </w:r>
      <w:r w:rsidR="00B81882">
        <w:rPr>
          <w:rFonts w:hint="cs"/>
          <w:rtl/>
        </w:rPr>
        <w:t xml:space="preserve">لتشكيل </w:t>
      </w:r>
      <w:r w:rsidRPr="00E96A71">
        <w:rPr>
          <w:rtl/>
        </w:rPr>
        <w:t>فرقة عمل</w:t>
      </w:r>
      <w:r>
        <w:rPr>
          <w:rFonts w:hint="cs"/>
          <w:rtl/>
        </w:rPr>
        <w:t> </w:t>
      </w:r>
      <w:r w:rsidRPr="00E96A71">
        <w:t>XML4IP</w:t>
      </w:r>
      <w:r>
        <w:rPr>
          <w:rFonts w:hint="cs"/>
          <w:rtl/>
        </w:rPr>
        <w:t>.</w:t>
      </w:r>
    </w:p>
    <w:p w:rsidR="008313EA" w:rsidRDefault="006D3A58" w:rsidP="006D3A58">
      <w:pPr>
        <w:pStyle w:val="NumberedParaAR"/>
        <w:rPr>
          <w:rtl/>
        </w:rPr>
      </w:pPr>
      <w:r>
        <w:rPr>
          <w:rFonts w:hint="cs"/>
          <w:rtl/>
        </w:rPr>
        <w:t xml:space="preserve">وتلتمس لجنة المعايير من </w:t>
      </w:r>
      <w:r w:rsidRPr="00E96A71">
        <w:rPr>
          <w:rtl/>
        </w:rPr>
        <w:t>فرقة عمل</w:t>
      </w:r>
      <w:r>
        <w:rPr>
          <w:rFonts w:hint="cs"/>
          <w:rtl/>
        </w:rPr>
        <w:t> </w:t>
      </w:r>
      <w:r w:rsidRPr="00E96A71">
        <w:t>XML4IP</w:t>
      </w:r>
      <w:r>
        <w:rPr>
          <w:rFonts w:hint="cs"/>
          <w:rtl/>
        </w:rPr>
        <w:t xml:space="preserve"> أن تقدم لها، في دورتها القادمة المزمع عقدها في عام</w:t>
      </w:r>
      <w:r>
        <w:rPr>
          <w:rFonts w:hint="eastAsia"/>
          <w:rtl/>
        </w:rPr>
        <w:t> </w:t>
      </w:r>
      <w:r>
        <w:rPr>
          <w:rFonts w:hint="cs"/>
          <w:rtl/>
        </w:rPr>
        <w:t>2018، تقريرا مرحليا حول التطورات الجديدة في هذا الخصوص.</w:t>
      </w:r>
    </w:p>
    <w:p w:rsidR="008313EA" w:rsidRPr="00D06F82" w:rsidRDefault="008313EA">
      <w:pPr>
        <w:rPr>
          <w:rFonts w:ascii="Arabic Typesetting" w:hAnsi="Arabic Typesetting" w:cs="Arabic Typesetting"/>
          <w:sz w:val="36"/>
          <w:szCs w:val="36"/>
          <w:lang w:val="fr-FR"/>
        </w:rPr>
      </w:pPr>
      <w:r>
        <w:rPr>
          <w:rtl/>
        </w:rPr>
        <w:br w:type="page"/>
      </w:r>
    </w:p>
    <w:p w:rsidR="006D3A58" w:rsidRPr="00D06F82" w:rsidRDefault="006D3A58" w:rsidP="006D3A58">
      <w:pPr>
        <w:pStyle w:val="DecisionParaAR"/>
        <w:rPr>
          <w:lang w:val="fr-FR"/>
        </w:rPr>
      </w:pPr>
      <w:r>
        <w:rPr>
          <w:rFonts w:hint="cs"/>
          <w:rtl/>
        </w:rPr>
        <w:lastRenderedPageBreak/>
        <w:t>إن لجنة المعايير مدعوة إلى ما يلي:</w:t>
      </w:r>
    </w:p>
    <w:p w:rsidR="006D3A58" w:rsidRDefault="006D3A58" w:rsidP="006D3A58">
      <w:pPr>
        <w:pStyle w:val="DecisionParaAR"/>
        <w:numPr>
          <w:ilvl w:val="0"/>
          <w:numId w:val="0"/>
        </w:numPr>
        <w:ind w:left="6236"/>
        <w:rPr>
          <w:rtl/>
        </w:rPr>
      </w:pPr>
      <w:r>
        <w:rPr>
          <w:rFonts w:hint="cs"/>
          <w:rtl/>
        </w:rPr>
        <w:t>(أ)</w:t>
      </w:r>
      <w:r>
        <w:rPr>
          <w:rtl/>
        </w:rPr>
        <w:tab/>
      </w:r>
      <w:r>
        <w:rPr>
          <w:rFonts w:hint="cs"/>
          <w:rtl/>
        </w:rPr>
        <w:t>النظر في الاقتراح المُقدم من المملكة المتحدة والمشار إليه في الفقرة</w:t>
      </w:r>
      <w:r>
        <w:rPr>
          <w:rFonts w:hint="eastAsia"/>
          <w:rtl/>
        </w:rPr>
        <w:t> </w:t>
      </w:r>
      <w:r>
        <w:rPr>
          <w:rFonts w:hint="cs"/>
          <w:rtl/>
        </w:rPr>
        <w:t>4 من هذه الوثيقة؛</w:t>
      </w:r>
    </w:p>
    <w:p w:rsidR="006D3A58" w:rsidRDefault="006D3A58" w:rsidP="006D3A58">
      <w:pPr>
        <w:pStyle w:val="DecisionParaAR"/>
        <w:numPr>
          <w:ilvl w:val="0"/>
          <w:numId w:val="0"/>
        </w:numPr>
        <w:ind w:left="6236"/>
        <w:rPr>
          <w:rtl/>
        </w:rPr>
      </w:pPr>
      <w:r>
        <w:rPr>
          <w:rFonts w:hint="cs"/>
          <w:rtl/>
        </w:rPr>
        <w:t>(ب)</w:t>
      </w:r>
      <w:r>
        <w:rPr>
          <w:rtl/>
        </w:rPr>
        <w:tab/>
      </w:r>
      <w:r>
        <w:rPr>
          <w:rFonts w:hint="cs"/>
          <w:rtl/>
        </w:rPr>
        <w:t>والنظر في الاقتراح المُقدم من الاتحاد الروسي والمشار إليه في الفقرة</w:t>
      </w:r>
      <w:r>
        <w:rPr>
          <w:rFonts w:hint="eastAsia"/>
          <w:rtl/>
        </w:rPr>
        <w:t> </w:t>
      </w:r>
      <w:r>
        <w:rPr>
          <w:rFonts w:hint="cs"/>
          <w:rtl/>
        </w:rPr>
        <w:t>5 من هذه الوثيقة؛</w:t>
      </w:r>
    </w:p>
    <w:p w:rsidR="006D3A58" w:rsidRDefault="006D3A58" w:rsidP="008C5E22">
      <w:pPr>
        <w:pStyle w:val="DecisionParaAR"/>
        <w:numPr>
          <w:ilvl w:val="0"/>
          <w:numId w:val="0"/>
        </w:numPr>
        <w:ind w:left="6236"/>
        <w:rPr>
          <w:rtl/>
        </w:rPr>
      </w:pPr>
      <w:r>
        <w:rPr>
          <w:rFonts w:hint="cs"/>
          <w:rtl/>
        </w:rPr>
        <w:t>(ج)</w:t>
      </w:r>
      <w:r>
        <w:rPr>
          <w:rtl/>
        </w:rPr>
        <w:tab/>
      </w:r>
      <w:r>
        <w:rPr>
          <w:rFonts w:hint="cs"/>
          <w:rtl/>
        </w:rPr>
        <w:t xml:space="preserve">وإذا حظي الاقتراح (الاقتراحان) المذكور أعلاه بالموافقة، إسناد المهمة الجديدة إلى </w:t>
      </w:r>
      <w:r w:rsidR="00E96A71" w:rsidRPr="006D3A58">
        <w:rPr>
          <w:rtl/>
        </w:rPr>
        <w:t xml:space="preserve">فرقة عمل </w:t>
      </w:r>
      <w:r w:rsidR="00E96A71" w:rsidRPr="006D3A58">
        <w:t>XML4IP</w:t>
      </w:r>
      <w:r>
        <w:rPr>
          <w:rFonts w:hint="cs"/>
          <w:rtl/>
        </w:rPr>
        <w:t xml:space="preserve"> </w:t>
      </w:r>
      <w:r w:rsidR="008313EA">
        <w:rPr>
          <w:rFonts w:hint="cs"/>
          <w:rtl/>
        </w:rPr>
        <w:t>والالتماس من</w:t>
      </w:r>
      <w:r>
        <w:rPr>
          <w:rFonts w:hint="cs"/>
          <w:rtl/>
        </w:rPr>
        <w:t xml:space="preserve"> المكتب الدولي دعوة أعضا</w:t>
      </w:r>
      <w:r w:rsidR="008313EA">
        <w:rPr>
          <w:rFonts w:hint="cs"/>
          <w:rtl/>
        </w:rPr>
        <w:t>ء لجنة المعايير إلى ترشيح خبراء في مجالي المصنفات اليتيمة و</w:t>
      </w:r>
      <w:r w:rsidR="00B81882">
        <w:rPr>
          <w:rFonts w:hint="cs"/>
          <w:rtl/>
        </w:rPr>
        <w:t xml:space="preserve">المؤشرات الجغرافية لتشكيل </w:t>
      </w:r>
      <w:r w:rsidR="008313EA">
        <w:rPr>
          <w:rFonts w:hint="cs"/>
          <w:rtl/>
        </w:rPr>
        <w:t>فرقة العمل، كما هو مشار إليه في الفقرة</w:t>
      </w:r>
      <w:r w:rsidR="008C5E22">
        <w:rPr>
          <w:rFonts w:hint="eastAsia"/>
          <w:rtl/>
        </w:rPr>
        <w:t> </w:t>
      </w:r>
      <w:r w:rsidR="008313EA">
        <w:rPr>
          <w:rFonts w:hint="cs"/>
          <w:rtl/>
        </w:rPr>
        <w:t>6؛</w:t>
      </w:r>
    </w:p>
    <w:p w:rsidR="008313EA" w:rsidRDefault="008313EA" w:rsidP="008313EA">
      <w:pPr>
        <w:pStyle w:val="DecisionParaAR"/>
        <w:numPr>
          <w:ilvl w:val="0"/>
          <w:numId w:val="0"/>
        </w:numPr>
        <w:spacing w:after="480"/>
        <w:ind w:left="6237"/>
        <w:rPr>
          <w:rtl/>
        </w:rPr>
      </w:pPr>
      <w:r>
        <w:rPr>
          <w:rFonts w:hint="cs"/>
          <w:rtl/>
        </w:rPr>
        <w:t>(د)</w:t>
      </w:r>
      <w:r>
        <w:rPr>
          <w:rtl/>
        </w:rPr>
        <w:tab/>
      </w:r>
      <w:r>
        <w:rPr>
          <w:rFonts w:hint="cs"/>
          <w:rtl/>
        </w:rPr>
        <w:t xml:space="preserve">والالتماس من </w:t>
      </w:r>
      <w:r w:rsidRPr="00E96A71">
        <w:rPr>
          <w:rtl/>
        </w:rPr>
        <w:t xml:space="preserve">فرقة عمل </w:t>
      </w:r>
      <w:r w:rsidRPr="00E96A71">
        <w:t>XML4IP</w:t>
      </w:r>
      <w:r>
        <w:rPr>
          <w:rFonts w:hint="cs"/>
          <w:rtl/>
        </w:rPr>
        <w:t xml:space="preserve"> تقديم تقرير مرحلي حول المهمة الجديدة إلى الدورة القادة للجنة المعايير.</w:t>
      </w:r>
    </w:p>
    <w:p w:rsidR="00E562B4" w:rsidRDefault="008313EA" w:rsidP="008313EA">
      <w:pPr>
        <w:pStyle w:val="EndofDocumentAR"/>
        <w:rPr>
          <w:rtl/>
        </w:rPr>
        <w:sectPr w:rsidR="00E562B4"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المرفقان]</w:t>
      </w:r>
    </w:p>
    <w:p w:rsidR="008313EA" w:rsidRPr="00E562B4" w:rsidRDefault="00E562B4" w:rsidP="00E562B4">
      <w:pPr>
        <w:pStyle w:val="NormalParaAR"/>
        <w:keepNext/>
        <w:rPr>
          <w:b/>
          <w:bCs/>
          <w:sz w:val="40"/>
          <w:szCs w:val="40"/>
          <w:rtl/>
        </w:rPr>
      </w:pPr>
      <w:r w:rsidRPr="00E562B4">
        <w:rPr>
          <w:rFonts w:hint="cs"/>
          <w:b/>
          <w:bCs/>
          <w:sz w:val="40"/>
          <w:szCs w:val="40"/>
          <w:rtl/>
        </w:rPr>
        <w:lastRenderedPageBreak/>
        <w:t xml:space="preserve">اقتراح بشأن </w:t>
      </w:r>
      <w:r w:rsidRPr="00E562B4">
        <w:rPr>
          <w:b/>
          <w:bCs/>
          <w:sz w:val="40"/>
          <w:szCs w:val="40"/>
          <w:rtl/>
        </w:rPr>
        <w:t>توسيع معيار الويبو</w:t>
      </w:r>
      <w:r w:rsidRPr="00E562B4">
        <w:rPr>
          <w:rFonts w:hint="cs"/>
          <w:b/>
          <w:bCs/>
          <w:sz w:val="40"/>
          <w:szCs w:val="40"/>
          <w:rtl/>
        </w:rPr>
        <w:t> </w:t>
      </w:r>
      <w:r w:rsidRPr="00E562B4">
        <w:rPr>
          <w:b/>
          <w:bCs/>
          <w:sz w:val="40"/>
          <w:szCs w:val="40"/>
        </w:rPr>
        <w:t>ST.96</w:t>
      </w:r>
      <w:r w:rsidRPr="00E562B4">
        <w:rPr>
          <w:b/>
          <w:bCs/>
          <w:sz w:val="40"/>
          <w:szCs w:val="40"/>
          <w:rtl/>
        </w:rPr>
        <w:t xml:space="preserve"> ليشمل مخطط لغة الترميز الموسعة (</w:t>
      </w:r>
      <w:r w:rsidRPr="00E562B4">
        <w:rPr>
          <w:b/>
          <w:bCs/>
          <w:sz w:val="40"/>
          <w:szCs w:val="40"/>
        </w:rPr>
        <w:t>XML</w:t>
      </w:r>
      <w:r w:rsidRPr="00E562B4">
        <w:rPr>
          <w:b/>
          <w:bCs/>
          <w:sz w:val="40"/>
          <w:szCs w:val="40"/>
          <w:rtl/>
        </w:rPr>
        <w:t>) للمصنفات اليتيمة</w:t>
      </w:r>
    </w:p>
    <w:p w:rsidR="00E562B4" w:rsidRPr="00E562B4" w:rsidRDefault="00E562B4" w:rsidP="00E562B4">
      <w:pPr>
        <w:pStyle w:val="NormalParaAR"/>
        <w:rPr>
          <w:i/>
          <w:iCs/>
          <w:rtl/>
        </w:rPr>
      </w:pPr>
      <w:r w:rsidRPr="00E562B4">
        <w:rPr>
          <w:rFonts w:hint="cs"/>
          <w:i/>
          <w:iCs/>
          <w:rtl/>
        </w:rPr>
        <w:t>وثيقة من إعداد مكتب المملكة المتحدة للملكية الفكرية</w:t>
      </w:r>
    </w:p>
    <w:p w:rsidR="00E562B4" w:rsidRDefault="00E562B4" w:rsidP="008C5E22">
      <w:pPr>
        <w:pStyle w:val="NormalParaAR"/>
        <w:rPr>
          <w:rtl/>
          <w:lang w:val="en-GB"/>
        </w:rPr>
      </w:pPr>
      <w:r>
        <w:rPr>
          <w:rFonts w:hint="cs"/>
          <w:rtl/>
        </w:rPr>
        <w:t>اقترح مكتب المملكة المتحدة للملكية الفكرية على اللجنة المعنية</w:t>
      </w:r>
      <w:r w:rsidR="008C5E22">
        <w:rPr>
          <w:rFonts w:hint="cs"/>
          <w:rtl/>
        </w:rPr>
        <w:t xml:space="preserve"> بمعايير الويبو (لجنة المعايير)، </w:t>
      </w:r>
      <w:r>
        <w:rPr>
          <w:rFonts w:hint="cs"/>
          <w:rtl/>
        </w:rPr>
        <w:t>في مايو</w:t>
      </w:r>
      <w:r w:rsidR="00757F28">
        <w:rPr>
          <w:rFonts w:hint="eastAsia"/>
          <w:rtl/>
        </w:rPr>
        <w:t> </w:t>
      </w:r>
      <w:r>
        <w:rPr>
          <w:rFonts w:hint="cs"/>
          <w:rtl/>
        </w:rPr>
        <w:t>2014 (الوثيقة</w:t>
      </w:r>
      <w:r>
        <w:rPr>
          <w:rFonts w:hint="eastAsia"/>
          <w:rtl/>
        </w:rPr>
        <w:t> </w:t>
      </w:r>
      <w:r w:rsidRPr="00E562B4">
        <w:rPr>
          <w:lang w:val="en-GB"/>
        </w:rPr>
        <w:t>CWS/4/3</w:t>
      </w:r>
      <w:r>
        <w:rPr>
          <w:rFonts w:hint="cs"/>
          <w:rtl/>
          <w:lang w:val="en-GB"/>
        </w:rPr>
        <w:t>)</w:t>
      </w:r>
      <w:r w:rsidR="008C5E22">
        <w:rPr>
          <w:rFonts w:hint="cs"/>
          <w:rtl/>
          <w:lang w:val="en-GB"/>
        </w:rPr>
        <w:t xml:space="preserve">، </w:t>
      </w:r>
      <w:r w:rsidR="00757F28">
        <w:rPr>
          <w:rFonts w:hint="cs"/>
          <w:rtl/>
          <w:lang w:val="en-GB"/>
        </w:rPr>
        <w:t xml:space="preserve">لزوم توسيع معيار تبادل البيانات المعروف باسم </w:t>
      </w:r>
      <w:r w:rsidR="00757F28" w:rsidRPr="00757F28">
        <w:rPr>
          <w:rtl/>
          <w:lang w:val="en-GB"/>
        </w:rPr>
        <w:t>معيار الويبو</w:t>
      </w:r>
      <w:r w:rsidR="00757F28">
        <w:rPr>
          <w:rFonts w:hint="cs"/>
          <w:rtl/>
          <w:lang w:val="en-GB"/>
        </w:rPr>
        <w:t> </w:t>
      </w:r>
      <w:r w:rsidR="00757F28" w:rsidRPr="00757F28">
        <w:rPr>
          <w:lang w:val="en-GB"/>
        </w:rPr>
        <w:t>ST.96</w:t>
      </w:r>
      <w:r w:rsidR="00757F28">
        <w:rPr>
          <w:rFonts w:hint="cs"/>
          <w:rtl/>
          <w:lang w:val="en-GB"/>
        </w:rPr>
        <w:t xml:space="preserve"> ليشمل المصنفات اليتيمة </w:t>
      </w:r>
      <w:r w:rsidR="008C5E22">
        <w:rPr>
          <w:rFonts w:hint="cs"/>
          <w:rtl/>
          <w:lang w:val="en-GB"/>
        </w:rPr>
        <w:t>بالإضافة إلى</w:t>
      </w:r>
      <w:r w:rsidR="00757F28">
        <w:rPr>
          <w:rFonts w:hint="cs"/>
          <w:rtl/>
          <w:lang w:val="en-GB"/>
        </w:rPr>
        <w:t xml:space="preserve"> حقوق الملكية الفكرية الأخرى المتصلة بالبراءات والعلامات التجارية والتصاميم.</w:t>
      </w:r>
    </w:p>
    <w:p w:rsidR="00757F28" w:rsidRDefault="008F6061" w:rsidP="007735C5">
      <w:pPr>
        <w:pStyle w:val="NormalParaAR"/>
        <w:rPr>
          <w:rtl/>
          <w:lang w:val="en-GB"/>
        </w:rPr>
      </w:pPr>
      <w:r>
        <w:rPr>
          <w:rFonts w:hint="cs"/>
          <w:rtl/>
        </w:rPr>
        <w:t>و</w:t>
      </w:r>
      <w:r w:rsidR="00757F28">
        <w:rPr>
          <w:rFonts w:hint="cs"/>
          <w:rtl/>
        </w:rPr>
        <w:t>الدافع وراء توسيع ال</w:t>
      </w:r>
      <w:r w:rsidR="00757F28" w:rsidRPr="00757F28">
        <w:rPr>
          <w:rtl/>
          <w:lang w:val="en-GB"/>
        </w:rPr>
        <w:t xml:space="preserve">معيار </w:t>
      </w:r>
      <w:r w:rsidR="00757F28" w:rsidRPr="00757F28">
        <w:rPr>
          <w:lang w:val="en-GB"/>
        </w:rPr>
        <w:t>ST.96</w:t>
      </w:r>
      <w:r w:rsidR="00757F28">
        <w:rPr>
          <w:rFonts w:hint="cs"/>
          <w:rtl/>
          <w:lang w:val="en-GB"/>
        </w:rPr>
        <w:t xml:space="preserve"> هو المخطط الذي وضعه مكتب المملكة المتحدة للملكية الفكرية لترخيص المصنفات اليتيمة (التي لا يُعرف أصحابها</w:t>
      </w:r>
      <w:r w:rsidR="007735C5">
        <w:rPr>
          <w:rFonts w:hint="cs"/>
          <w:rtl/>
          <w:lang w:val="en-GB"/>
        </w:rPr>
        <w:t>) بغرض تمكين نسخ تلك المصنفات لاستخدامها في المملكة المتحدة فقط. ولهذا الغرض، استحدث مكتب المملكة المتحدة للملكية الفكرية إجراءً إلكترونيا لتقديم الطلبات وقاعدة بيانات عامة تشتمل على مصنفات يتيمة محدّدة لم يتحقّق المكتب المذكور منها بعد ومصنفات يتيمة أخرى وافق المكتب على ترخيصها.</w:t>
      </w:r>
    </w:p>
    <w:p w:rsidR="007735C5" w:rsidRDefault="007735C5" w:rsidP="007735C5">
      <w:pPr>
        <w:pStyle w:val="NormalParaAR"/>
        <w:rPr>
          <w:rtl/>
          <w:lang w:val="en-GB"/>
        </w:rPr>
      </w:pPr>
      <w:r>
        <w:rPr>
          <w:rFonts w:hint="cs"/>
          <w:rtl/>
          <w:lang w:val="en-GB"/>
        </w:rPr>
        <w:t>ويتولى مكتب الاتحاد الأوروبي للملكية الفكرية إدارة نظام الاتحاد الأوروبي الخاص بالمصنفات اليتيمة ويتولى أيضا مسك السجلات الخاصة بالمصنفات اليتيمة المحدّدة داخل الاتحاد الأوروبي والتي يجري استخدامها في إطار توجيه الاتحاد الأوروبي بشأن المصنفات اليتيمة. وفي حين يوجد اختلاف بين مخطط المملكة المتحدة ومخطط الاتحاد</w:t>
      </w:r>
      <w:r w:rsidR="008F6061">
        <w:rPr>
          <w:rFonts w:hint="cs"/>
          <w:rtl/>
          <w:lang w:val="en-GB"/>
        </w:rPr>
        <w:t xml:space="preserve"> الأوروبي، فإن ثمة تطابقا جوهريا من حيث سمات النظامين والمعلومات الأساسية التي يشتملان عليها بشأن المصنف اليتيم، ومن حيث أصحاب الحقوق والأبحاث الدقيقة وغير ذلك.</w:t>
      </w:r>
    </w:p>
    <w:p w:rsidR="008F6061" w:rsidRDefault="008F6061" w:rsidP="008F6061">
      <w:pPr>
        <w:pStyle w:val="NormalParaAR"/>
        <w:rPr>
          <w:rtl/>
          <w:lang w:val="en-GB"/>
        </w:rPr>
      </w:pPr>
      <w:r>
        <w:rPr>
          <w:rFonts w:hint="cs"/>
          <w:rtl/>
          <w:lang w:val="en-GB"/>
        </w:rPr>
        <w:t xml:space="preserve">وبالتالي، يرى مكتب المملكة المتحدة للملكية الفكرية أن </w:t>
      </w:r>
      <w:r w:rsidRPr="008F6061">
        <w:rPr>
          <w:rtl/>
          <w:lang w:val="en-GB"/>
        </w:rPr>
        <w:t>معيار الويبو</w:t>
      </w:r>
      <w:r w:rsidRPr="008F6061">
        <w:rPr>
          <w:rFonts w:hint="cs"/>
          <w:rtl/>
          <w:lang w:val="en-GB"/>
        </w:rPr>
        <w:t> </w:t>
      </w:r>
      <w:r w:rsidRPr="008F6061">
        <w:rPr>
          <w:lang w:val="en-GB"/>
        </w:rPr>
        <w:t>ST.96</w:t>
      </w:r>
      <w:r>
        <w:rPr>
          <w:rFonts w:hint="cs"/>
          <w:rtl/>
          <w:lang w:val="en-GB"/>
        </w:rPr>
        <w:t xml:space="preserve"> الذي يستخدم لغة الترميز </w:t>
      </w:r>
      <w:r w:rsidR="005A47C4" w:rsidRPr="008F6061">
        <w:rPr>
          <w:rtl/>
          <w:lang w:val="en-GB"/>
        </w:rPr>
        <w:t>الموسعة (</w:t>
      </w:r>
      <w:r w:rsidR="005A47C4" w:rsidRPr="008F6061">
        <w:rPr>
          <w:cs/>
          <w:lang w:val="en-GB"/>
        </w:rPr>
        <w:t>‎</w:t>
      </w:r>
      <w:r w:rsidR="005A47C4" w:rsidRPr="008F6061">
        <w:t>XML</w:t>
      </w:r>
      <w:r w:rsidR="005A47C4" w:rsidRPr="008F6061">
        <w:rPr>
          <w:rtl/>
          <w:lang w:val="en-GB"/>
        </w:rPr>
        <w:t>‏)</w:t>
      </w:r>
      <w:r>
        <w:rPr>
          <w:rFonts w:hint="cs"/>
          <w:rtl/>
          <w:lang w:val="en-GB"/>
        </w:rPr>
        <w:t>، والذي يستعمله المكتب</w:t>
      </w:r>
      <w:r w:rsidR="0048046A">
        <w:rPr>
          <w:rFonts w:hint="cs"/>
          <w:rtl/>
          <w:lang w:val="en-GB"/>
        </w:rPr>
        <w:t xml:space="preserve"> المذكور</w:t>
      </w:r>
      <w:r>
        <w:rPr>
          <w:rFonts w:hint="cs"/>
          <w:rtl/>
          <w:lang w:val="en-GB"/>
        </w:rPr>
        <w:t xml:space="preserve"> كمعيار للتسمية والتبادل الداخلي/الخارجي للبيانات المتعلقة بالبراءات والعلامات التجارية والتصاميم المُسجلة، ينبغي أن يكون متاحا للاستخدام مع البيانات المتصلة بالمصنفات</w:t>
      </w:r>
      <w:r w:rsidR="0048046A">
        <w:rPr>
          <w:rFonts w:hint="cs"/>
          <w:rtl/>
          <w:lang w:val="en-GB"/>
        </w:rPr>
        <w:t xml:space="preserve"> اليتيمة.</w:t>
      </w:r>
    </w:p>
    <w:p w:rsidR="0048046A" w:rsidRDefault="0048046A" w:rsidP="008C5E22">
      <w:pPr>
        <w:pStyle w:val="NormalParaAR"/>
        <w:rPr>
          <w:rtl/>
          <w:lang w:val="en-GB"/>
        </w:rPr>
      </w:pPr>
      <w:r>
        <w:rPr>
          <w:rFonts w:hint="cs"/>
          <w:rtl/>
          <w:lang w:val="en-GB"/>
        </w:rPr>
        <w:t>وتجدر الإشارة إلى أن مكتب المملكة المتحدة للملكية الفكرية لا يقترح هنا إضفاء أي طابع إلزامي على تسجيل حق المؤلف مما يكون مخالفا لاتفاقية برن، ولا يطلب من البلدان الأخرى وضع مخططات للمصنفات اليتيمة؛ بل يدعو في اقتراحه إلى تيسير المعايير التقنية المتوافقة مع بعضها البعض.</w:t>
      </w:r>
    </w:p>
    <w:p w:rsidR="0048046A" w:rsidRDefault="0048046A" w:rsidP="008F1E4D">
      <w:pPr>
        <w:pStyle w:val="NormalParaAR"/>
        <w:spacing w:after="480"/>
        <w:rPr>
          <w:rtl/>
        </w:rPr>
      </w:pPr>
      <w:r>
        <w:rPr>
          <w:rFonts w:hint="cs"/>
          <w:rtl/>
          <w:lang w:val="en-GB"/>
        </w:rPr>
        <w:t xml:space="preserve">وبناء عليه، يودّ مكتب المملكة المتحدة للملكية الفكرية </w:t>
      </w:r>
      <w:r w:rsidRPr="0048046A">
        <w:rPr>
          <w:rFonts w:hint="cs"/>
          <w:rtl/>
          <w:lang w:val="en-GB"/>
        </w:rPr>
        <w:t>توسيع ال</w:t>
      </w:r>
      <w:r w:rsidRPr="0048046A">
        <w:rPr>
          <w:rtl/>
          <w:lang w:val="en-GB"/>
        </w:rPr>
        <w:t xml:space="preserve">معيار </w:t>
      </w:r>
      <w:r w:rsidRPr="0048046A">
        <w:rPr>
          <w:lang w:val="en-GB"/>
        </w:rPr>
        <w:t>ST.96</w:t>
      </w:r>
      <w:r>
        <w:rPr>
          <w:rFonts w:hint="cs"/>
          <w:rtl/>
          <w:lang w:val="en-GB"/>
        </w:rPr>
        <w:t xml:space="preserve"> ليشمل المصنفات اليتيمة. وقد أعدّ المكتب المذكور مشروع مخطط </w:t>
      </w:r>
      <w:r w:rsidR="008F1E4D">
        <w:rPr>
          <w:rFonts w:hint="cs"/>
          <w:rtl/>
          <w:lang w:val="en-GB"/>
        </w:rPr>
        <w:t>لغة الترميز الموسعة (</w:t>
      </w:r>
      <w:r w:rsidR="008F1E4D" w:rsidRPr="0048046A">
        <w:t>XML</w:t>
      </w:r>
      <w:r w:rsidR="008F1E4D">
        <w:rPr>
          <w:rFonts w:hint="cs"/>
          <w:rtl/>
          <w:lang w:val="en-GB"/>
        </w:rPr>
        <w:t xml:space="preserve">) </w:t>
      </w:r>
      <w:r>
        <w:rPr>
          <w:rFonts w:hint="cs"/>
          <w:rtl/>
        </w:rPr>
        <w:t>استنادا إلى المعيار</w:t>
      </w:r>
      <w:r>
        <w:rPr>
          <w:rFonts w:hint="eastAsia"/>
          <w:rtl/>
        </w:rPr>
        <w:t> </w:t>
      </w:r>
      <w:r w:rsidRPr="0048046A">
        <w:rPr>
          <w:lang w:val="en-GB"/>
        </w:rPr>
        <w:t>ST.96</w:t>
      </w:r>
      <w:r>
        <w:rPr>
          <w:rFonts w:hint="cs"/>
          <w:rtl/>
          <w:lang w:val="en-GB"/>
        </w:rPr>
        <w:t xml:space="preserve"> لتناقشه مجموعة خبراء لجنة المعايير، أي </w:t>
      </w:r>
      <w:r w:rsidR="00E96A71" w:rsidRPr="0048046A">
        <w:rPr>
          <w:rtl/>
          <w:lang w:val="en-GB"/>
        </w:rPr>
        <w:t>فرقة عمل</w:t>
      </w:r>
      <w:r w:rsidRPr="0048046A">
        <w:rPr>
          <w:rFonts w:hint="cs"/>
          <w:rtl/>
          <w:lang w:val="en-GB"/>
        </w:rPr>
        <w:t> </w:t>
      </w:r>
      <w:r w:rsidR="00E96A71" w:rsidRPr="0048046A">
        <w:t>XML4IP</w:t>
      </w:r>
      <w:r>
        <w:rPr>
          <w:rFonts w:hint="cs"/>
          <w:rtl/>
        </w:rPr>
        <w:t>، في حال وافقت لجنة المعايير على هذا الاقتراح (انظر مرفق هذا الاقتراح).</w:t>
      </w:r>
    </w:p>
    <w:p w:rsidR="00842D0C" w:rsidRDefault="00842D0C" w:rsidP="00842D0C">
      <w:pPr>
        <w:pStyle w:val="EndofDocumentAR"/>
        <w:rPr>
          <w:rtl/>
        </w:rPr>
      </w:pPr>
      <w:r>
        <w:rPr>
          <w:rFonts w:hint="cs"/>
          <w:rtl/>
        </w:rPr>
        <w:t>[يلي ذلك مرفق الاقتراح]</w:t>
      </w:r>
    </w:p>
    <w:p w:rsidR="00842D0C" w:rsidRDefault="00842D0C">
      <w:pPr>
        <w:rPr>
          <w:rFonts w:ascii="Arabic Typesetting" w:hAnsi="Arabic Typesetting" w:cs="Arabic Typesetting"/>
          <w:sz w:val="36"/>
          <w:szCs w:val="36"/>
          <w:rtl/>
        </w:rPr>
      </w:pPr>
      <w:r>
        <w:rPr>
          <w:rtl/>
        </w:rPr>
        <w:br w:type="page"/>
      </w:r>
    </w:p>
    <w:p w:rsidR="00842D0C" w:rsidRPr="008C5E22" w:rsidRDefault="00842D0C" w:rsidP="008C5E22">
      <w:pPr>
        <w:pStyle w:val="NormalParaAR"/>
        <w:keepNext/>
        <w:rPr>
          <w:b/>
          <w:bCs/>
          <w:sz w:val="40"/>
          <w:szCs w:val="40"/>
          <w:rtl/>
        </w:rPr>
      </w:pPr>
      <w:r w:rsidRPr="008C5E22">
        <w:rPr>
          <w:rFonts w:hint="cs"/>
          <w:b/>
          <w:bCs/>
          <w:sz w:val="40"/>
          <w:szCs w:val="40"/>
          <w:rtl/>
        </w:rPr>
        <w:lastRenderedPageBreak/>
        <w:t>مرفق الاقتراح</w:t>
      </w:r>
    </w:p>
    <w:p w:rsidR="00842D0C" w:rsidRDefault="00842D0C" w:rsidP="008F1E4D">
      <w:pPr>
        <w:pStyle w:val="NormalParaAR"/>
        <w:rPr>
          <w:rtl/>
        </w:rPr>
      </w:pPr>
      <w:r w:rsidRPr="008C5E22">
        <w:rPr>
          <w:rFonts w:hint="cs"/>
          <w:b/>
          <w:bCs/>
          <w:rtl/>
        </w:rPr>
        <w:t xml:space="preserve">الملحق ألف </w:t>
      </w:r>
      <w:r w:rsidRPr="008C5E22">
        <w:rPr>
          <w:b/>
          <w:bCs/>
          <w:rtl/>
        </w:rPr>
        <w:t>–</w:t>
      </w:r>
      <w:r w:rsidRPr="008C5E22">
        <w:rPr>
          <w:rFonts w:hint="cs"/>
          <w:b/>
          <w:bCs/>
          <w:rtl/>
        </w:rPr>
        <w:t xml:space="preserve"> </w:t>
      </w:r>
      <w:r>
        <w:rPr>
          <w:rFonts w:hint="cs"/>
          <w:rtl/>
        </w:rPr>
        <w:t>مشروع مخطط</w:t>
      </w:r>
      <w:r w:rsidR="008F1E4D">
        <w:rPr>
          <w:rFonts w:hint="cs"/>
          <w:rtl/>
        </w:rPr>
        <w:t xml:space="preserve"> لغة الترميز الموسعة (</w:t>
      </w:r>
      <w:r w:rsidR="008F1E4D">
        <w:t>XML</w:t>
      </w:r>
      <w:r w:rsidR="008F1E4D">
        <w:rPr>
          <w:rFonts w:hint="cs"/>
          <w:rtl/>
        </w:rPr>
        <w:t xml:space="preserve">) </w:t>
      </w:r>
      <w:r>
        <w:rPr>
          <w:rFonts w:hint="cs"/>
          <w:rtl/>
        </w:rPr>
        <w:t>للمصنفات اليتيمة (</w:t>
      </w:r>
      <w:hyperlink r:id="rId11" w:history="1">
        <w:r w:rsidRPr="00842D0C">
          <w:rPr>
            <w:rStyle w:val="Hyperlink"/>
            <w:rFonts w:hint="cs"/>
            <w:rtl/>
          </w:rPr>
          <w:t>مشروع مخطط المصنفات اليتيمة</w:t>
        </w:r>
      </w:hyperlink>
      <w:r>
        <w:rPr>
          <w:rFonts w:hint="cs"/>
          <w:rtl/>
        </w:rPr>
        <w:t>)</w:t>
      </w:r>
    </w:p>
    <w:p w:rsidR="00842D0C" w:rsidRDefault="00842D0C" w:rsidP="008F1E4D">
      <w:pPr>
        <w:pStyle w:val="NormalParaAR"/>
        <w:rPr>
          <w:rtl/>
        </w:rPr>
      </w:pPr>
      <w:r w:rsidRPr="008C5E22">
        <w:rPr>
          <w:rFonts w:hint="cs"/>
          <w:b/>
          <w:bCs/>
          <w:rtl/>
        </w:rPr>
        <w:t xml:space="preserve">الملحق باء </w:t>
      </w:r>
      <w:r w:rsidR="00934C51" w:rsidRPr="008C5E22">
        <w:rPr>
          <w:b/>
          <w:bCs/>
          <w:rtl/>
        </w:rPr>
        <w:t>–</w:t>
      </w:r>
      <w:r>
        <w:rPr>
          <w:rFonts w:hint="cs"/>
          <w:rtl/>
        </w:rPr>
        <w:t xml:space="preserve"> </w:t>
      </w:r>
      <w:r w:rsidR="00934C51">
        <w:rPr>
          <w:rFonts w:hint="cs"/>
          <w:rtl/>
        </w:rPr>
        <w:t>الرسم البياني</w:t>
      </w:r>
      <w:r w:rsidR="008C5E22">
        <w:rPr>
          <w:rFonts w:hint="cs"/>
          <w:rtl/>
        </w:rPr>
        <w:t xml:space="preserve"> لمشروع </w:t>
      </w:r>
      <w:r w:rsidR="008F1E4D" w:rsidRPr="008F1E4D">
        <w:rPr>
          <w:rFonts w:hint="cs"/>
          <w:rtl/>
        </w:rPr>
        <w:t>مخطط لغة الترميز الموسعة (</w:t>
      </w:r>
      <w:r w:rsidR="008F1E4D" w:rsidRPr="008F1E4D">
        <w:t>XML</w:t>
      </w:r>
      <w:r w:rsidR="008F1E4D" w:rsidRPr="008F1E4D">
        <w:rPr>
          <w:rFonts w:hint="cs"/>
          <w:rtl/>
        </w:rPr>
        <w:t xml:space="preserve">) </w:t>
      </w:r>
      <w:r w:rsidR="00934C51" w:rsidRPr="00934C51">
        <w:rPr>
          <w:rFonts w:hint="cs"/>
          <w:rtl/>
        </w:rPr>
        <w:t>للمصنفات اليتيمة</w:t>
      </w:r>
    </w:p>
    <w:p w:rsidR="00934C51" w:rsidRDefault="00934C51" w:rsidP="00934C51">
      <w:pPr>
        <w:pStyle w:val="NormalParaAR"/>
        <w:spacing w:after="480" w:line="240" w:lineRule="auto"/>
        <w:rPr>
          <w:rtl/>
        </w:rPr>
      </w:pPr>
      <w:r w:rsidRPr="00934C51">
        <w:rPr>
          <w:rFonts w:hint="cs"/>
          <w:noProof/>
          <w:rtl/>
        </w:rPr>
        <w:drawing>
          <wp:inline distT="0" distB="0" distL="0" distR="0">
            <wp:extent cx="2684419" cy="7007961"/>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4698" cy="7008690"/>
                    </a:xfrm>
                    <a:prstGeom prst="rect">
                      <a:avLst/>
                    </a:prstGeom>
                    <a:noFill/>
                    <a:ln>
                      <a:noFill/>
                    </a:ln>
                  </pic:spPr>
                </pic:pic>
              </a:graphicData>
            </a:graphic>
          </wp:inline>
        </w:drawing>
      </w:r>
    </w:p>
    <w:p w:rsidR="00934C51" w:rsidRDefault="00934C51" w:rsidP="00934C51">
      <w:pPr>
        <w:pStyle w:val="EndofDocumentAR"/>
        <w:rPr>
          <w:rtl/>
        </w:rPr>
        <w:sectPr w:rsidR="00934C51" w:rsidSect="00842D0C">
          <w:headerReference w:type="default" r:id="rId13"/>
          <w:headerReference w:type="first" r:id="rId14"/>
          <w:pgSz w:w="11907" w:h="16840" w:code="9"/>
          <w:pgMar w:top="567" w:right="1418" w:bottom="1418" w:left="1134" w:header="510" w:footer="1021" w:gutter="0"/>
          <w:pgNumType w:start="1"/>
          <w:cols w:space="720"/>
          <w:titlePg/>
          <w:docGrid w:linePitch="299"/>
        </w:sectPr>
      </w:pPr>
      <w:r>
        <w:rPr>
          <w:rFonts w:hint="cs"/>
          <w:rtl/>
        </w:rPr>
        <w:t>[يلي ذلك المرفق الثاني]</w:t>
      </w:r>
    </w:p>
    <w:p w:rsidR="00934C51" w:rsidRDefault="00934C51" w:rsidP="00934C51">
      <w:pPr>
        <w:pStyle w:val="NormalParaAR"/>
        <w:rPr>
          <w:rtl/>
        </w:rPr>
      </w:pPr>
      <w:r>
        <w:rPr>
          <w:rFonts w:hint="cs"/>
          <w:rtl/>
        </w:rPr>
        <w:lastRenderedPageBreak/>
        <w:t xml:space="preserve">إلى </w:t>
      </w:r>
      <w:r w:rsidR="008C5E22">
        <w:rPr>
          <w:rFonts w:hint="cs"/>
          <w:rtl/>
        </w:rPr>
        <w:t>السيد يون،</w:t>
      </w:r>
    </w:p>
    <w:p w:rsidR="00934C51" w:rsidRDefault="00934C51" w:rsidP="00934C51">
      <w:pPr>
        <w:pStyle w:val="NormalParaAR"/>
        <w:rPr>
          <w:rtl/>
        </w:rPr>
      </w:pPr>
      <w:r>
        <w:rPr>
          <w:rFonts w:hint="cs"/>
          <w:rtl/>
        </w:rPr>
        <w:t>تحية طيبة وبعد،</w:t>
      </w:r>
    </w:p>
    <w:p w:rsidR="00934C51" w:rsidRDefault="00934C51" w:rsidP="008C5E22">
      <w:pPr>
        <w:pStyle w:val="NormalParaAR"/>
        <w:ind w:firstLine="566"/>
        <w:rPr>
          <w:rtl/>
        </w:rPr>
      </w:pPr>
      <w:r>
        <w:rPr>
          <w:rFonts w:hint="cs"/>
          <w:rtl/>
        </w:rPr>
        <w:t xml:space="preserve">تباعا للرسالة السابقة رقم </w:t>
      </w:r>
      <w:r w:rsidRPr="00934C51">
        <w:t>N10-1-9-614</w:t>
      </w:r>
      <w:r>
        <w:rPr>
          <w:rFonts w:hint="cs"/>
          <w:rtl/>
        </w:rPr>
        <w:t xml:space="preserve"> المُرسلة إليكم بتاريخ 30</w:t>
      </w:r>
      <w:r>
        <w:rPr>
          <w:rFonts w:hint="eastAsia"/>
          <w:rtl/>
        </w:rPr>
        <w:t> </w:t>
      </w:r>
      <w:r>
        <w:rPr>
          <w:rFonts w:hint="cs"/>
          <w:rtl/>
        </w:rPr>
        <w:t>سبتمبر</w:t>
      </w:r>
      <w:r>
        <w:rPr>
          <w:rFonts w:hint="eastAsia"/>
          <w:rtl/>
        </w:rPr>
        <w:t> </w:t>
      </w:r>
      <w:r>
        <w:rPr>
          <w:rFonts w:hint="cs"/>
          <w:rtl/>
        </w:rPr>
        <w:t>2016، تجدون طيا الاقتراح المحدّ</w:t>
      </w:r>
      <w:r w:rsidR="00A46543">
        <w:rPr>
          <w:rFonts w:hint="cs"/>
          <w:rtl/>
        </w:rPr>
        <w:t>َ</w:t>
      </w:r>
      <w:r>
        <w:rPr>
          <w:rFonts w:hint="cs"/>
          <w:rtl/>
        </w:rPr>
        <w:t xml:space="preserve">ث للاتحاد الروسي بشأن تعديل </w:t>
      </w:r>
      <w:r w:rsidRPr="00934C51">
        <w:rPr>
          <w:rtl/>
        </w:rPr>
        <w:t>معيار</w:t>
      </w:r>
      <w:r w:rsidRPr="00934C51">
        <w:rPr>
          <w:rFonts w:hint="cs"/>
          <w:rtl/>
        </w:rPr>
        <w:t xml:space="preserve"> </w:t>
      </w:r>
      <w:r w:rsidRPr="00934C51">
        <w:rPr>
          <w:rtl/>
        </w:rPr>
        <w:t>الويبو</w:t>
      </w:r>
      <w:r w:rsidRPr="00934C51">
        <w:rPr>
          <w:rFonts w:hint="cs"/>
          <w:rtl/>
        </w:rPr>
        <w:t> </w:t>
      </w:r>
      <w:r w:rsidRPr="00934C51">
        <w:t>ST.96</w:t>
      </w:r>
      <w:r>
        <w:rPr>
          <w:rFonts w:hint="cs"/>
          <w:rtl/>
        </w:rPr>
        <w:t>.</w:t>
      </w:r>
    </w:p>
    <w:p w:rsidR="00934C51" w:rsidRDefault="00A46543" w:rsidP="008C5E22">
      <w:pPr>
        <w:pStyle w:val="NormalParaAR"/>
        <w:ind w:firstLine="566"/>
        <w:rPr>
          <w:rtl/>
        </w:rPr>
      </w:pPr>
      <w:r>
        <w:rPr>
          <w:rFonts w:hint="cs"/>
          <w:rtl/>
        </w:rPr>
        <w:t>وأتطلّع إلى زيا</w:t>
      </w:r>
      <w:bookmarkStart w:id="2" w:name="_GoBack"/>
      <w:bookmarkEnd w:id="2"/>
      <w:r>
        <w:rPr>
          <w:rFonts w:hint="cs"/>
          <w:rtl/>
        </w:rPr>
        <w:t>دة تعزيز تعاوننا.</w:t>
      </w:r>
    </w:p>
    <w:p w:rsidR="00A46543" w:rsidRDefault="00A46543" w:rsidP="00934C51">
      <w:pPr>
        <w:pStyle w:val="NormalParaAR"/>
        <w:rPr>
          <w:rtl/>
        </w:rPr>
      </w:pPr>
      <w:r>
        <w:rPr>
          <w:rFonts w:hint="cs"/>
          <w:rtl/>
        </w:rPr>
        <w:t>تقبّلوا مني فائق التقدير،</w:t>
      </w:r>
    </w:p>
    <w:p w:rsidR="00A46543" w:rsidRDefault="008C5E22" w:rsidP="00A46543">
      <w:pPr>
        <w:pStyle w:val="NormalParaAR"/>
        <w:ind w:left="5669"/>
        <w:rPr>
          <w:rtl/>
        </w:rPr>
      </w:pPr>
      <w:r>
        <w:rPr>
          <w:rFonts w:hint="cs"/>
          <w:rtl/>
        </w:rPr>
        <w:t>بافيل سب</w:t>
      </w:r>
      <w:r w:rsidR="00A46543">
        <w:rPr>
          <w:rFonts w:hint="cs"/>
          <w:rtl/>
        </w:rPr>
        <w:t>يتسين [توقيع]</w:t>
      </w:r>
    </w:p>
    <w:p w:rsidR="00A46543" w:rsidRDefault="00A46543" w:rsidP="00A46543">
      <w:pPr>
        <w:pStyle w:val="NormalParaAR"/>
        <w:ind w:left="5669"/>
        <w:rPr>
          <w:rtl/>
        </w:rPr>
      </w:pPr>
      <w:r>
        <w:rPr>
          <w:rFonts w:hint="cs"/>
          <w:rtl/>
        </w:rPr>
        <w:t>مدير إدارة التعاون الدولي</w:t>
      </w:r>
    </w:p>
    <w:p w:rsidR="00A46543" w:rsidRDefault="00A46543" w:rsidP="00A46543">
      <w:pPr>
        <w:pStyle w:val="NormalParaAR"/>
        <w:rPr>
          <w:rtl/>
        </w:rPr>
      </w:pPr>
      <w:r>
        <w:rPr>
          <w:rFonts w:hint="cs"/>
          <w:rtl/>
        </w:rPr>
        <w:t>مرفق.</w:t>
      </w:r>
    </w:p>
    <w:p w:rsidR="00A46543" w:rsidRDefault="00A46543">
      <w:pPr>
        <w:rPr>
          <w:rFonts w:ascii="Arabic Typesetting" w:hAnsi="Arabic Typesetting" w:cs="Arabic Typesetting"/>
          <w:sz w:val="36"/>
          <w:szCs w:val="36"/>
          <w:rtl/>
        </w:rPr>
      </w:pPr>
      <w:r>
        <w:rPr>
          <w:rtl/>
        </w:rPr>
        <w:br w:type="page"/>
      </w:r>
    </w:p>
    <w:p w:rsidR="00A46543" w:rsidRPr="00A46543" w:rsidRDefault="00A46543" w:rsidP="00483F58">
      <w:pPr>
        <w:pStyle w:val="NormalParaAR"/>
        <w:keepNext/>
        <w:spacing w:after="480"/>
        <w:rPr>
          <w:b/>
          <w:bCs/>
          <w:sz w:val="40"/>
          <w:szCs w:val="40"/>
          <w:rtl/>
        </w:rPr>
      </w:pPr>
      <w:r w:rsidRPr="00A46543">
        <w:rPr>
          <w:rFonts w:hint="cs"/>
          <w:b/>
          <w:bCs/>
          <w:sz w:val="40"/>
          <w:szCs w:val="40"/>
          <w:rtl/>
        </w:rPr>
        <w:lastRenderedPageBreak/>
        <w:t xml:space="preserve">اقتراح تعديل </w:t>
      </w:r>
      <w:r w:rsidRPr="00A46543">
        <w:rPr>
          <w:b/>
          <w:bCs/>
          <w:sz w:val="40"/>
          <w:szCs w:val="40"/>
          <w:rtl/>
        </w:rPr>
        <w:t>معيار</w:t>
      </w:r>
      <w:r w:rsidRPr="00A46543">
        <w:rPr>
          <w:rFonts w:hint="cs"/>
          <w:b/>
          <w:bCs/>
          <w:sz w:val="40"/>
          <w:szCs w:val="40"/>
          <w:rtl/>
        </w:rPr>
        <w:t xml:space="preserve"> </w:t>
      </w:r>
      <w:r w:rsidRPr="00A46543">
        <w:rPr>
          <w:b/>
          <w:bCs/>
          <w:sz w:val="40"/>
          <w:szCs w:val="40"/>
          <w:rtl/>
        </w:rPr>
        <w:t>الويبو</w:t>
      </w:r>
      <w:r w:rsidRPr="00A46543">
        <w:rPr>
          <w:rFonts w:hint="cs"/>
          <w:b/>
          <w:bCs/>
          <w:sz w:val="40"/>
          <w:szCs w:val="40"/>
          <w:rtl/>
        </w:rPr>
        <w:t> </w:t>
      </w:r>
      <w:r w:rsidRPr="00A46543">
        <w:rPr>
          <w:b/>
          <w:bCs/>
          <w:sz w:val="40"/>
          <w:szCs w:val="40"/>
        </w:rPr>
        <w:t>ST.96</w:t>
      </w:r>
    </w:p>
    <w:p w:rsidR="00A46543" w:rsidRDefault="00A46543" w:rsidP="00A46543">
      <w:pPr>
        <w:pStyle w:val="NormalParaAR"/>
        <w:spacing w:after="480"/>
        <w:rPr>
          <w:rtl/>
        </w:rPr>
      </w:pPr>
      <w:r>
        <w:rPr>
          <w:rFonts w:hint="cs"/>
          <w:rtl/>
        </w:rPr>
        <w:t>وثيقة من إعداد الدائرة الاتحادية للملكية الفكرية (</w:t>
      </w:r>
      <w:proofErr w:type="spellStart"/>
      <w:r w:rsidRPr="00A46543">
        <w:t>Rospatent</w:t>
      </w:r>
      <w:proofErr w:type="spellEnd"/>
      <w:r>
        <w:rPr>
          <w:rFonts w:hint="cs"/>
          <w:rtl/>
        </w:rPr>
        <w:t>)</w:t>
      </w:r>
    </w:p>
    <w:p w:rsidR="00A46543" w:rsidRPr="00483F58" w:rsidRDefault="00A46543" w:rsidP="00483F58">
      <w:pPr>
        <w:pStyle w:val="NormalParaAR"/>
        <w:keepNext/>
        <w:rPr>
          <w:b/>
          <w:bCs/>
          <w:sz w:val="40"/>
          <w:szCs w:val="40"/>
          <w:rtl/>
        </w:rPr>
      </w:pPr>
      <w:r w:rsidRPr="00483F58">
        <w:rPr>
          <w:rFonts w:hint="cs"/>
          <w:b/>
          <w:bCs/>
          <w:sz w:val="40"/>
          <w:szCs w:val="40"/>
          <w:rtl/>
        </w:rPr>
        <w:t>معلومات أساسية والتماس</w:t>
      </w:r>
    </w:p>
    <w:p w:rsidR="00A46543" w:rsidRDefault="00483F58" w:rsidP="00A46543">
      <w:pPr>
        <w:pStyle w:val="NormalParaAR"/>
        <w:rPr>
          <w:rtl/>
        </w:rPr>
      </w:pPr>
      <w:r>
        <w:rPr>
          <w:rFonts w:hint="cs"/>
          <w:rtl/>
        </w:rPr>
        <w:t>1.</w:t>
      </w:r>
      <w:r w:rsidR="003620F8">
        <w:rPr>
          <w:rFonts w:hint="cs"/>
          <w:rtl/>
        </w:rPr>
        <w:t xml:space="preserve"> طبقا للتشريع الروسي الساري</w:t>
      </w:r>
      <w:r>
        <w:rPr>
          <w:rFonts w:hint="cs"/>
          <w:rtl/>
        </w:rPr>
        <w:t>، تقوم الإدارة الاتحادية للملكية الفكرية (</w:t>
      </w:r>
      <w:proofErr w:type="spellStart"/>
      <w:r w:rsidRPr="00483F58">
        <w:t>Rospatent</w:t>
      </w:r>
      <w:proofErr w:type="spellEnd"/>
      <w:r>
        <w:rPr>
          <w:rFonts w:hint="cs"/>
          <w:rtl/>
        </w:rPr>
        <w:t>) بتسجيل تسميات المنشأ في السجل الوطني.</w:t>
      </w:r>
    </w:p>
    <w:p w:rsidR="00483F58" w:rsidRDefault="00483F58" w:rsidP="00A46543">
      <w:pPr>
        <w:pStyle w:val="NormalParaAR"/>
        <w:rPr>
          <w:rtl/>
        </w:rPr>
      </w:pPr>
      <w:r>
        <w:rPr>
          <w:rFonts w:hint="cs"/>
          <w:rtl/>
        </w:rPr>
        <w:t xml:space="preserve">2. </w:t>
      </w:r>
      <w:r w:rsidR="00191989">
        <w:rPr>
          <w:rFonts w:hint="cs"/>
          <w:rtl/>
        </w:rPr>
        <w:t>ولدى التبادل الإلكتروني للمعلومات مع الويبو بناء على نظام مدريد، هناك حاجة إلى تحديد تسميات المنشأ باعتبارها تسجيلات تطرح صعوبات عند التحضير لاتخاذ قرارات بشأن الرفض المؤقت.</w:t>
      </w:r>
    </w:p>
    <w:p w:rsidR="00191989" w:rsidRDefault="00191989" w:rsidP="00191989">
      <w:pPr>
        <w:pStyle w:val="NormalParaAR"/>
        <w:rPr>
          <w:rtl/>
        </w:rPr>
      </w:pPr>
      <w:r>
        <w:rPr>
          <w:rFonts w:hint="cs"/>
          <w:rtl/>
        </w:rPr>
        <w:t xml:space="preserve">3. ولا توجد، حاليا، أية معايير للويبو مُصممة بنسق </w:t>
      </w:r>
      <w:r w:rsidRPr="00191989">
        <w:t>XML</w:t>
      </w:r>
      <w:r>
        <w:rPr>
          <w:rFonts w:hint="cs"/>
          <w:rtl/>
        </w:rPr>
        <w:t xml:space="preserve"> لوصف مؤشرات جغرافية من قبيل تسميات المنشأ.</w:t>
      </w:r>
    </w:p>
    <w:p w:rsidR="00191989" w:rsidRDefault="00191989" w:rsidP="00191989">
      <w:pPr>
        <w:pStyle w:val="NormalParaAR"/>
        <w:rPr>
          <w:rtl/>
        </w:rPr>
      </w:pPr>
      <w:r>
        <w:rPr>
          <w:rFonts w:hint="cs"/>
          <w:rtl/>
        </w:rPr>
        <w:t>4. وتقترح الدائرة الاتحادية للملكية الفكرية (</w:t>
      </w:r>
      <w:proofErr w:type="spellStart"/>
      <w:r w:rsidRPr="00191989">
        <w:t>Rospatent</w:t>
      </w:r>
      <w:proofErr w:type="spellEnd"/>
      <w:r>
        <w:rPr>
          <w:rFonts w:hint="cs"/>
          <w:rtl/>
        </w:rPr>
        <w:t xml:space="preserve">) توسيع نطاق </w:t>
      </w:r>
      <w:r w:rsidRPr="00191989">
        <w:rPr>
          <w:rtl/>
        </w:rPr>
        <w:t>معيار</w:t>
      </w:r>
      <w:r w:rsidRPr="00191989">
        <w:rPr>
          <w:rFonts w:hint="cs"/>
          <w:rtl/>
        </w:rPr>
        <w:t xml:space="preserve"> </w:t>
      </w:r>
      <w:r w:rsidRPr="00191989">
        <w:rPr>
          <w:rtl/>
        </w:rPr>
        <w:t>الويبو</w:t>
      </w:r>
      <w:r w:rsidRPr="00191989">
        <w:rPr>
          <w:rFonts w:hint="cs"/>
          <w:rtl/>
        </w:rPr>
        <w:t> </w:t>
      </w:r>
      <w:r w:rsidRPr="00191989">
        <w:t>ST.96</w:t>
      </w:r>
      <w:r>
        <w:rPr>
          <w:rFonts w:hint="cs"/>
          <w:rtl/>
        </w:rPr>
        <w:t xml:space="preserve"> ليشمل المؤشرات الجغرافية.</w:t>
      </w:r>
    </w:p>
    <w:p w:rsidR="00191989" w:rsidRPr="00191989" w:rsidRDefault="00191989" w:rsidP="00191989">
      <w:pPr>
        <w:pStyle w:val="NormalParaAR"/>
        <w:keepNext/>
        <w:rPr>
          <w:b/>
          <w:bCs/>
          <w:sz w:val="40"/>
          <w:szCs w:val="40"/>
          <w:rtl/>
        </w:rPr>
      </w:pPr>
      <w:r w:rsidRPr="00191989">
        <w:rPr>
          <w:rFonts w:hint="cs"/>
          <w:b/>
          <w:bCs/>
          <w:sz w:val="40"/>
          <w:szCs w:val="40"/>
          <w:rtl/>
        </w:rPr>
        <w:t>المشكلات المطروحة مع معيار الويبو الحالي </w:t>
      </w:r>
      <w:r w:rsidRPr="00191989">
        <w:rPr>
          <w:b/>
          <w:bCs/>
          <w:sz w:val="40"/>
          <w:szCs w:val="40"/>
        </w:rPr>
        <w:t>ST.96</w:t>
      </w:r>
    </w:p>
    <w:p w:rsidR="00191989" w:rsidRDefault="00E211BA" w:rsidP="003620F8">
      <w:pPr>
        <w:pStyle w:val="NormalParaAR"/>
        <w:rPr>
          <w:rtl/>
        </w:rPr>
      </w:pPr>
      <w:r>
        <w:rPr>
          <w:rFonts w:hint="cs"/>
          <w:rtl/>
        </w:rPr>
        <w:t xml:space="preserve">1. </w:t>
      </w:r>
      <w:r w:rsidR="003620F8">
        <w:rPr>
          <w:rFonts w:hint="cs"/>
          <w:rtl/>
        </w:rPr>
        <w:t>في الوقت الحالي، لا يصف المعيار</w:t>
      </w:r>
      <w:r w:rsidR="003620F8">
        <w:rPr>
          <w:rFonts w:hint="eastAsia"/>
          <w:rtl/>
        </w:rPr>
        <w:t> </w:t>
      </w:r>
      <w:r w:rsidR="003620F8" w:rsidRPr="00191989">
        <w:t>ST.96</w:t>
      </w:r>
      <w:r w:rsidR="003620F8">
        <w:rPr>
          <w:rFonts w:hint="cs"/>
          <w:rtl/>
        </w:rPr>
        <w:t xml:space="preserve"> سوى ثلاثة أنواع من حقوق الملكية الفكرية </w:t>
      </w:r>
      <w:r w:rsidR="003620F8">
        <w:rPr>
          <w:rtl/>
        </w:rPr>
        <w:t>–</w:t>
      </w:r>
      <w:r w:rsidR="003620F8">
        <w:rPr>
          <w:rFonts w:hint="cs"/>
          <w:rtl/>
        </w:rPr>
        <w:t xml:space="preserve"> العلامات التجارية وبالبراءات/نماذج المنفعة والتصاميم الصناعية. وطبقا للتشريع الروسي الساري، فضلا عن تشريعات البلدان الأخرى، هناك تطابق بين المؤشرات الجغرافية والعلامات التجارية، ولكن لدى </w:t>
      </w:r>
      <w:r w:rsidR="008C5E22">
        <w:rPr>
          <w:rFonts w:hint="cs"/>
          <w:rtl/>
        </w:rPr>
        <w:t xml:space="preserve">تلك </w:t>
      </w:r>
      <w:r w:rsidR="003620F8">
        <w:rPr>
          <w:rFonts w:hint="cs"/>
          <w:rtl/>
        </w:rPr>
        <w:t xml:space="preserve">المؤشرات والعلامات سمات أساسية لا تشملها معايير الويبو المطبقة حاليا بنسق </w:t>
      </w:r>
      <w:r w:rsidR="003620F8" w:rsidRPr="00191989">
        <w:t>XML</w:t>
      </w:r>
      <w:r w:rsidR="003620F8">
        <w:rPr>
          <w:rFonts w:hint="cs"/>
          <w:rtl/>
        </w:rPr>
        <w:t xml:space="preserve"> على العلامات التجارية، لا</w:t>
      </w:r>
      <w:r w:rsidR="003620F8">
        <w:rPr>
          <w:rFonts w:hint="eastAsia"/>
          <w:rtl/>
        </w:rPr>
        <w:t> </w:t>
      </w:r>
      <w:r w:rsidR="003620F8">
        <w:rPr>
          <w:rFonts w:hint="cs"/>
          <w:rtl/>
        </w:rPr>
        <w:t>سيما المعيار</w:t>
      </w:r>
      <w:r w:rsidR="003620F8">
        <w:rPr>
          <w:rFonts w:hint="eastAsia"/>
          <w:rtl/>
        </w:rPr>
        <w:t> </w:t>
      </w:r>
      <w:r w:rsidR="003620F8" w:rsidRPr="00191989">
        <w:t>ST.96</w:t>
      </w:r>
      <w:r w:rsidR="003620F8">
        <w:rPr>
          <w:rFonts w:hint="cs"/>
          <w:rtl/>
        </w:rPr>
        <w:t>. ويدفع ذلك إلى ضرورة استخدام مخططات تنفيذ متوافقة مع المعيار</w:t>
      </w:r>
      <w:r w:rsidR="003620F8">
        <w:rPr>
          <w:rFonts w:hint="eastAsia"/>
          <w:rtl/>
        </w:rPr>
        <w:t> </w:t>
      </w:r>
      <w:r w:rsidR="003620F8" w:rsidRPr="00191989">
        <w:t>ST.96</w:t>
      </w:r>
      <w:r w:rsidR="003620F8">
        <w:rPr>
          <w:rFonts w:hint="cs"/>
          <w:rtl/>
        </w:rPr>
        <w:t xml:space="preserve"> لأغراض معالجة البيانات المرتبطة بالمؤشرات الجغرافية.</w:t>
      </w:r>
    </w:p>
    <w:p w:rsidR="003620F8" w:rsidRDefault="003620F8" w:rsidP="004E05C2">
      <w:pPr>
        <w:pStyle w:val="NormalParaAR"/>
        <w:rPr>
          <w:rtl/>
        </w:rPr>
      </w:pPr>
      <w:r>
        <w:rPr>
          <w:rFonts w:hint="cs"/>
          <w:rtl/>
        </w:rPr>
        <w:t xml:space="preserve">2. وأجريت مناقشة أولية حول هذه المسألة في إطار </w:t>
      </w:r>
      <w:r w:rsidRPr="003620F8">
        <w:rPr>
          <w:rtl/>
        </w:rPr>
        <w:t>فرقة عمل</w:t>
      </w:r>
      <w:r w:rsidRPr="003620F8">
        <w:rPr>
          <w:rFonts w:hint="cs"/>
          <w:rtl/>
        </w:rPr>
        <w:t> </w:t>
      </w:r>
      <w:r w:rsidRPr="003620F8">
        <w:t>XML4IP</w:t>
      </w:r>
      <w:r w:rsidR="00BB7F14">
        <w:rPr>
          <w:rFonts w:hint="cs"/>
          <w:rtl/>
        </w:rPr>
        <w:t>. وحلّ</w:t>
      </w:r>
      <w:r w:rsidR="008C5E22">
        <w:rPr>
          <w:rFonts w:hint="cs"/>
          <w:rtl/>
        </w:rPr>
        <w:t>َ</w:t>
      </w:r>
      <w:r w:rsidR="00BB7F14">
        <w:rPr>
          <w:rFonts w:hint="cs"/>
          <w:rtl/>
        </w:rPr>
        <w:t>ل المشاركون في المناقشة المتطلبات وصاغوا اقتراحات لإعداد مخططات</w:t>
      </w:r>
      <w:r w:rsidR="004E05C2">
        <w:rPr>
          <w:rFonts w:hint="eastAsia"/>
          <w:rtl/>
        </w:rPr>
        <w:t> </w:t>
      </w:r>
      <w:r w:rsidR="00BB7F14" w:rsidRPr="00BB7F14">
        <w:t>XML</w:t>
      </w:r>
      <w:r w:rsidR="00BB7F14">
        <w:rPr>
          <w:rFonts w:hint="cs"/>
          <w:rtl/>
        </w:rPr>
        <w:t xml:space="preserve"> ذات الصلة، ولكن عُلِّقت مناقشة هذه المسألة.</w:t>
      </w:r>
    </w:p>
    <w:p w:rsidR="00BB7F14" w:rsidRPr="00BB7F14" w:rsidRDefault="00BB7F14" w:rsidP="00BB7F14">
      <w:pPr>
        <w:pStyle w:val="NormalParaAR"/>
        <w:keepNext/>
        <w:rPr>
          <w:b/>
          <w:bCs/>
          <w:sz w:val="40"/>
          <w:szCs w:val="40"/>
          <w:rtl/>
        </w:rPr>
      </w:pPr>
      <w:r w:rsidRPr="00BB7F14">
        <w:rPr>
          <w:rFonts w:hint="cs"/>
          <w:b/>
          <w:bCs/>
          <w:sz w:val="40"/>
          <w:szCs w:val="40"/>
          <w:rtl/>
        </w:rPr>
        <w:t>التغييرات المقترح إدخالها على المعيار</w:t>
      </w:r>
    </w:p>
    <w:p w:rsidR="00BB7F14" w:rsidRDefault="00E71A16" w:rsidP="008F1E4D">
      <w:pPr>
        <w:pStyle w:val="NormalParaAR"/>
        <w:spacing w:after="480"/>
        <w:rPr>
          <w:rtl/>
        </w:rPr>
      </w:pPr>
      <w:r>
        <w:rPr>
          <w:rFonts w:hint="cs"/>
          <w:rtl/>
        </w:rPr>
        <w:t>تقدم الدائرة الاتحادية للملكية الفكرية (</w:t>
      </w:r>
      <w:proofErr w:type="spellStart"/>
      <w:r w:rsidRPr="00E71A16">
        <w:t>Rospatent</w:t>
      </w:r>
      <w:proofErr w:type="spellEnd"/>
      <w:r>
        <w:rPr>
          <w:rFonts w:hint="cs"/>
          <w:rtl/>
        </w:rPr>
        <w:t>) الاقتراحات التالية كي تنظر فيها لجنة المعايير وتوافق عليها: (ألف)</w:t>
      </w:r>
      <w:r w:rsidR="008F1E4D">
        <w:rPr>
          <w:rFonts w:hint="eastAsia"/>
          <w:rtl/>
        </w:rPr>
        <w:t> </w:t>
      </w:r>
      <w:r w:rsidR="008F1E4D">
        <w:rPr>
          <w:rFonts w:hint="cs"/>
          <w:rtl/>
        </w:rPr>
        <w:t xml:space="preserve">توسيع نطاق </w:t>
      </w:r>
      <w:r w:rsidR="008F1E4D" w:rsidRPr="008F1E4D">
        <w:rPr>
          <w:rtl/>
        </w:rPr>
        <w:t>معيار</w:t>
      </w:r>
      <w:r w:rsidR="008F1E4D" w:rsidRPr="008F1E4D">
        <w:rPr>
          <w:rFonts w:hint="cs"/>
          <w:rtl/>
        </w:rPr>
        <w:t xml:space="preserve"> </w:t>
      </w:r>
      <w:r w:rsidR="008F1E4D" w:rsidRPr="008F1E4D">
        <w:rPr>
          <w:rtl/>
        </w:rPr>
        <w:t>الويبو</w:t>
      </w:r>
      <w:r w:rsidR="008F1E4D" w:rsidRPr="008F1E4D">
        <w:rPr>
          <w:rFonts w:hint="cs"/>
          <w:rtl/>
        </w:rPr>
        <w:t> </w:t>
      </w:r>
      <w:r w:rsidR="008F1E4D" w:rsidRPr="008F1E4D">
        <w:t>ST.96</w:t>
      </w:r>
      <w:r w:rsidR="008F1E4D" w:rsidRPr="008F1E4D">
        <w:rPr>
          <w:rFonts w:hint="cs"/>
          <w:rtl/>
        </w:rPr>
        <w:t xml:space="preserve"> ليشمل المؤشرات الجغرافية</w:t>
      </w:r>
      <w:r w:rsidR="004E05C2">
        <w:rPr>
          <w:rFonts w:hint="cs"/>
          <w:rtl/>
        </w:rPr>
        <w:t>؛</w:t>
      </w:r>
      <w:r w:rsidR="008F1E4D">
        <w:rPr>
          <w:rFonts w:hint="cs"/>
          <w:rtl/>
        </w:rPr>
        <w:t>(باء)</w:t>
      </w:r>
      <w:r w:rsidR="008F1E4D">
        <w:rPr>
          <w:rFonts w:hint="eastAsia"/>
          <w:rtl/>
        </w:rPr>
        <w:t> </w:t>
      </w:r>
      <w:r w:rsidR="008F1E4D">
        <w:rPr>
          <w:rFonts w:hint="cs"/>
          <w:rtl/>
        </w:rPr>
        <w:t xml:space="preserve">وإدراج المؤشرات الجغرافية في </w:t>
      </w:r>
      <w:r w:rsidR="008F1E4D">
        <w:rPr>
          <w:rtl/>
        </w:rPr>
        <w:t>قاموس بيانات ومخطط</w:t>
      </w:r>
      <w:r w:rsidR="005A47C4" w:rsidRPr="008F1E4D">
        <w:rPr>
          <w:rtl/>
        </w:rPr>
        <w:t xml:space="preserve"> لغة الترميز الموسعة (</w:t>
      </w:r>
      <w:r w:rsidR="005A47C4" w:rsidRPr="008F1E4D">
        <w:rPr>
          <w:cs/>
        </w:rPr>
        <w:t>‎</w:t>
      </w:r>
      <w:r w:rsidR="005A47C4" w:rsidRPr="008F1E4D">
        <w:t>XML</w:t>
      </w:r>
      <w:r w:rsidR="005A47C4" w:rsidRPr="008F1E4D">
        <w:rPr>
          <w:rtl/>
        </w:rPr>
        <w:t>‏)</w:t>
      </w:r>
      <w:r w:rsidR="008F1E4D">
        <w:rPr>
          <w:rFonts w:hint="cs"/>
          <w:rtl/>
        </w:rPr>
        <w:t xml:space="preserve"> لمعيار </w:t>
      </w:r>
      <w:r w:rsidR="008F1E4D" w:rsidRPr="008F1E4D">
        <w:rPr>
          <w:rtl/>
        </w:rPr>
        <w:t>الويبو</w:t>
      </w:r>
      <w:r w:rsidR="008F1E4D" w:rsidRPr="008F1E4D">
        <w:rPr>
          <w:rFonts w:hint="cs"/>
          <w:rtl/>
        </w:rPr>
        <w:t> </w:t>
      </w:r>
      <w:r w:rsidR="008F1E4D" w:rsidRPr="008F1E4D">
        <w:t>ST.96</w:t>
      </w:r>
      <w:r w:rsidR="008F1E4D">
        <w:rPr>
          <w:rFonts w:hint="cs"/>
          <w:rtl/>
        </w:rPr>
        <w:t>؛ (جيم)</w:t>
      </w:r>
      <w:r w:rsidR="008F1E4D">
        <w:rPr>
          <w:rFonts w:hint="eastAsia"/>
          <w:rtl/>
        </w:rPr>
        <w:t> </w:t>
      </w:r>
      <w:r w:rsidR="008F1E4D">
        <w:rPr>
          <w:rFonts w:hint="cs"/>
          <w:rtl/>
        </w:rPr>
        <w:t xml:space="preserve">وتحديد العناصر ذات الصلة من </w:t>
      </w:r>
      <w:r w:rsidR="008F1E4D" w:rsidRPr="008F1E4D">
        <w:rPr>
          <w:rFonts w:hint="cs"/>
          <w:rtl/>
        </w:rPr>
        <w:t>مخطط لغة الترميز الموسعة (</w:t>
      </w:r>
      <w:r w:rsidR="008F1E4D" w:rsidRPr="008F1E4D">
        <w:t>XML</w:t>
      </w:r>
      <w:r w:rsidR="008F1E4D" w:rsidRPr="008F1E4D">
        <w:rPr>
          <w:rFonts w:hint="cs"/>
          <w:rtl/>
        </w:rPr>
        <w:t>)</w:t>
      </w:r>
      <w:r w:rsidR="008F1E4D">
        <w:rPr>
          <w:rFonts w:hint="cs"/>
          <w:rtl/>
        </w:rPr>
        <w:t>.</w:t>
      </w:r>
    </w:p>
    <w:p w:rsidR="008F1E4D" w:rsidRDefault="008F1E4D" w:rsidP="008F1E4D">
      <w:pPr>
        <w:pStyle w:val="EndofDocumentAR"/>
        <w:rPr>
          <w:rtl/>
        </w:rPr>
      </w:pPr>
      <w:r>
        <w:rPr>
          <w:rFonts w:hint="cs"/>
          <w:rtl/>
        </w:rPr>
        <w:t>[نهاية المرفق الثاني والوثيقة]</w:t>
      </w:r>
    </w:p>
    <w:sectPr w:rsidR="008F1E4D" w:rsidSect="00842D0C">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7B4" w:rsidRDefault="00E577B4">
      <w:r>
        <w:separator/>
      </w:r>
    </w:p>
  </w:endnote>
  <w:endnote w:type="continuationSeparator" w:id="0">
    <w:p w:rsidR="00E577B4" w:rsidRDefault="00E5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7B4" w:rsidRDefault="00E577B4" w:rsidP="009622BF">
      <w:pPr>
        <w:bidi/>
      </w:pPr>
      <w:bookmarkStart w:id="0" w:name="OLE_LINK1"/>
      <w:bookmarkStart w:id="1" w:name="OLE_LINK2"/>
      <w:r>
        <w:separator/>
      </w:r>
      <w:bookmarkEnd w:id="0"/>
      <w:bookmarkEnd w:id="1"/>
    </w:p>
  </w:footnote>
  <w:footnote w:type="continuationSeparator" w:id="0">
    <w:p w:rsidR="00E577B4" w:rsidRDefault="00E577B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F05990">
    <w:r>
      <w:t>CWS</w:t>
    </w:r>
    <w:r w:rsidR="002F77FC">
      <w:t>/</w:t>
    </w:r>
    <w:r w:rsidR="00F05990">
      <w:t>5</w:t>
    </w:r>
    <w:r w:rsidR="00C13C5C">
      <w:t>/4</w:t>
    </w:r>
  </w:p>
  <w:p w:rsidR="002F77FC" w:rsidRDefault="002F77FC" w:rsidP="00D61541">
    <w:r>
      <w:fldChar w:fldCharType="begin"/>
    </w:r>
    <w:r>
      <w:instrText xml:space="preserve"> PAGE  \* MERGEFORMAT </w:instrText>
    </w:r>
    <w:r>
      <w:fldChar w:fldCharType="separate"/>
    </w:r>
    <w:r w:rsidR="00D06F82">
      <w:rPr>
        <w:noProof/>
      </w:rPr>
      <w:t>3</w:t>
    </w:r>
    <w:r>
      <w:fldChar w:fldCharType="end"/>
    </w:r>
  </w:p>
  <w:p w:rsidR="002F77FC" w:rsidRDefault="002F77FC" w:rsidP="00D61541"/>
  <w:p w:rsidR="00D06F82" w:rsidRDefault="00D06F8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D0C" w:rsidRDefault="00842D0C" w:rsidP="00F05990">
    <w:r>
      <w:t>CWS/5/4</w:t>
    </w:r>
  </w:p>
  <w:p w:rsidR="00842D0C" w:rsidRDefault="00842D0C" w:rsidP="00F05990">
    <w:r>
      <w:t>Annex I</w:t>
    </w:r>
  </w:p>
  <w:p w:rsidR="00842D0C" w:rsidRDefault="00842D0C" w:rsidP="00D61541">
    <w:r>
      <w:fldChar w:fldCharType="begin"/>
    </w:r>
    <w:r>
      <w:instrText xml:space="preserve"> PAGE  \* MERGEFORMAT </w:instrText>
    </w:r>
    <w:r>
      <w:fldChar w:fldCharType="separate"/>
    </w:r>
    <w:r w:rsidR="00D06F82">
      <w:rPr>
        <w:noProof/>
      </w:rPr>
      <w:t>2</w:t>
    </w:r>
    <w:r>
      <w:fldChar w:fldCharType="end"/>
    </w:r>
  </w:p>
  <w:p w:rsidR="00842D0C" w:rsidRDefault="00842D0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D0C" w:rsidRDefault="00842D0C" w:rsidP="00842D0C">
    <w:r>
      <w:t>CWS/5/4</w:t>
    </w:r>
  </w:p>
  <w:p w:rsidR="00842D0C" w:rsidRDefault="00842D0C" w:rsidP="00842D0C">
    <w:pPr>
      <w:pStyle w:val="Header"/>
    </w:pPr>
    <w:r>
      <w:t>ANNEX I</w:t>
    </w:r>
  </w:p>
  <w:p w:rsidR="00842D0C" w:rsidRPr="00842D0C" w:rsidRDefault="00842D0C" w:rsidP="00842D0C">
    <w:pPr>
      <w:pStyle w:val="Header"/>
      <w:bidi/>
      <w:jc w:val="right"/>
      <w:rPr>
        <w:rFonts w:ascii="Arabic Typesetting" w:hAnsi="Arabic Typesetting" w:cs="Arabic Typesetting"/>
        <w:sz w:val="36"/>
        <w:szCs w:val="36"/>
        <w:rtl/>
      </w:rPr>
    </w:pPr>
    <w:r w:rsidRPr="00842D0C">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الأول</w:t>
    </w:r>
  </w:p>
  <w:p w:rsidR="00842D0C" w:rsidRDefault="00842D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43" w:rsidRDefault="00A46543" w:rsidP="00F05990">
    <w:r>
      <w:t>CWS/5/4</w:t>
    </w:r>
  </w:p>
  <w:p w:rsidR="00A46543" w:rsidRDefault="00A46543" w:rsidP="00F05990">
    <w:r>
      <w:t>Annex II</w:t>
    </w:r>
  </w:p>
  <w:p w:rsidR="00A46543" w:rsidRDefault="00A46543" w:rsidP="00D61541">
    <w:r>
      <w:fldChar w:fldCharType="begin"/>
    </w:r>
    <w:r>
      <w:instrText xml:space="preserve"> PAGE  \* MERGEFORMAT </w:instrText>
    </w:r>
    <w:r>
      <w:fldChar w:fldCharType="separate"/>
    </w:r>
    <w:r w:rsidR="00D06F82">
      <w:rPr>
        <w:noProof/>
      </w:rPr>
      <w:t>2</w:t>
    </w:r>
    <w:r>
      <w:fldChar w:fldCharType="end"/>
    </w:r>
  </w:p>
  <w:p w:rsidR="00A46543" w:rsidRDefault="00A46543"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51" w:rsidRDefault="00934C51" w:rsidP="00842D0C">
    <w:r>
      <w:t>CWS/5/4</w:t>
    </w:r>
  </w:p>
  <w:p w:rsidR="00934C51" w:rsidRDefault="00934C51" w:rsidP="00842D0C">
    <w:pPr>
      <w:pStyle w:val="Header"/>
    </w:pPr>
    <w:r>
      <w:t>ANNEX II</w:t>
    </w:r>
  </w:p>
  <w:p w:rsidR="00934C51" w:rsidRPr="00842D0C" w:rsidRDefault="00934C51" w:rsidP="00934C51">
    <w:pPr>
      <w:pStyle w:val="Header"/>
      <w:bidi/>
      <w:jc w:val="right"/>
      <w:rPr>
        <w:rFonts w:ascii="Arabic Typesetting" w:hAnsi="Arabic Typesetting" w:cs="Arabic Typesetting"/>
        <w:sz w:val="36"/>
        <w:szCs w:val="36"/>
        <w:rtl/>
      </w:rPr>
    </w:pPr>
    <w:r w:rsidRPr="00842D0C">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الثاني</w:t>
    </w:r>
  </w:p>
  <w:p w:rsidR="00934C51" w:rsidRDefault="00934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comments="0" w:formatting="0" w:inkAnnotation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7B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7C4"/>
    <w:rsid w:val="00176D64"/>
    <w:rsid w:val="00176E2C"/>
    <w:rsid w:val="00177DBF"/>
    <w:rsid w:val="00182417"/>
    <w:rsid w:val="0018242F"/>
    <w:rsid w:val="0018414E"/>
    <w:rsid w:val="00185718"/>
    <w:rsid w:val="001857AF"/>
    <w:rsid w:val="00185BBE"/>
    <w:rsid w:val="00186606"/>
    <w:rsid w:val="00190B6D"/>
    <w:rsid w:val="00191989"/>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FA5"/>
    <w:rsid w:val="002E7615"/>
    <w:rsid w:val="002E7A2A"/>
    <w:rsid w:val="002E7F16"/>
    <w:rsid w:val="002F07D4"/>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0F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46A"/>
    <w:rsid w:val="00481F5F"/>
    <w:rsid w:val="004821D0"/>
    <w:rsid w:val="00482CB2"/>
    <w:rsid w:val="00483D06"/>
    <w:rsid w:val="00483F58"/>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5C2"/>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7C4"/>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EC8"/>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A58"/>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E46"/>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57F28"/>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5C5"/>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3EA"/>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2D0C"/>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763"/>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E22"/>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7F6"/>
    <w:rsid w:val="008E5E2C"/>
    <w:rsid w:val="008E78F1"/>
    <w:rsid w:val="008F03CE"/>
    <w:rsid w:val="008F075B"/>
    <w:rsid w:val="008F0E9E"/>
    <w:rsid w:val="008F1E4D"/>
    <w:rsid w:val="008F2913"/>
    <w:rsid w:val="008F2A4E"/>
    <w:rsid w:val="008F2AE9"/>
    <w:rsid w:val="008F332B"/>
    <w:rsid w:val="008F52D0"/>
    <w:rsid w:val="008F58BB"/>
    <w:rsid w:val="008F6061"/>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D13"/>
    <w:rsid w:val="009343F5"/>
    <w:rsid w:val="0093456A"/>
    <w:rsid w:val="009345AE"/>
    <w:rsid w:val="00934C51"/>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543"/>
    <w:rsid w:val="00A46A1E"/>
    <w:rsid w:val="00A50595"/>
    <w:rsid w:val="00A50A39"/>
    <w:rsid w:val="00A5112A"/>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882"/>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B7F14"/>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C1F"/>
    <w:rsid w:val="00BF4D03"/>
    <w:rsid w:val="00BF4E85"/>
    <w:rsid w:val="00BF54BD"/>
    <w:rsid w:val="00BF5892"/>
    <w:rsid w:val="00C01804"/>
    <w:rsid w:val="00C026BC"/>
    <w:rsid w:val="00C02AD4"/>
    <w:rsid w:val="00C03869"/>
    <w:rsid w:val="00C06671"/>
    <w:rsid w:val="00C07988"/>
    <w:rsid w:val="00C07C5E"/>
    <w:rsid w:val="00C10068"/>
    <w:rsid w:val="00C10AC5"/>
    <w:rsid w:val="00C12DAD"/>
    <w:rsid w:val="00C12E17"/>
    <w:rsid w:val="00C13C5C"/>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7DBE"/>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F8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1F31"/>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11BA"/>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2B4"/>
    <w:rsid w:val="00E56392"/>
    <w:rsid w:val="00E5712F"/>
    <w:rsid w:val="00E577B4"/>
    <w:rsid w:val="00E601DA"/>
    <w:rsid w:val="00E60547"/>
    <w:rsid w:val="00E609FF"/>
    <w:rsid w:val="00E61AA8"/>
    <w:rsid w:val="00E6247F"/>
    <w:rsid w:val="00E62E59"/>
    <w:rsid w:val="00E63E99"/>
    <w:rsid w:val="00E6454D"/>
    <w:rsid w:val="00E65301"/>
    <w:rsid w:val="00E6598A"/>
    <w:rsid w:val="00E667A7"/>
    <w:rsid w:val="00E679B3"/>
    <w:rsid w:val="00E7190A"/>
    <w:rsid w:val="00E71A16"/>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A71"/>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38B"/>
    <w:rsid w:val="00EF4529"/>
    <w:rsid w:val="00EF5B34"/>
    <w:rsid w:val="00EF657C"/>
    <w:rsid w:val="00F004D1"/>
    <w:rsid w:val="00F00C0D"/>
    <w:rsid w:val="00F0128B"/>
    <w:rsid w:val="00F02663"/>
    <w:rsid w:val="00F03369"/>
    <w:rsid w:val="00F04E62"/>
    <w:rsid w:val="00F050AA"/>
    <w:rsid w:val="00F05990"/>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E577B4"/>
    <w:rPr>
      <w:rFonts w:ascii="Tahoma" w:hAnsi="Tahoma" w:cs="Tahoma"/>
      <w:sz w:val="16"/>
      <w:szCs w:val="16"/>
    </w:rPr>
  </w:style>
  <w:style w:type="character" w:customStyle="1" w:styleId="BalloonTextChar">
    <w:name w:val="Balloon Text Char"/>
    <w:basedOn w:val="DefaultParagraphFont"/>
    <w:link w:val="BalloonText"/>
    <w:rsid w:val="00E577B4"/>
    <w:rPr>
      <w:rFonts w:ascii="Tahoma" w:hAnsi="Tahoma" w:cs="Tahoma"/>
      <w:sz w:val="16"/>
      <w:szCs w:val="16"/>
    </w:rPr>
  </w:style>
  <w:style w:type="character" w:customStyle="1" w:styleId="HeaderChar">
    <w:name w:val="Header Char"/>
    <w:basedOn w:val="DefaultParagraphFont"/>
    <w:link w:val="Header"/>
    <w:uiPriority w:val="99"/>
    <w:rsid w:val="00842D0C"/>
    <w:rPr>
      <w:rFonts w:ascii="Arial" w:hAnsi="Arial" w:cs="Arial"/>
      <w:sz w:val="22"/>
    </w:rPr>
  </w:style>
  <w:style w:type="character" w:styleId="Hyperlink">
    <w:name w:val="Hyperlink"/>
    <w:basedOn w:val="DefaultParagraphFont"/>
    <w:rsid w:val="00842D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E577B4"/>
    <w:rPr>
      <w:rFonts w:ascii="Tahoma" w:hAnsi="Tahoma" w:cs="Tahoma"/>
      <w:sz w:val="16"/>
      <w:szCs w:val="16"/>
    </w:rPr>
  </w:style>
  <w:style w:type="character" w:customStyle="1" w:styleId="BalloonTextChar">
    <w:name w:val="Balloon Text Char"/>
    <w:basedOn w:val="DefaultParagraphFont"/>
    <w:link w:val="BalloonText"/>
    <w:rsid w:val="00E577B4"/>
    <w:rPr>
      <w:rFonts w:ascii="Tahoma" w:hAnsi="Tahoma" w:cs="Tahoma"/>
      <w:sz w:val="16"/>
      <w:szCs w:val="16"/>
    </w:rPr>
  </w:style>
  <w:style w:type="character" w:customStyle="1" w:styleId="HeaderChar">
    <w:name w:val="Header Char"/>
    <w:basedOn w:val="DefaultParagraphFont"/>
    <w:link w:val="Header"/>
    <w:uiPriority w:val="99"/>
    <w:rsid w:val="00842D0C"/>
    <w:rPr>
      <w:rFonts w:ascii="Arial" w:hAnsi="Arial" w:cs="Arial"/>
      <w:sz w:val="22"/>
    </w:rPr>
  </w:style>
  <w:style w:type="character" w:styleId="Hyperlink">
    <w:name w:val="Hyperlink"/>
    <w:basedOn w:val="DefaultParagraphFont"/>
    <w:rsid w:val="00842D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N:\ORGLAN\SHARED\Originaux\41845\as%20received\cws_5_4_en_annex1_appendix_DraftOrphanWorksSchema.zip"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WS_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0A6E-85F1-4CDC-AE76-1DDBEFBC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CWS_5_AR</Template>
  <TotalTime>0</TotalTime>
  <Pages>7</Pages>
  <Words>1225</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CWS/5/4 (in Arabic)</vt:lpstr>
    </vt:vector>
  </TitlesOfParts>
  <Company>World Intellectual Property Organization</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CWS/5/4 (in Arabic)</dc:title>
  <dc:subject>Extension of WIPO Standard ST.96 to Incorporate Extensible Markup Language (XML) Schema for Orphan Works and Geographical Indications</dc:subject>
  <dc:creator>WIPO</dc:creator>
  <cp:keywords>CWS</cp:keywords>
  <cp:lastModifiedBy>ZAGO Bétina</cp:lastModifiedBy>
  <cp:revision>2</cp:revision>
  <cp:lastPrinted>2017-04-10T15:38:00Z</cp:lastPrinted>
  <dcterms:created xsi:type="dcterms:W3CDTF">2017-04-26T07:14:00Z</dcterms:created>
  <dcterms:modified xsi:type="dcterms:W3CDTF">2017-04-26T07:14:00Z</dcterms:modified>
</cp:coreProperties>
</file>