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EA" w:rsidRPr="00E562B4" w:rsidRDefault="00E562B4" w:rsidP="00E562B4">
      <w:pPr>
        <w:pStyle w:val="NormalParaAR"/>
        <w:keepNext/>
        <w:rPr>
          <w:b/>
          <w:bCs/>
          <w:sz w:val="40"/>
          <w:szCs w:val="40"/>
          <w:rtl/>
        </w:rPr>
      </w:pPr>
      <w:r w:rsidRPr="00E562B4">
        <w:rPr>
          <w:rFonts w:hint="cs"/>
          <w:b/>
          <w:bCs/>
          <w:sz w:val="40"/>
          <w:szCs w:val="40"/>
          <w:rtl/>
        </w:rPr>
        <w:t xml:space="preserve">اقتراح بشأن </w:t>
      </w:r>
      <w:r w:rsidRPr="00E562B4">
        <w:rPr>
          <w:b/>
          <w:bCs/>
          <w:sz w:val="40"/>
          <w:szCs w:val="40"/>
          <w:rtl/>
        </w:rPr>
        <w:t>توسيع معيار الويبو</w:t>
      </w:r>
      <w:r w:rsidRPr="00E562B4">
        <w:rPr>
          <w:rFonts w:hint="cs"/>
          <w:b/>
          <w:bCs/>
          <w:sz w:val="40"/>
          <w:szCs w:val="40"/>
          <w:rtl/>
        </w:rPr>
        <w:t> </w:t>
      </w:r>
      <w:r w:rsidRPr="00E562B4">
        <w:rPr>
          <w:b/>
          <w:bCs/>
          <w:sz w:val="40"/>
          <w:szCs w:val="40"/>
        </w:rPr>
        <w:t>ST.96</w:t>
      </w:r>
      <w:r w:rsidRPr="00E562B4">
        <w:rPr>
          <w:b/>
          <w:bCs/>
          <w:sz w:val="40"/>
          <w:szCs w:val="40"/>
          <w:rtl/>
        </w:rPr>
        <w:t xml:space="preserve"> ليشمل مخطط لغة الترميز الموسعة (</w:t>
      </w:r>
      <w:r w:rsidRPr="00E562B4">
        <w:rPr>
          <w:b/>
          <w:bCs/>
          <w:sz w:val="40"/>
          <w:szCs w:val="40"/>
        </w:rPr>
        <w:t>XML</w:t>
      </w:r>
      <w:r w:rsidRPr="00E562B4">
        <w:rPr>
          <w:b/>
          <w:bCs/>
          <w:sz w:val="40"/>
          <w:szCs w:val="40"/>
          <w:rtl/>
        </w:rPr>
        <w:t>) للمصنفات اليتيمة</w:t>
      </w:r>
    </w:p>
    <w:p w:rsidR="00E562B4" w:rsidRPr="00E562B4" w:rsidRDefault="00E562B4" w:rsidP="00E562B4">
      <w:pPr>
        <w:pStyle w:val="NormalParaAR"/>
        <w:rPr>
          <w:i/>
          <w:iCs/>
          <w:rtl/>
        </w:rPr>
      </w:pPr>
      <w:r w:rsidRPr="00E562B4">
        <w:rPr>
          <w:rFonts w:hint="cs"/>
          <w:i/>
          <w:iCs/>
          <w:rtl/>
        </w:rPr>
        <w:t>وثيقة من إعداد مكتب المملكة المتحدة للملكية الفكرية</w:t>
      </w:r>
    </w:p>
    <w:p w:rsidR="00E562B4" w:rsidRDefault="00E562B4" w:rsidP="008C5E22">
      <w:pPr>
        <w:pStyle w:val="NormalParaAR"/>
        <w:rPr>
          <w:rtl/>
          <w:lang w:val="en-GB"/>
        </w:rPr>
      </w:pPr>
      <w:r>
        <w:rPr>
          <w:rFonts w:hint="cs"/>
          <w:rtl/>
        </w:rPr>
        <w:t>اقترح مكتب المملكة المتحدة للملكية الفكرية على اللجنة المعنية</w:t>
      </w:r>
      <w:r w:rsidR="008C5E22">
        <w:rPr>
          <w:rFonts w:hint="cs"/>
          <w:rtl/>
        </w:rPr>
        <w:t xml:space="preserve"> بمعايير الويبو (لجنة المعايير)، </w:t>
      </w:r>
      <w:r>
        <w:rPr>
          <w:rFonts w:hint="cs"/>
          <w:rtl/>
        </w:rPr>
        <w:t>في مايو</w:t>
      </w:r>
      <w:r w:rsidR="00757F28">
        <w:rPr>
          <w:rFonts w:hint="eastAsia"/>
          <w:rtl/>
        </w:rPr>
        <w:t> </w:t>
      </w:r>
      <w:r>
        <w:rPr>
          <w:rFonts w:hint="cs"/>
          <w:rtl/>
        </w:rPr>
        <w:t>2014 (الوثيقة</w:t>
      </w:r>
      <w:r>
        <w:rPr>
          <w:rFonts w:hint="eastAsia"/>
          <w:rtl/>
        </w:rPr>
        <w:t> </w:t>
      </w:r>
      <w:r w:rsidRPr="00E562B4">
        <w:rPr>
          <w:lang w:val="en-GB"/>
        </w:rPr>
        <w:t>CWS/4/3</w:t>
      </w:r>
      <w:r>
        <w:rPr>
          <w:rFonts w:hint="cs"/>
          <w:rtl/>
          <w:lang w:val="en-GB"/>
        </w:rPr>
        <w:t>)</w:t>
      </w:r>
      <w:r w:rsidR="008C5E22">
        <w:rPr>
          <w:rFonts w:hint="cs"/>
          <w:rtl/>
          <w:lang w:val="en-GB"/>
        </w:rPr>
        <w:t xml:space="preserve">، </w:t>
      </w:r>
      <w:r w:rsidR="00757F28">
        <w:rPr>
          <w:rFonts w:hint="cs"/>
          <w:rtl/>
          <w:lang w:val="en-GB"/>
        </w:rPr>
        <w:t xml:space="preserve">لزوم توسيع معيار تبادل البيانات المعروف باسم </w:t>
      </w:r>
      <w:r w:rsidR="00757F28" w:rsidRPr="00757F28">
        <w:rPr>
          <w:rtl/>
          <w:lang w:val="en-GB"/>
        </w:rPr>
        <w:t>معيار الويبو</w:t>
      </w:r>
      <w:r w:rsidR="00757F28">
        <w:rPr>
          <w:rFonts w:hint="cs"/>
          <w:rtl/>
          <w:lang w:val="en-GB"/>
        </w:rPr>
        <w:t> </w:t>
      </w:r>
      <w:r w:rsidR="00757F28" w:rsidRPr="00757F28">
        <w:rPr>
          <w:lang w:val="en-GB"/>
        </w:rPr>
        <w:t>ST.96</w:t>
      </w:r>
      <w:r w:rsidR="00757F28">
        <w:rPr>
          <w:rFonts w:hint="cs"/>
          <w:rtl/>
          <w:lang w:val="en-GB"/>
        </w:rPr>
        <w:t xml:space="preserve"> ليشمل المصنفات اليتيمة </w:t>
      </w:r>
      <w:r w:rsidR="008C5E22">
        <w:rPr>
          <w:rFonts w:hint="cs"/>
          <w:rtl/>
          <w:lang w:val="en-GB"/>
        </w:rPr>
        <w:t>بالإضافة إلى</w:t>
      </w:r>
      <w:r w:rsidR="00757F28">
        <w:rPr>
          <w:rFonts w:hint="cs"/>
          <w:rtl/>
          <w:lang w:val="en-GB"/>
        </w:rPr>
        <w:t xml:space="preserve"> حقوق الملكية الفكرية الأخرى المتصلة بالبراءات والعلامات التجارية والتصاميم.</w:t>
      </w:r>
    </w:p>
    <w:p w:rsidR="00757F28" w:rsidRDefault="008F6061" w:rsidP="007735C5">
      <w:pPr>
        <w:pStyle w:val="NormalParaAR"/>
        <w:rPr>
          <w:rtl/>
          <w:lang w:val="en-GB"/>
        </w:rPr>
      </w:pPr>
      <w:r>
        <w:rPr>
          <w:rFonts w:hint="cs"/>
          <w:rtl/>
        </w:rPr>
        <w:t>و</w:t>
      </w:r>
      <w:r w:rsidR="00757F28">
        <w:rPr>
          <w:rFonts w:hint="cs"/>
          <w:rtl/>
        </w:rPr>
        <w:t>الدافع وراء توسيع ال</w:t>
      </w:r>
      <w:r w:rsidR="00757F28" w:rsidRPr="00757F28">
        <w:rPr>
          <w:rtl/>
          <w:lang w:val="en-GB"/>
        </w:rPr>
        <w:t xml:space="preserve">معيار </w:t>
      </w:r>
      <w:r w:rsidR="00757F28" w:rsidRPr="00757F28">
        <w:rPr>
          <w:lang w:val="en-GB"/>
        </w:rPr>
        <w:t>ST.96</w:t>
      </w:r>
      <w:r w:rsidR="00757F28">
        <w:rPr>
          <w:rFonts w:hint="cs"/>
          <w:rtl/>
          <w:lang w:val="en-GB"/>
        </w:rPr>
        <w:t xml:space="preserve"> هو المخطط الذي وضعه مكتب المملكة المتحدة للملكية الفكرية لترخيص المصنفات اليتيمة (التي لا يُعرف أصحابها</w:t>
      </w:r>
      <w:r w:rsidR="007735C5">
        <w:rPr>
          <w:rFonts w:hint="cs"/>
          <w:rtl/>
          <w:lang w:val="en-GB"/>
        </w:rPr>
        <w:t>) بغرض تمكين نسخ تلك المصنفات لاستخدامها في المملكة المتحدة فقط. ولهذا الغرض، استحدث مكتب المملكة المتحدة للملكية الفكرية إجراءً إلكترونيا لتقديم الطلبات وقاعدة بيانات عامة تشتمل على مصنفات يتيمة محدّدة لم يتحقّق المكتب المذكور منها بعد ومصنفات يتيمة أخرى وافق المكتب على ترخيصها.</w:t>
      </w:r>
    </w:p>
    <w:p w:rsidR="007735C5" w:rsidRDefault="007735C5" w:rsidP="007735C5">
      <w:pPr>
        <w:pStyle w:val="NormalParaAR"/>
        <w:rPr>
          <w:rtl/>
          <w:lang w:val="en-GB"/>
        </w:rPr>
      </w:pPr>
      <w:r>
        <w:rPr>
          <w:rFonts w:hint="cs"/>
          <w:rtl/>
          <w:lang w:val="en-GB"/>
        </w:rPr>
        <w:t>ويتولى مكتب الاتحاد الأوروبي للملكية الفكرية إدارة نظام الاتحاد الأوروبي الخاص بالمصنفات اليتيمة ويتولى أيضا مسك السجلات الخاصة بالمصنفات اليتيمة المحدّدة داخل الاتحاد الأوروبي والتي يجري استخدامها في إطار توجيه الاتحاد الأوروبي بشأن المصنفات اليتيمة. وفي حين يوجد اختلاف بين مخطط المملكة المتحدة ومخطط الاتحاد</w:t>
      </w:r>
      <w:r w:rsidR="008F6061">
        <w:rPr>
          <w:rFonts w:hint="cs"/>
          <w:rtl/>
          <w:lang w:val="en-GB"/>
        </w:rPr>
        <w:t xml:space="preserve"> الأوروبي، فإن ثمة تطابقا جوهريا من حيث سمات النظامين والمعلومات الأساسية التي يشتملان عليها بشأن المصنف اليتيم، ومن حيث أصحاب الحقوق والأبحاث الدقيقة وغير ذلك.</w:t>
      </w:r>
    </w:p>
    <w:p w:rsidR="008F6061" w:rsidRDefault="008F6061" w:rsidP="008F6061">
      <w:pPr>
        <w:pStyle w:val="NormalParaAR"/>
        <w:rPr>
          <w:rtl/>
          <w:lang w:val="en-GB"/>
        </w:rPr>
      </w:pPr>
      <w:r>
        <w:rPr>
          <w:rFonts w:hint="cs"/>
          <w:rtl/>
          <w:lang w:val="en-GB"/>
        </w:rPr>
        <w:t xml:space="preserve">وبالتالي، يرى مكتب المملكة المتحدة للملكية الفكرية أن </w:t>
      </w:r>
      <w:r w:rsidRPr="008F6061">
        <w:rPr>
          <w:rtl/>
          <w:lang w:val="en-GB"/>
        </w:rPr>
        <w:t>معيار الويبو</w:t>
      </w:r>
      <w:r w:rsidRPr="008F6061">
        <w:rPr>
          <w:rFonts w:hint="cs"/>
          <w:rtl/>
          <w:lang w:val="en-GB"/>
        </w:rPr>
        <w:t> </w:t>
      </w:r>
      <w:r w:rsidRPr="008F6061">
        <w:rPr>
          <w:lang w:val="en-GB"/>
        </w:rPr>
        <w:t>ST.96</w:t>
      </w:r>
      <w:r>
        <w:rPr>
          <w:rFonts w:hint="cs"/>
          <w:rtl/>
          <w:lang w:val="en-GB"/>
        </w:rPr>
        <w:t xml:space="preserve"> الذي يستخدم لغة الترميز </w:t>
      </w:r>
      <w:r w:rsidR="005A47C4" w:rsidRPr="008F6061">
        <w:rPr>
          <w:rtl/>
          <w:lang w:val="en-GB"/>
        </w:rPr>
        <w:t>الموسعة (</w:t>
      </w:r>
      <w:r w:rsidR="005A47C4" w:rsidRPr="008F6061">
        <w:rPr>
          <w:cs/>
          <w:lang w:val="en-GB"/>
        </w:rPr>
        <w:t>‎</w:t>
      </w:r>
      <w:r w:rsidR="005A47C4" w:rsidRPr="008F6061">
        <w:t>XML</w:t>
      </w:r>
      <w:r w:rsidR="005A47C4" w:rsidRPr="008F6061">
        <w:rPr>
          <w:rtl/>
          <w:lang w:val="en-GB"/>
        </w:rPr>
        <w:t>‏)</w:t>
      </w:r>
      <w:r>
        <w:rPr>
          <w:rFonts w:hint="cs"/>
          <w:rtl/>
          <w:lang w:val="en-GB"/>
        </w:rPr>
        <w:t>، والذي يستعمله المكتب</w:t>
      </w:r>
      <w:r w:rsidR="0048046A">
        <w:rPr>
          <w:rFonts w:hint="cs"/>
          <w:rtl/>
          <w:lang w:val="en-GB"/>
        </w:rPr>
        <w:t xml:space="preserve"> المذكور</w:t>
      </w:r>
      <w:r>
        <w:rPr>
          <w:rFonts w:hint="cs"/>
          <w:rtl/>
          <w:lang w:val="en-GB"/>
        </w:rPr>
        <w:t xml:space="preserve"> كمعيار للتسمية والتبادل الداخلي/الخارجي للبيانات المتعلقة بالبراءات والعلامات التجارية والتصاميم المُسجلة، ينبغي أن يكون متاحا للاستخدام مع البيانات المتصلة بالمصنفات</w:t>
      </w:r>
      <w:r w:rsidR="0048046A">
        <w:rPr>
          <w:rFonts w:hint="cs"/>
          <w:rtl/>
          <w:lang w:val="en-GB"/>
        </w:rPr>
        <w:t xml:space="preserve"> اليتيمة.</w:t>
      </w:r>
    </w:p>
    <w:p w:rsidR="0048046A" w:rsidRDefault="0048046A" w:rsidP="008C5E22">
      <w:pPr>
        <w:pStyle w:val="NormalParaAR"/>
        <w:rPr>
          <w:rtl/>
          <w:lang w:val="en-GB"/>
        </w:rPr>
      </w:pPr>
      <w:r>
        <w:rPr>
          <w:rFonts w:hint="cs"/>
          <w:rtl/>
          <w:lang w:val="en-GB"/>
        </w:rPr>
        <w:t>وتجدر الإشارة إلى أن مكتب المملكة المتحدة للملكية الفكرية لا يقترح هنا إضفاء أي طابع إلزامي على تسجيل حق المؤلف مما يكون مخالفا لاتفاقية برن، ولا يطلب من البلدان الأخرى وضع مخططات للمصنفات اليتيمة؛ بل يدعو في اقتراحه إلى تيسير المعايير التقنية المتوافقة مع بعضها البعض.</w:t>
      </w:r>
    </w:p>
    <w:p w:rsidR="0048046A" w:rsidRDefault="0048046A" w:rsidP="008F1E4D">
      <w:pPr>
        <w:pStyle w:val="NormalParaAR"/>
        <w:spacing w:after="480"/>
        <w:rPr>
          <w:rtl/>
        </w:rPr>
      </w:pPr>
      <w:r>
        <w:rPr>
          <w:rFonts w:hint="cs"/>
          <w:rtl/>
          <w:lang w:val="en-GB"/>
        </w:rPr>
        <w:t xml:space="preserve">وبناء عليه، يودّ مكتب المملكة المتحدة للملكية الفكرية </w:t>
      </w:r>
      <w:r w:rsidRPr="0048046A">
        <w:rPr>
          <w:rFonts w:hint="cs"/>
          <w:rtl/>
          <w:lang w:val="en-GB"/>
        </w:rPr>
        <w:t>توسيع ال</w:t>
      </w:r>
      <w:r w:rsidRPr="0048046A">
        <w:rPr>
          <w:rtl/>
          <w:lang w:val="en-GB"/>
        </w:rPr>
        <w:t xml:space="preserve">معيار </w:t>
      </w:r>
      <w:r w:rsidRPr="0048046A">
        <w:rPr>
          <w:lang w:val="en-GB"/>
        </w:rPr>
        <w:t>ST.96</w:t>
      </w:r>
      <w:r>
        <w:rPr>
          <w:rFonts w:hint="cs"/>
          <w:rtl/>
          <w:lang w:val="en-GB"/>
        </w:rPr>
        <w:t xml:space="preserve"> ليشمل المصنفات اليتيمة. وقد أعدّ المكتب المذكور مشروع مخطط </w:t>
      </w:r>
      <w:r w:rsidR="008F1E4D">
        <w:rPr>
          <w:rFonts w:hint="cs"/>
          <w:rtl/>
          <w:lang w:val="en-GB"/>
        </w:rPr>
        <w:t>لغة الترميز الموسعة (</w:t>
      </w:r>
      <w:r w:rsidR="008F1E4D" w:rsidRPr="0048046A">
        <w:t>XML</w:t>
      </w:r>
      <w:r w:rsidR="008F1E4D">
        <w:rPr>
          <w:rFonts w:hint="cs"/>
          <w:rtl/>
          <w:lang w:val="en-GB"/>
        </w:rPr>
        <w:t xml:space="preserve">) </w:t>
      </w:r>
      <w:r>
        <w:rPr>
          <w:rFonts w:hint="cs"/>
          <w:rtl/>
        </w:rPr>
        <w:t>استنادا إلى المعيار</w:t>
      </w:r>
      <w:r>
        <w:rPr>
          <w:rFonts w:hint="eastAsia"/>
          <w:rtl/>
        </w:rPr>
        <w:t> </w:t>
      </w:r>
      <w:r w:rsidRPr="0048046A">
        <w:rPr>
          <w:lang w:val="en-GB"/>
        </w:rPr>
        <w:t>ST.96</w:t>
      </w:r>
      <w:r>
        <w:rPr>
          <w:rFonts w:hint="cs"/>
          <w:rtl/>
          <w:lang w:val="en-GB"/>
        </w:rPr>
        <w:t xml:space="preserve"> لتناقشه مجموعة خبراء لجنة المعايير، أي </w:t>
      </w:r>
      <w:r w:rsidR="00E96A71" w:rsidRPr="0048046A">
        <w:rPr>
          <w:rtl/>
          <w:lang w:val="en-GB"/>
        </w:rPr>
        <w:t>فرقة عمل</w:t>
      </w:r>
      <w:r w:rsidRPr="0048046A">
        <w:rPr>
          <w:rFonts w:hint="cs"/>
          <w:rtl/>
          <w:lang w:val="en-GB"/>
        </w:rPr>
        <w:t> </w:t>
      </w:r>
      <w:r w:rsidR="00E96A71" w:rsidRPr="0048046A">
        <w:t>XML4IP</w:t>
      </w:r>
      <w:r>
        <w:rPr>
          <w:rFonts w:hint="cs"/>
          <w:rtl/>
        </w:rPr>
        <w:t>، في حال وافقت لجنة المعايير على هذا الاقتراح (انظر مرفق هذا الاقتراح).</w:t>
      </w:r>
    </w:p>
    <w:p w:rsidR="00842D0C" w:rsidRDefault="00842D0C" w:rsidP="00842D0C">
      <w:pPr>
        <w:pStyle w:val="EndofDocumentAR"/>
        <w:rPr>
          <w:rtl/>
        </w:rPr>
      </w:pPr>
      <w:r>
        <w:rPr>
          <w:rFonts w:hint="cs"/>
          <w:rtl/>
        </w:rPr>
        <w:t>[يلي ذلك مرفق الاقتراح]</w:t>
      </w:r>
    </w:p>
    <w:p w:rsidR="00842D0C" w:rsidRDefault="00842D0C">
      <w:pPr>
        <w:rPr>
          <w:rFonts w:ascii="Arabic Typesetting" w:hAnsi="Arabic Typesetting" w:cs="Arabic Typesetting"/>
          <w:sz w:val="36"/>
          <w:szCs w:val="36"/>
          <w:rtl/>
        </w:rPr>
      </w:pPr>
      <w:r>
        <w:rPr>
          <w:rtl/>
        </w:rPr>
        <w:br w:type="page"/>
      </w:r>
    </w:p>
    <w:p w:rsidR="00842D0C" w:rsidRPr="008C5E22" w:rsidRDefault="00842D0C" w:rsidP="008C5E22">
      <w:pPr>
        <w:pStyle w:val="NormalParaAR"/>
        <w:keepNext/>
        <w:rPr>
          <w:b/>
          <w:bCs/>
          <w:sz w:val="40"/>
          <w:szCs w:val="40"/>
          <w:rtl/>
        </w:rPr>
      </w:pPr>
      <w:r w:rsidRPr="008C5E22">
        <w:rPr>
          <w:rFonts w:hint="cs"/>
          <w:b/>
          <w:bCs/>
          <w:sz w:val="40"/>
          <w:szCs w:val="40"/>
          <w:rtl/>
        </w:rPr>
        <w:lastRenderedPageBreak/>
        <w:t>مرفق الاقتراح</w:t>
      </w:r>
    </w:p>
    <w:p w:rsidR="00842D0C" w:rsidRDefault="00842D0C" w:rsidP="008F1E4D">
      <w:pPr>
        <w:pStyle w:val="NormalParaAR"/>
        <w:rPr>
          <w:rtl/>
        </w:rPr>
      </w:pPr>
      <w:r w:rsidRPr="008C5E22">
        <w:rPr>
          <w:rFonts w:hint="cs"/>
          <w:b/>
          <w:bCs/>
          <w:rtl/>
        </w:rPr>
        <w:t xml:space="preserve">الملحق ألف </w:t>
      </w:r>
      <w:r w:rsidRPr="008C5E22">
        <w:rPr>
          <w:b/>
          <w:bCs/>
          <w:rtl/>
        </w:rPr>
        <w:t>–</w:t>
      </w:r>
      <w:r w:rsidRPr="008C5E22">
        <w:rPr>
          <w:rFonts w:hint="cs"/>
          <w:b/>
          <w:bCs/>
          <w:rtl/>
        </w:rPr>
        <w:t xml:space="preserve"> </w:t>
      </w:r>
      <w:r>
        <w:rPr>
          <w:rFonts w:hint="cs"/>
          <w:rtl/>
        </w:rPr>
        <w:t>مشروع مخطط</w:t>
      </w:r>
      <w:r w:rsidR="008F1E4D">
        <w:rPr>
          <w:rFonts w:hint="cs"/>
          <w:rtl/>
        </w:rPr>
        <w:t xml:space="preserve"> لغة الترميز الموسعة (</w:t>
      </w:r>
      <w:r w:rsidR="008F1E4D">
        <w:t>XML</w:t>
      </w:r>
      <w:r w:rsidR="008F1E4D">
        <w:rPr>
          <w:rFonts w:hint="cs"/>
          <w:rtl/>
        </w:rPr>
        <w:t xml:space="preserve">) </w:t>
      </w:r>
      <w:r>
        <w:rPr>
          <w:rFonts w:hint="cs"/>
          <w:rtl/>
        </w:rPr>
        <w:t>للمصنفات اليتيمة (</w:t>
      </w:r>
      <w:hyperlink r:id="rId9" w:history="1">
        <w:r w:rsidRPr="00842D0C">
          <w:rPr>
            <w:rStyle w:val="Hyperlink"/>
            <w:rFonts w:hint="cs"/>
            <w:rtl/>
          </w:rPr>
          <w:t>مشر</w:t>
        </w:r>
        <w:bookmarkStart w:id="2" w:name="_GoBack"/>
        <w:bookmarkEnd w:id="2"/>
        <w:r w:rsidRPr="00842D0C">
          <w:rPr>
            <w:rStyle w:val="Hyperlink"/>
            <w:rFonts w:hint="cs"/>
            <w:rtl/>
          </w:rPr>
          <w:t>وع مخطط المصنفات اليتيمة</w:t>
        </w:r>
      </w:hyperlink>
      <w:r>
        <w:rPr>
          <w:rFonts w:hint="cs"/>
          <w:rtl/>
        </w:rPr>
        <w:t>)</w:t>
      </w:r>
    </w:p>
    <w:p w:rsidR="00842D0C" w:rsidRDefault="00842D0C" w:rsidP="008F1E4D">
      <w:pPr>
        <w:pStyle w:val="NormalParaAR"/>
        <w:rPr>
          <w:rtl/>
        </w:rPr>
      </w:pPr>
      <w:r w:rsidRPr="008C5E22">
        <w:rPr>
          <w:rFonts w:hint="cs"/>
          <w:b/>
          <w:bCs/>
          <w:rtl/>
        </w:rPr>
        <w:t xml:space="preserve">الملحق باء </w:t>
      </w:r>
      <w:r w:rsidR="00934C51" w:rsidRPr="008C5E22">
        <w:rPr>
          <w:b/>
          <w:bCs/>
          <w:rtl/>
        </w:rPr>
        <w:t>–</w:t>
      </w:r>
      <w:r>
        <w:rPr>
          <w:rFonts w:hint="cs"/>
          <w:rtl/>
        </w:rPr>
        <w:t xml:space="preserve"> </w:t>
      </w:r>
      <w:r w:rsidR="00934C51">
        <w:rPr>
          <w:rFonts w:hint="cs"/>
          <w:rtl/>
        </w:rPr>
        <w:t>الرسم البياني</w:t>
      </w:r>
      <w:r w:rsidR="008C5E22">
        <w:rPr>
          <w:rFonts w:hint="cs"/>
          <w:rtl/>
        </w:rPr>
        <w:t xml:space="preserve"> لمشروع </w:t>
      </w:r>
      <w:r w:rsidR="008F1E4D" w:rsidRPr="008F1E4D">
        <w:rPr>
          <w:rFonts w:hint="cs"/>
          <w:rtl/>
        </w:rPr>
        <w:t>مخطط لغة الترميز الموسعة (</w:t>
      </w:r>
      <w:r w:rsidR="008F1E4D" w:rsidRPr="008F1E4D">
        <w:t>XML</w:t>
      </w:r>
      <w:r w:rsidR="008F1E4D" w:rsidRPr="008F1E4D">
        <w:rPr>
          <w:rFonts w:hint="cs"/>
          <w:rtl/>
        </w:rPr>
        <w:t xml:space="preserve">) </w:t>
      </w:r>
      <w:r w:rsidR="00934C51" w:rsidRPr="00934C51">
        <w:rPr>
          <w:rFonts w:hint="cs"/>
          <w:rtl/>
        </w:rPr>
        <w:t>للمصنفات اليتيمة</w:t>
      </w:r>
    </w:p>
    <w:p w:rsidR="00934C51" w:rsidRDefault="00934C51" w:rsidP="00934C51">
      <w:pPr>
        <w:pStyle w:val="NormalParaAR"/>
        <w:spacing w:after="480" w:line="240" w:lineRule="auto"/>
        <w:rPr>
          <w:rtl/>
        </w:rPr>
      </w:pPr>
      <w:r w:rsidRPr="00934C51">
        <w:rPr>
          <w:rFonts w:hint="cs"/>
          <w:noProof/>
          <w:rtl/>
        </w:rPr>
        <w:drawing>
          <wp:inline distT="0" distB="0" distL="0" distR="0" wp14:anchorId="45FDA1CF" wp14:editId="2E3568B4">
            <wp:extent cx="2684419" cy="7007961"/>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698" cy="7008690"/>
                    </a:xfrm>
                    <a:prstGeom prst="rect">
                      <a:avLst/>
                    </a:prstGeom>
                    <a:noFill/>
                    <a:ln>
                      <a:noFill/>
                    </a:ln>
                  </pic:spPr>
                </pic:pic>
              </a:graphicData>
            </a:graphic>
          </wp:inline>
        </w:drawing>
      </w:r>
    </w:p>
    <w:p w:rsidR="00273DAE" w:rsidRPr="00273DAE" w:rsidRDefault="00934C51" w:rsidP="00273DAE">
      <w:pPr>
        <w:pStyle w:val="EndofDocumentAR"/>
        <w:rPr>
          <w:lang w:val="fr-FR"/>
        </w:rPr>
      </w:pPr>
      <w:r>
        <w:rPr>
          <w:rFonts w:hint="cs"/>
          <w:rtl/>
        </w:rPr>
        <w:t>[يلي ذلك المرفق الثاني]</w:t>
      </w:r>
    </w:p>
    <w:sectPr w:rsidR="00273DAE" w:rsidRPr="00273DAE" w:rsidSect="00842D0C">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B4" w:rsidRDefault="00E577B4">
      <w:r>
        <w:separator/>
      </w:r>
    </w:p>
  </w:endnote>
  <w:endnote w:type="continuationSeparator" w:id="0">
    <w:p w:rsidR="00E577B4" w:rsidRDefault="00E5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B4" w:rsidRDefault="00E577B4" w:rsidP="009622BF">
      <w:pPr>
        <w:bidi/>
      </w:pPr>
      <w:bookmarkStart w:id="0" w:name="OLE_LINK1"/>
      <w:bookmarkStart w:id="1" w:name="OLE_LINK2"/>
      <w:r>
        <w:separator/>
      </w:r>
      <w:bookmarkEnd w:id="0"/>
      <w:bookmarkEnd w:id="1"/>
    </w:p>
  </w:footnote>
  <w:footnote w:type="continuationSeparator" w:id="0">
    <w:p w:rsidR="00E577B4" w:rsidRDefault="00E577B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43" w:rsidRDefault="00A46543" w:rsidP="00F05990">
    <w:r>
      <w:t>CWS/5/4</w:t>
    </w:r>
  </w:p>
  <w:p w:rsidR="00A46543" w:rsidRDefault="00A46543" w:rsidP="00F05990">
    <w:r>
      <w:t>Annex II</w:t>
    </w:r>
  </w:p>
  <w:p w:rsidR="00A46543" w:rsidRDefault="00A46543" w:rsidP="00D61541">
    <w:r>
      <w:fldChar w:fldCharType="begin"/>
    </w:r>
    <w:r>
      <w:instrText xml:space="preserve"> PAGE  \* MERGEFORMAT </w:instrText>
    </w:r>
    <w:r>
      <w:fldChar w:fldCharType="separate"/>
    </w:r>
    <w:r w:rsidR="00C9529E">
      <w:rPr>
        <w:noProof/>
      </w:rPr>
      <w:t>2</w:t>
    </w:r>
    <w:r>
      <w:fldChar w:fldCharType="end"/>
    </w:r>
  </w:p>
  <w:p w:rsidR="00A46543" w:rsidRDefault="00A4654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51" w:rsidRDefault="00934C51" w:rsidP="00842D0C">
    <w:r>
      <w:t>CWS/5/4</w:t>
    </w:r>
  </w:p>
  <w:p w:rsidR="00934C51" w:rsidRDefault="00934C51" w:rsidP="00842D0C">
    <w:pPr>
      <w:pStyle w:val="Header"/>
    </w:pPr>
    <w:r>
      <w:t>ANNEX II</w:t>
    </w:r>
  </w:p>
  <w:p w:rsidR="00934C51" w:rsidRPr="00842D0C" w:rsidRDefault="00934C51" w:rsidP="00934C51">
    <w:pPr>
      <w:pStyle w:val="Header"/>
      <w:bidi/>
      <w:jc w:val="right"/>
      <w:rPr>
        <w:rFonts w:ascii="Arabic Typesetting" w:hAnsi="Arabic Typesetting" w:cs="Arabic Typesetting"/>
        <w:sz w:val="36"/>
        <w:szCs w:val="36"/>
        <w:rtl/>
      </w:rPr>
    </w:pPr>
    <w:r w:rsidRPr="00842D0C">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p w:rsidR="00934C51" w:rsidRDefault="00934C51">
    <w:pPr>
      <w:pStyle w:val="Header"/>
    </w:pPr>
  </w:p>
  <w:p w:rsidR="00EA76FF" w:rsidRDefault="00EA7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B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7C4"/>
    <w:rsid w:val="00176D64"/>
    <w:rsid w:val="00176E2C"/>
    <w:rsid w:val="00177DBF"/>
    <w:rsid w:val="00182417"/>
    <w:rsid w:val="0018242F"/>
    <w:rsid w:val="0018414E"/>
    <w:rsid w:val="00185718"/>
    <w:rsid w:val="001857AF"/>
    <w:rsid w:val="00185BBE"/>
    <w:rsid w:val="00186606"/>
    <w:rsid w:val="00190B6D"/>
    <w:rsid w:val="00191989"/>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C4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3DAE"/>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FA5"/>
    <w:rsid w:val="002E7615"/>
    <w:rsid w:val="002E7A2A"/>
    <w:rsid w:val="002E7F16"/>
    <w:rsid w:val="002F07D4"/>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0F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46A"/>
    <w:rsid w:val="00481F5F"/>
    <w:rsid w:val="004821D0"/>
    <w:rsid w:val="00482CB2"/>
    <w:rsid w:val="00483D06"/>
    <w:rsid w:val="00483F58"/>
    <w:rsid w:val="00485A4A"/>
    <w:rsid w:val="00485CF7"/>
    <w:rsid w:val="004862C2"/>
    <w:rsid w:val="004863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5C2"/>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55A"/>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7C4"/>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EC8"/>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A58"/>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E46"/>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F28"/>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5C5"/>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3EA"/>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D0C"/>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763"/>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E22"/>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7F6"/>
    <w:rsid w:val="008E5E2C"/>
    <w:rsid w:val="008E78F1"/>
    <w:rsid w:val="008F03CE"/>
    <w:rsid w:val="008F075B"/>
    <w:rsid w:val="008F0E9E"/>
    <w:rsid w:val="008F1E4D"/>
    <w:rsid w:val="008F2913"/>
    <w:rsid w:val="008F2A4E"/>
    <w:rsid w:val="008F2AE9"/>
    <w:rsid w:val="008F332B"/>
    <w:rsid w:val="008F52D0"/>
    <w:rsid w:val="008F58BB"/>
    <w:rsid w:val="008F6061"/>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D13"/>
    <w:rsid w:val="009343F5"/>
    <w:rsid w:val="0093456A"/>
    <w:rsid w:val="009345AE"/>
    <w:rsid w:val="00934C51"/>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543"/>
    <w:rsid w:val="00A46A1E"/>
    <w:rsid w:val="00A50595"/>
    <w:rsid w:val="00A50A39"/>
    <w:rsid w:val="00A5112A"/>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882"/>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B7F14"/>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C1F"/>
    <w:rsid w:val="00BF4D03"/>
    <w:rsid w:val="00BF4E85"/>
    <w:rsid w:val="00BF54BD"/>
    <w:rsid w:val="00BF5892"/>
    <w:rsid w:val="00C01804"/>
    <w:rsid w:val="00C026BC"/>
    <w:rsid w:val="00C02AD4"/>
    <w:rsid w:val="00C03869"/>
    <w:rsid w:val="00C06671"/>
    <w:rsid w:val="00C07988"/>
    <w:rsid w:val="00C07C5E"/>
    <w:rsid w:val="00C10068"/>
    <w:rsid w:val="00C10AC5"/>
    <w:rsid w:val="00C12DAD"/>
    <w:rsid w:val="00C12E17"/>
    <w:rsid w:val="00C13C5C"/>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DBE"/>
    <w:rsid w:val="00C916C8"/>
    <w:rsid w:val="00C9398D"/>
    <w:rsid w:val="00C939EE"/>
    <w:rsid w:val="00C93C6E"/>
    <w:rsid w:val="00C93F93"/>
    <w:rsid w:val="00C94D44"/>
    <w:rsid w:val="00C9529E"/>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F8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1F31"/>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11BA"/>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2B4"/>
    <w:rsid w:val="00E56392"/>
    <w:rsid w:val="00E5712F"/>
    <w:rsid w:val="00E577B4"/>
    <w:rsid w:val="00E601DA"/>
    <w:rsid w:val="00E60547"/>
    <w:rsid w:val="00E609FF"/>
    <w:rsid w:val="00E61AA8"/>
    <w:rsid w:val="00E6247F"/>
    <w:rsid w:val="00E62E59"/>
    <w:rsid w:val="00E63E99"/>
    <w:rsid w:val="00E6454D"/>
    <w:rsid w:val="00E65301"/>
    <w:rsid w:val="00E6598A"/>
    <w:rsid w:val="00E667A7"/>
    <w:rsid w:val="00E679B3"/>
    <w:rsid w:val="00E7190A"/>
    <w:rsid w:val="00E71A16"/>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A71"/>
    <w:rsid w:val="00E96DDE"/>
    <w:rsid w:val="00EA04AE"/>
    <w:rsid w:val="00EA062F"/>
    <w:rsid w:val="00EA17A9"/>
    <w:rsid w:val="00EA311B"/>
    <w:rsid w:val="00EA36CA"/>
    <w:rsid w:val="00EA3D9C"/>
    <w:rsid w:val="00EA43C0"/>
    <w:rsid w:val="00EA4CB0"/>
    <w:rsid w:val="00EA566F"/>
    <w:rsid w:val="00EA76F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4F1"/>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38B"/>
    <w:rsid w:val="00EF4529"/>
    <w:rsid w:val="00EF5B34"/>
    <w:rsid w:val="00EF657C"/>
    <w:rsid w:val="00F004D1"/>
    <w:rsid w:val="00F00C0D"/>
    <w:rsid w:val="00F0128B"/>
    <w:rsid w:val="00F02663"/>
    <w:rsid w:val="00F03369"/>
    <w:rsid w:val="00F04E62"/>
    <w:rsid w:val="00F050AA"/>
    <w:rsid w:val="00F05990"/>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577B4"/>
    <w:rPr>
      <w:rFonts w:ascii="Tahoma" w:hAnsi="Tahoma" w:cs="Tahoma"/>
      <w:sz w:val="16"/>
      <w:szCs w:val="16"/>
    </w:rPr>
  </w:style>
  <w:style w:type="character" w:customStyle="1" w:styleId="BalloonTextChar">
    <w:name w:val="Balloon Text Char"/>
    <w:basedOn w:val="DefaultParagraphFont"/>
    <w:link w:val="BalloonText"/>
    <w:rsid w:val="00E577B4"/>
    <w:rPr>
      <w:rFonts w:ascii="Tahoma" w:hAnsi="Tahoma" w:cs="Tahoma"/>
      <w:sz w:val="16"/>
      <w:szCs w:val="16"/>
    </w:rPr>
  </w:style>
  <w:style w:type="character" w:customStyle="1" w:styleId="HeaderChar">
    <w:name w:val="Header Char"/>
    <w:basedOn w:val="DefaultParagraphFont"/>
    <w:link w:val="Header"/>
    <w:uiPriority w:val="99"/>
    <w:rsid w:val="00842D0C"/>
    <w:rPr>
      <w:rFonts w:ascii="Arial" w:hAnsi="Arial" w:cs="Arial"/>
      <w:sz w:val="22"/>
    </w:rPr>
  </w:style>
  <w:style w:type="character" w:styleId="Hyperlink">
    <w:name w:val="Hyperlink"/>
    <w:basedOn w:val="DefaultParagraphFont"/>
    <w:rsid w:val="00842D0C"/>
    <w:rPr>
      <w:color w:val="0000FF" w:themeColor="hyperlink"/>
      <w:u w:val="single"/>
    </w:rPr>
  </w:style>
  <w:style w:type="character" w:styleId="FollowedHyperlink">
    <w:name w:val="FollowedHyperlink"/>
    <w:basedOn w:val="DefaultParagraphFont"/>
    <w:rsid w:val="00C952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577B4"/>
    <w:rPr>
      <w:rFonts w:ascii="Tahoma" w:hAnsi="Tahoma" w:cs="Tahoma"/>
      <w:sz w:val="16"/>
      <w:szCs w:val="16"/>
    </w:rPr>
  </w:style>
  <w:style w:type="character" w:customStyle="1" w:styleId="BalloonTextChar">
    <w:name w:val="Balloon Text Char"/>
    <w:basedOn w:val="DefaultParagraphFont"/>
    <w:link w:val="BalloonText"/>
    <w:rsid w:val="00E577B4"/>
    <w:rPr>
      <w:rFonts w:ascii="Tahoma" w:hAnsi="Tahoma" w:cs="Tahoma"/>
      <w:sz w:val="16"/>
      <w:szCs w:val="16"/>
    </w:rPr>
  </w:style>
  <w:style w:type="character" w:customStyle="1" w:styleId="HeaderChar">
    <w:name w:val="Header Char"/>
    <w:basedOn w:val="DefaultParagraphFont"/>
    <w:link w:val="Header"/>
    <w:uiPriority w:val="99"/>
    <w:rsid w:val="00842D0C"/>
    <w:rPr>
      <w:rFonts w:ascii="Arial" w:hAnsi="Arial" w:cs="Arial"/>
      <w:sz w:val="22"/>
    </w:rPr>
  </w:style>
  <w:style w:type="character" w:styleId="Hyperlink">
    <w:name w:val="Hyperlink"/>
    <w:basedOn w:val="DefaultParagraphFont"/>
    <w:rsid w:val="00842D0C"/>
    <w:rPr>
      <w:color w:val="0000FF" w:themeColor="hyperlink"/>
      <w:u w:val="single"/>
    </w:rPr>
  </w:style>
  <w:style w:type="character" w:styleId="FollowedHyperlink">
    <w:name w:val="FollowedHyperlink"/>
    <w:basedOn w:val="DefaultParagraphFont"/>
    <w:rsid w:val="00C95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wipo.int/edocs/mdocs/cws/ar/cws_5/cws_5_4-appendix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WS_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F3E6-D1A4-4DFD-941B-0DFE7C25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CWS_5_AR</Template>
  <TotalTime>5</TotalTime>
  <Pages>2</Pages>
  <Words>371</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CWS/5/4 (in Arabic)</vt:lpstr>
    </vt:vector>
  </TitlesOfParts>
  <Company>World Intellectual Property Organization</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CWS/5/4 Annex I (in Arabic)</dc:title>
  <dc:subject>Extension of WIPO Standard ST.96 to Incorporate Extensible Markup Language (XML) Schema for Orphan Works and Geographical Indications</dc:subject>
  <dc:creator>WIPO</dc:creator>
  <cp:keywords>CWS</cp:keywords>
  <cp:lastModifiedBy>ZAGO Bétina</cp:lastModifiedBy>
  <cp:revision>9</cp:revision>
  <cp:lastPrinted>2017-04-10T15:38:00Z</cp:lastPrinted>
  <dcterms:created xsi:type="dcterms:W3CDTF">2017-04-26T09:10:00Z</dcterms:created>
  <dcterms:modified xsi:type="dcterms:W3CDTF">2017-04-26T13:28:00Z</dcterms:modified>
</cp:coreProperties>
</file>