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F468A2" w:rsidRPr="00F468A2" w:rsidTr="00B6101C">
        <w:tc>
          <w:tcPr>
            <w:tcW w:w="4843" w:type="dxa"/>
            <w:tcBorders>
              <w:bottom w:val="single" w:sz="4" w:space="0" w:color="auto"/>
            </w:tcBorders>
          </w:tcPr>
          <w:p w:rsidR="001667B6" w:rsidRPr="00F468A2"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F468A2" w:rsidRDefault="009C0CED" w:rsidP="00237419">
            <w:pPr>
              <w:bidi/>
              <w:spacing w:after="20"/>
              <w:rPr>
                <w:rFonts w:ascii="Arabic Typesetting" w:hAnsi="Arabic Typesetting" w:cs="Arabic Typesetting"/>
                <w:sz w:val="36"/>
                <w:szCs w:val="36"/>
                <w:rtl/>
              </w:rPr>
            </w:pPr>
            <w:r w:rsidRPr="00F468A2">
              <w:rPr>
                <w:noProof/>
              </w:rPr>
              <w:drawing>
                <wp:inline distT="0" distB="0" distL="0" distR="0" wp14:anchorId="3FC1E4DB" wp14:editId="0C757E5A">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F468A2" w:rsidRDefault="001667B6" w:rsidP="001667B6">
            <w:pPr>
              <w:rPr>
                <w:b/>
                <w:bCs/>
                <w:sz w:val="40"/>
                <w:szCs w:val="40"/>
              </w:rPr>
            </w:pPr>
            <w:r w:rsidRPr="00F468A2">
              <w:rPr>
                <w:b/>
                <w:bCs/>
                <w:sz w:val="40"/>
                <w:szCs w:val="40"/>
              </w:rPr>
              <w:t>A</w:t>
            </w:r>
          </w:p>
        </w:tc>
      </w:tr>
      <w:tr w:rsidR="00F468A2" w:rsidRPr="00F468A2" w:rsidTr="00B6101C">
        <w:trPr>
          <w:trHeight w:val="333"/>
        </w:trPr>
        <w:tc>
          <w:tcPr>
            <w:tcW w:w="9571" w:type="dxa"/>
            <w:gridSpan w:val="3"/>
            <w:tcBorders>
              <w:top w:val="single" w:sz="4" w:space="0" w:color="auto"/>
            </w:tcBorders>
            <w:vAlign w:val="bottom"/>
          </w:tcPr>
          <w:p w:rsidR="00B6101C" w:rsidRPr="00F468A2" w:rsidRDefault="00C2761A" w:rsidP="006A6587">
            <w:pPr>
              <w:pStyle w:val="DocumentCodeAR"/>
              <w:bidi/>
              <w:rPr>
                <w:rtl/>
              </w:rPr>
            </w:pPr>
            <w:r>
              <w:t>CWS</w:t>
            </w:r>
            <w:r w:rsidR="00065ED1">
              <w:t>/</w:t>
            </w:r>
            <w:r>
              <w:t>5</w:t>
            </w:r>
            <w:r w:rsidR="00B6101C" w:rsidRPr="00F468A2">
              <w:t>/</w:t>
            </w:r>
            <w:r w:rsidR="006A6587">
              <w:t>17</w:t>
            </w:r>
          </w:p>
        </w:tc>
      </w:tr>
      <w:tr w:rsidR="00F468A2" w:rsidRPr="00F468A2" w:rsidTr="00BF164F">
        <w:tc>
          <w:tcPr>
            <w:tcW w:w="9571" w:type="dxa"/>
            <w:gridSpan w:val="3"/>
          </w:tcPr>
          <w:p w:rsidR="001667B6" w:rsidRPr="00F468A2" w:rsidRDefault="00F27A7C" w:rsidP="006A6587">
            <w:pPr>
              <w:pStyle w:val="DocumentLanguageAR"/>
              <w:bidi/>
              <w:rPr>
                <w:rtl/>
              </w:rPr>
            </w:pPr>
            <w:r w:rsidRPr="00B6101C">
              <w:rPr>
                <w:rFonts w:hint="cs"/>
                <w:rtl/>
              </w:rPr>
              <w:t>الأصل</w:t>
            </w:r>
            <w:r w:rsidRPr="006A6587">
              <w:rPr>
                <w:rFonts w:hint="cs"/>
                <w:b w:val="0"/>
                <w:bCs w:val="0"/>
                <w:rtl/>
              </w:rPr>
              <w:t>:</w:t>
            </w:r>
            <w:r w:rsidRPr="00B6101C">
              <w:rPr>
                <w:rFonts w:hint="cs"/>
                <w:rtl/>
              </w:rPr>
              <w:t xml:space="preserve"> </w:t>
            </w:r>
            <w:r w:rsidR="006A6587">
              <w:rPr>
                <w:rFonts w:hint="cs"/>
                <w:rtl/>
              </w:rPr>
              <w:t>بالإنكليزية</w:t>
            </w:r>
          </w:p>
        </w:tc>
      </w:tr>
      <w:tr w:rsidR="001667B6" w:rsidRPr="00F468A2" w:rsidTr="00BF164F">
        <w:tc>
          <w:tcPr>
            <w:tcW w:w="9571" w:type="dxa"/>
            <w:gridSpan w:val="3"/>
          </w:tcPr>
          <w:p w:rsidR="001667B6" w:rsidRPr="00F468A2" w:rsidRDefault="00B6101C" w:rsidP="006A6587">
            <w:pPr>
              <w:pStyle w:val="DocumentDateAR"/>
              <w:bidi/>
              <w:rPr>
                <w:rtl/>
              </w:rPr>
            </w:pPr>
            <w:r w:rsidRPr="00F468A2">
              <w:rPr>
                <w:rFonts w:hint="cs"/>
                <w:rtl/>
              </w:rPr>
              <w:t xml:space="preserve">التاريخ: </w:t>
            </w:r>
            <w:r w:rsidR="006A6587">
              <w:rPr>
                <w:rFonts w:hint="cs"/>
                <w:rtl/>
              </w:rPr>
              <w:t>4 أبريل</w:t>
            </w:r>
            <w:r w:rsidR="0024328E" w:rsidRPr="00B6101C">
              <w:rPr>
                <w:rFonts w:hint="cs"/>
                <w:rtl/>
              </w:rPr>
              <w:t xml:space="preserve"> </w:t>
            </w:r>
            <w:r w:rsidR="008D5779" w:rsidRPr="00F468A2">
              <w:rPr>
                <w:rFonts w:hint="cs"/>
                <w:rtl/>
              </w:rPr>
              <w:t>201</w:t>
            </w:r>
            <w:r w:rsidR="006E3DBD" w:rsidRPr="00F468A2">
              <w:rPr>
                <w:rFonts w:hint="cs"/>
                <w:rtl/>
              </w:rPr>
              <w:t>7</w:t>
            </w:r>
          </w:p>
        </w:tc>
      </w:tr>
    </w:tbl>
    <w:p w:rsidR="00C2761A" w:rsidRDefault="00C2761A" w:rsidP="00C2761A">
      <w:pPr>
        <w:bidi/>
        <w:spacing w:line="360" w:lineRule="exact"/>
        <w:rPr>
          <w:rFonts w:ascii="Arabic Typesetting" w:hAnsi="Arabic Typesetting" w:cs="Arabic Typesetting"/>
          <w:sz w:val="36"/>
          <w:szCs w:val="36"/>
          <w:rtl/>
        </w:rPr>
      </w:pPr>
    </w:p>
    <w:p w:rsidR="00C2761A" w:rsidRDefault="00C2761A" w:rsidP="00C2761A">
      <w:pPr>
        <w:bidi/>
        <w:spacing w:line="360" w:lineRule="exact"/>
        <w:rPr>
          <w:rFonts w:ascii="Arabic Typesetting" w:hAnsi="Arabic Typesetting" w:cs="Arabic Typesetting"/>
          <w:sz w:val="36"/>
          <w:szCs w:val="36"/>
          <w:rtl/>
        </w:rPr>
      </w:pPr>
    </w:p>
    <w:p w:rsidR="00C2761A" w:rsidRDefault="00C2761A" w:rsidP="00C2761A">
      <w:pPr>
        <w:bidi/>
        <w:spacing w:line="360" w:lineRule="exact"/>
        <w:rPr>
          <w:rFonts w:ascii="Arabic Typesetting" w:hAnsi="Arabic Typesetting" w:cs="Arabic Typesetting"/>
          <w:sz w:val="36"/>
          <w:szCs w:val="36"/>
          <w:rtl/>
        </w:rPr>
      </w:pPr>
    </w:p>
    <w:p w:rsidR="00C2761A" w:rsidRPr="007828FF" w:rsidRDefault="00C2761A" w:rsidP="00C2761A">
      <w:pPr>
        <w:pStyle w:val="MeetingTitleAR"/>
        <w:bidi/>
        <w:ind w:right="550"/>
        <w:rPr>
          <w:rtl/>
        </w:rPr>
      </w:pPr>
      <w:r w:rsidRPr="007828FF">
        <w:rPr>
          <w:rtl/>
        </w:rPr>
        <w:t>اللجنة المعنية بمعايير الويبو</w:t>
      </w:r>
    </w:p>
    <w:p w:rsidR="00C2761A" w:rsidRDefault="00C2761A" w:rsidP="00C2761A">
      <w:pPr>
        <w:bidi/>
        <w:spacing w:line="360" w:lineRule="exact"/>
        <w:rPr>
          <w:rFonts w:ascii="Arabic Typesetting" w:hAnsi="Arabic Typesetting" w:cs="Arabic Typesetting"/>
          <w:sz w:val="36"/>
          <w:szCs w:val="36"/>
          <w:rtl/>
        </w:rPr>
      </w:pPr>
    </w:p>
    <w:p w:rsidR="00C2761A" w:rsidRPr="00783D11" w:rsidRDefault="00C2761A" w:rsidP="00C2761A">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الخامسة</w:t>
      </w:r>
    </w:p>
    <w:p w:rsidR="00C2761A" w:rsidRPr="00D61541" w:rsidRDefault="00C2761A" w:rsidP="00C2761A">
      <w:pPr>
        <w:pStyle w:val="MeetingDatesAR"/>
        <w:bidi/>
        <w:rPr>
          <w:rtl/>
        </w:rPr>
      </w:pPr>
      <w:r w:rsidRPr="00D61541">
        <w:rPr>
          <w:rFonts w:hint="cs"/>
          <w:rtl/>
        </w:rPr>
        <w:t xml:space="preserve">جنيف، من </w:t>
      </w:r>
      <w:r>
        <w:rPr>
          <w:rFonts w:hint="cs"/>
          <w:rtl/>
        </w:rPr>
        <w:t>29 مايو إلى 2 يونيو 2017</w:t>
      </w:r>
    </w:p>
    <w:p w:rsidR="00C2761A" w:rsidRDefault="00C2761A" w:rsidP="00C2761A">
      <w:pPr>
        <w:bidi/>
        <w:spacing w:line="360" w:lineRule="exact"/>
        <w:rPr>
          <w:rFonts w:ascii="Arabic Typesetting" w:hAnsi="Arabic Typesetting" w:cs="Arabic Typesetting"/>
          <w:sz w:val="36"/>
          <w:szCs w:val="36"/>
          <w:rtl/>
        </w:rPr>
      </w:pPr>
    </w:p>
    <w:p w:rsidR="00C2761A" w:rsidRDefault="00C2761A" w:rsidP="00C2761A">
      <w:pPr>
        <w:bidi/>
        <w:spacing w:line="360" w:lineRule="exact"/>
        <w:rPr>
          <w:rFonts w:ascii="Arabic Typesetting" w:hAnsi="Arabic Typesetting" w:cs="Arabic Typesetting"/>
          <w:sz w:val="36"/>
          <w:szCs w:val="36"/>
          <w:rtl/>
        </w:rPr>
      </w:pPr>
    </w:p>
    <w:p w:rsidR="00C2761A" w:rsidRPr="00F77696" w:rsidRDefault="00F36F5E" w:rsidP="00F77696">
      <w:pPr>
        <w:pStyle w:val="Heading2"/>
        <w:rPr>
          <w:rFonts w:cs="PT Bold Heading"/>
          <w:sz w:val="26"/>
          <w:szCs w:val="26"/>
          <w:rtl/>
        </w:rPr>
      </w:pPr>
      <w:r w:rsidRPr="00F77696">
        <w:rPr>
          <w:rFonts w:cs="PT Bold Heading" w:hint="cs"/>
          <w:sz w:val="26"/>
          <w:szCs w:val="26"/>
          <w:rtl/>
        </w:rPr>
        <w:t>إ</w:t>
      </w:r>
      <w:r w:rsidRPr="00F77696">
        <w:rPr>
          <w:rFonts w:cs="PT Bold Heading"/>
          <w:sz w:val="26"/>
          <w:szCs w:val="26"/>
          <w:rtl/>
        </w:rPr>
        <w:t>نشاء مهمة لتحديد شروط تصميم التصاوير المرئية الإلكترونية</w:t>
      </w:r>
    </w:p>
    <w:p w:rsidR="00C2761A" w:rsidRPr="00D61541" w:rsidRDefault="00F77696" w:rsidP="00F77696">
      <w:pPr>
        <w:pStyle w:val="PreparedbyAR"/>
        <w:bidi/>
        <w:rPr>
          <w:rtl/>
          <w:lang w:bidi="ar-EG"/>
        </w:rPr>
      </w:pPr>
      <w:r>
        <w:rPr>
          <w:rFonts w:hint="cs"/>
          <w:rtl/>
        </w:rPr>
        <w:t xml:space="preserve">وثيقة </w:t>
      </w:r>
      <w:r w:rsidR="00C2761A" w:rsidRPr="00D61541">
        <w:rPr>
          <w:rFonts w:hint="cs"/>
          <w:rtl/>
        </w:rPr>
        <w:t xml:space="preserve">من </w:t>
      </w:r>
      <w:r w:rsidR="00C2761A" w:rsidRPr="00931859">
        <w:rPr>
          <w:rFonts w:hint="cs"/>
          <w:rtl/>
        </w:rPr>
        <w:t>إعداد</w:t>
      </w:r>
      <w:r>
        <w:rPr>
          <w:rFonts w:hint="cs"/>
          <w:rtl/>
          <w:lang w:bidi="ar-EG"/>
        </w:rPr>
        <w:t xml:space="preserve"> الأمانة</w:t>
      </w:r>
    </w:p>
    <w:p w:rsidR="00C2761A" w:rsidRDefault="00F77696" w:rsidP="001C032F">
      <w:pPr>
        <w:pStyle w:val="NumberedParaAR"/>
      </w:pPr>
      <w:r>
        <w:rPr>
          <w:rFonts w:hint="cs"/>
          <w:rtl/>
        </w:rPr>
        <w:t>في</w:t>
      </w:r>
      <w:r w:rsidR="001C032F">
        <w:rPr>
          <w:rFonts w:hint="cs"/>
          <w:rtl/>
        </w:rPr>
        <w:t xml:space="preserve"> 15</w:t>
      </w:r>
      <w:r>
        <w:rPr>
          <w:rFonts w:hint="cs"/>
          <w:rtl/>
        </w:rPr>
        <w:t xml:space="preserve"> فبراير 2017، أرسل مكتب أستراليا للملكية الفكرية خطابا إلى الأمانة يقترح فيه أن تفتح اللجنة المعنية بمعايير الويبو (لجنة المعايير) نقاشا حول معيار من أجل تصميم </w:t>
      </w:r>
      <w:r w:rsidR="001C032F">
        <w:rPr>
          <w:rFonts w:hint="cs"/>
          <w:rtl/>
        </w:rPr>
        <w:t>المنظور البياني</w:t>
      </w:r>
      <w:r>
        <w:rPr>
          <w:rFonts w:hint="cs"/>
          <w:rtl/>
        </w:rPr>
        <w:t xml:space="preserve"> الإلكتروني</w:t>
      </w:r>
      <w:r w:rsidR="00E93897">
        <w:rPr>
          <w:rFonts w:hint="cs"/>
          <w:rtl/>
        </w:rPr>
        <w:t xml:space="preserve">، من حيث نسق الملف والدقة والحجم وغيرها من الخصائص المنطبقة، بغية إرشاد مكاتب الملكية الصناعية وزبائنها </w:t>
      </w:r>
      <w:r w:rsidR="001C032F">
        <w:rPr>
          <w:rFonts w:hint="cs"/>
          <w:rtl/>
        </w:rPr>
        <w:t>ل</w:t>
      </w:r>
      <w:r w:rsidR="00E93897">
        <w:rPr>
          <w:rFonts w:hint="cs"/>
          <w:rtl/>
        </w:rPr>
        <w:t>تقديم صور ثابتة وجيدة للتصاميم. ويرد اقتراح المكتب الأسترالي في مرفق هذه الوثيقة.</w:t>
      </w:r>
    </w:p>
    <w:p w:rsidR="00E93897" w:rsidRDefault="00E93897" w:rsidP="001C032F">
      <w:pPr>
        <w:pStyle w:val="NumberedParaAR"/>
      </w:pPr>
      <w:r>
        <w:rPr>
          <w:rFonts w:hint="cs"/>
          <w:rtl/>
        </w:rPr>
        <w:t xml:space="preserve">وفي غياب معيار للويبو بشأن </w:t>
      </w:r>
      <w:r w:rsidR="00E73D0F">
        <w:rPr>
          <w:rFonts w:hint="cs"/>
          <w:rtl/>
        </w:rPr>
        <w:t xml:space="preserve">المنظور البياني الإلكتروني للتصاميم، تواجه مكاتب الملكية الفكرية صعوبات في تقديم خدمات رقمية وتتّبع مقاربات مختلفة في استلام التصاوير البيانية للتصاميم. ونتيجة لذلك، يضطر الزبائن إلى التعامل مع متطلبات متباينة في طلبات التصاميم من مختلف مكاتب الملكية </w:t>
      </w:r>
      <w:r w:rsidR="001C032F">
        <w:rPr>
          <w:rFonts w:hint="cs"/>
          <w:rtl/>
        </w:rPr>
        <w:t>الصناعية</w:t>
      </w:r>
      <w:r w:rsidR="00E73D0F">
        <w:rPr>
          <w:rFonts w:hint="cs"/>
          <w:rtl/>
        </w:rPr>
        <w:t xml:space="preserve">، أضف إلى ذلك التكاليف </w:t>
      </w:r>
      <w:r w:rsidR="003F0EC9">
        <w:rPr>
          <w:rFonts w:hint="cs"/>
          <w:rtl/>
        </w:rPr>
        <w:t>المحتملة</w:t>
      </w:r>
      <w:r w:rsidR="00E73D0F">
        <w:rPr>
          <w:rFonts w:hint="cs"/>
          <w:rtl/>
        </w:rPr>
        <w:t xml:space="preserve"> التي قد تترتب على الزبائن جراء تحويل بعض التصاوير ال</w:t>
      </w:r>
      <w:r w:rsidR="00C65F45">
        <w:rPr>
          <w:rFonts w:hint="cs"/>
          <w:rtl/>
        </w:rPr>
        <w:t>بيانية للتصاميم من نسق إلى آخر حسب ما هو مطلوب. وتواجه المكاتب أحيانا مشاكل تقنية بسبب اختلاف الأنساق والتباين في الجودة إثر تبادل البيانات.</w:t>
      </w:r>
    </w:p>
    <w:p w:rsidR="000F01F9" w:rsidRDefault="000F01F9" w:rsidP="001C032F">
      <w:pPr>
        <w:pStyle w:val="NumberedParaAR"/>
      </w:pPr>
      <w:r w:rsidRPr="000F01F9">
        <w:rPr>
          <w:rtl/>
        </w:rPr>
        <w:t xml:space="preserve">وتجدر الإشارة إلى </w:t>
      </w:r>
      <w:r>
        <w:rPr>
          <w:rFonts w:hint="cs"/>
          <w:rtl/>
        </w:rPr>
        <w:t>أن ’</w:t>
      </w:r>
      <w:r w:rsidRPr="000F01F9">
        <w:rPr>
          <w:rtl/>
        </w:rPr>
        <w:t xml:space="preserve">الفريق العامل </w:t>
      </w:r>
      <w:r>
        <w:rPr>
          <w:rFonts w:hint="cs"/>
          <w:rtl/>
        </w:rPr>
        <w:t xml:space="preserve">السابق </w:t>
      </w:r>
      <w:r w:rsidRPr="000F01F9">
        <w:rPr>
          <w:rtl/>
        </w:rPr>
        <w:t>المعني بالمعايير والوثائق (</w:t>
      </w:r>
      <w:r w:rsidRPr="000F01F9">
        <w:t>SDWG</w:t>
      </w:r>
      <w:r w:rsidRPr="000F01F9">
        <w:rPr>
          <w:rtl/>
        </w:rPr>
        <w:t>)</w:t>
      </w:r>
      <w:r>
        <w:rPr>
          <w:rFonts w:hint="cs"/>
          <w:rtl/>
        </w:rPr>
        <w:t>‘</w:t>
      </w:r>
      <w:r w:rsidRPr="000F01F9">
        <w:rPr>
          <w:rtl/>
        </w:rPr>
        <w:t xml:space="preserve"> </w:t>
      </w:r>
      <w:r>
        <w:rPr>
          <w:rFonts w:hint="cs"/>
          <w:rtl/>
        </w:rPr>
        <w:t xml:space="preserve">سبق وأن ناقش في أكثر من مرة استحداث مهمة لتطوير توصيات بشأن الصور والصور الفوتوغرافية والرسومات المتعلقة بوثائق البراءات والتصاميم الصناعية. واتفق الفريق العامل السابق </w:t>
      </w:r>
      <w:r w:rsidRPr="000F01F9">
        <w:rPr>
          <w:rtl/>
        </w:rPr>
        <w:t>على تأجيل قرار استحداث تلك المهمة إلى حين استكمال التوصيات المتعلقة ب</w:t>
      </w:r>
      <w:r>
        <w:rPr>
          <w:rFonts w:hint="cs"/>
          <w:rtl/>
        </w:rPr>
        <w:t>العناصر التصويرية ل</w:t>
      </w:r>
      <w:r w:rsidRPr="000F01F9">
        <w:rPr>
          <w:rtl/>
        </w:rPr>
        <w:t>لعلامات التجارية</w:t>
      </w:r>
      <w:r>
        <w:rPr>
          <w:rFonts w:hint="cs"/>
          <w:rtl/>
        </w:rPr>
        <w:t xml:space="preserve"> (انظر الفقرات 63 </w:t>
      </w:r>
      <w:r w:rsidR="001C032F">
        <w:rPr>
          <w:rFonts w:hint="cs"/>
          <w:rtl/>
        </w:rPr>
        <w:t>و</w:t>
      </w:r>
      <w:r>
        <w:rPr>
          <w:rFonts w:hint="cs"/>
          <w:rtl/>
        </w:rPr>
        <w:t xml:space="preserve">64 من الوثيقة </w:t>
      </w:r>
      <w:r w:rsidR="001C032F" w:rsidRPr="00786DD2">
        <w:t>SCIT/SDWG/11/14</w:t>
      </w:r>
      <w:r>
        <w:rPr>
          <w:rFonts w:hint="cs"/>
          <w:rtl/>
        </w:rPr>
        <w:t>؛ و63 إلى 65 من الوثيقة</w:t>
      </w:r>
      <w:r w:rsidR="001C032F" w:rsidRPr="00786DD2">
        <w:t xml:space="preserve"> SCIT/SDWG/10/12</w:t>
      </w:r>
      <w:r>
        <w:rPr>
          <w:rFonts w:hint="cs"/>
          <w:rtl/>
        </w:rPr>
        <w:t>؛ و73 من الوثيقة</w:t>
      </w:r>
      <w:r w:rsidR="001C032F">
        <w:rPr>
          <w:rFonts w:hint="cs"/>
          <w:rtl/>
          <w:lang w:bidi="ar-EG"/>
        </w:rPr>
        <w:t xml:space="preserve"> </w:t>
      </w:r>
      <w:r w:rsidR="001C032F" w:rsidRPr="00786DD2">
        <w:t>SCIT/SDWG/8/14</w:t>
      </w:r>
      <w:r>
        <w:rPr>
          <w:rFonts w:hint="cs"/>
          <w:rtl/>
        </w:rPr>
        <w:t>؛ و38 من الوثيقة</w:t>
      </w:r>
      <w:r w:rsidR="001C032F">
        <w:rPr>
          <w:rFonts w:hint="cs"/>
          <w:rtl/>
        </w:rPr>
        <w:t xml:space="preserve"> </w:t>
      </w:r>
      <w:r w:rsidR="001C032F" w:rsidRPr="00786DD2">
        <w:t>SCIT/SDWG/4/14</w:t>
      </w:r>
      <w:r>
        <w:rPr>
          <w:rFonts w:hint="cs"/>
          <w:rtl/>
        </w:rPr>
        <w:t>)</w:t>
      </w:r>
      <w:r w:rsidR="001C032F">
        <w:rPr>
          <w:rFonts w:hint="cs"/>
          <w:rtl/>
        </w:rPr>
        <w:t>.</w:t>
      </w:r>
      <w:r>
        <w:rPr>
          <w:rFonts w:hint="cs"/>
          <w:rtl/>
        </w:rPr>
        <w:t xml:space="preserve"> وفي</w:t>
      </w:r>
      <w:r w:rsidR="001C032F">
        <w:rPr>
          <w:rFonts w:hint="eastAsia"/>
          <w:rtl/>
        </w:rPr>
        <w:t> </w:t>
      </w:r>
      <w:r>
        <w:rPr>
          <w:rFonts w:hint="cs"/>
          <w:rtl/>
        </w:rPr>
        <w:t xml:space="preserve">2012، اعتمدت اللجنة معيار الويبو رقم </w:t>
      </w:r>
      <w:r w:rsidRPr="00786DD2">
        <w:t>ST.67</w:t>
      </w:r>
      <w:r>
        <w:rPr>
          <w:rFonts w:hint="cs"/>
          <w:rtl/>
          <w:lang w:bidi="ar-EG"/>
        </w:rPr>
        <w:t xml:space="preserve"> (ا</w:t>
      </w:r>
      <w:r w:rsidRPr="000F01F9">
        <w:rPr>
          <w:rtl/>
          <w:lang w:bidi="ar-EG"/>
        </w:rPr>
        <w:t>لإدارة الإلكترونية للعناصر التصويرية للعلامات التجارية</w:t>
      </w:r>
      <w:r>
        <w:rPr>
          <w:rFonts w:hint="cs"/>
          <w:rtl/>
          <w:lang w:bidi="ar-EG"/>
        </w:rPr>
        <w:t>).</w:t>
      </w:r>
    </w:p>
    <w:p w:rsidR="000F01F9" w:rsidRDefault="000F01F9" w:rsidP="000F01F9">
      <w:pPr>
        <w:pStyle w:val="NumberedParaAR"/>
      </w:pPr>
      <w:r>
        <w:rPr>
          <w:rtl/>
        </w:rPr>
        <w:lastRenderedPageBreak/>
        <w:t xml:space="preserve">وبناء على اقتراح </w:t>
      </w:r>
      <w:r>
        <w:rPr>
          <w:rFonts w:hint="cs"/>
          <w:rtl/>
        </w:rPr>
        <w:t>مكتب أستراليا للملكية الفكرية</w:t>
      </w:r>
      <w:r>
        <w:rPr>
          <w:rtl/>
        </w:rPr>
        <w:t xml:space="preserve">، </w:t>
      </w:r>
      <w:r>
        <w:rPr>
          <w:rFonts w:hint="cs"/>
          <w:rtl/>
        </w:rPr>
        <w:t xml:space="preserve">وبعد المناقشات السابقة واتفاق الفريق العامل السابق ولجنة المعايير، </w:t>
      </w:r>
      <w:r>
        <w:rPr>
          <w:rtl/>
        </w:rPr>
        <w:t>تقترح الأمانة ما يلي لكي تنظر فيه اللجنة وتوافق عليه:</w:t>
      </w:r>
    </w:p>
    <w:p w:rsidR="000F01F9" w:rsidRDefault="000F01F9" w:rsidP="00B93ACF">
      <w:pPr>
        <w:pStyle w:val="NumberedParaAR"/>
        <w:numPr>
          <w:ilvl w:val="0"/>
          <w:numId w:val="0"/>
        </w:numPr>
      </w:pPr>
      <w:r>
        <w:rPr>
          <w:rtl/>
        </w:rPr>
        <w:t>(أ)</w:t>
      </w:r>
      <w:r w:rsidR="00B93ACF">
        <w:rPr>
          <w:rFonts w:hint="cs"/>
          <w:rtl/>
        </w:rPr>
        <w:tab/>
        <w:t xml:space="preserve">استحداث </w:t>
      </w:r>
      <w:r>
        <w:rPr>
          <w:rtl/>
        </w:rPr>
        <w:t>مهمة جديدة يمكن وصفها على النحو التالي:</w:t>
      </w:r>
    </w:p>
    <w:p w:rsidR="000F01F9" w:rsidRDefault="000F01F9" w:rsidP="001C032F">
      <w:pPr>
        <w:pStyle w:val="NumberedParaAR"/>
        <w:numPr>
          <w:ilvl w:val="0"/>
          <w:numId w:val="0"/>
        </w:numPr>
        <w:ind w:left="566"/>
        <w:rPr>
          <w:rtl/>
          <w:lang w:bidi="ar-EG"/>
        </w:rPr>
      </w:pPr>
      <w:r>
        <w:rPr>
          <w:rtl/>
        </w:rPr>
        <w:t>"</w:t>
      </w:r>
      <w:r w:rsidR="00B93ACF">
        <w:rPr>
          <w:rFonts w:hint="cs"/>
          <w:rtl/>
        </w:rPr>
        <w:t xml:space="preserve">جمع معلومات حول متطلبات مكاتب الملكية </w:t>
      </w:r>
      <w:r w:rsidR="001C032F">
        <w:rPr>
          <w:rFonts w:hint="cs"/>
          <w:rtl/>
        </w:rPr>
        <w:t>الصناعية</w:t>
      </w:r>
      <w:r w:rsidR="00B93ACF">
        <w:rPr>
          <w:rFonts w:hint="cs"/>
          <w:rtl/>
        </w:rPr>
        <w:t xml:space="preserve"> والزبائن؛ وإعداد توصيات بشأن التصاوير المرئية الإلكترونية</w:t>
      </w:r>
      <w:r w:rsidR="00B93ACF">
        <w:rPr>
          <w:rFonts w:hint="eastAsia"/>
          <w:rtl/>
        </w:rPr>
        <w:t> </w:t>
      </w:r>
      <w:r w:rsidR="00B93ACF">
        <w:rPr>
          <w:rFonts w:hint="cs"/>
          <w:rtl/>
        </w:rPr>
        <w:t>للتصاميم</w:t>
      </w:r>
      <w:r>
        <w:rPr>
          <w:rtl/>
        </w:rPr>
        <w:t>"؛</w:t>
      </w:r>
    </w:p>
    <w:p w:rsidR="000F01F9" w:rsidRDefault="000F01F9" w:rsidP="00B93ACF">
      <w:pPr>
        <w:pStyle w:val="NumberedParaAR"/>
        <w:numPr>
          <w:ilvl w:val="0"/>
          <w:numId w:val="0"/>
        </w:numPr>
        <w:rPr>
          <w:rtl/>
          <w:lang w:bidi="ar-EG"/>
        </w:rPr>
      </w:pPr>
      <w:r>
        <w:rPr>
          <w:rtl/>
        </w:rPr>
        <w:t>(ب)</w:t>
      </w:r>
      <w:r w:rsidR="00B93ACF">
        <w:rPr>
          <w:rFonts w:hint="cs"/>
          <w:rtl/>
        </w:rPr>
        <w:tab/>
      </w:r>
      <w:r>
        <w:rPr>
          <w:rtl/>
        </w:rPr>
        <w:t>وإنشاء فرقة عمل جديدة، والمشرف المعني بها، من أجل التعامل</w:t>
      </w:r>
      <w:r w:rsidR="00B93ACF">
        <w:rPr>
          <w:rtl/>
        </w:rPr>
        <w:t xml:space="preserve"> مع هذه المهمة الجديدة</w:t>
      </w:r>
      <w:r w:rsidR="00B93ACF">
        <w:rPr>
          <w:rFonts w:hint="cs"/>
          <w:rtl/>
        </w:rPr>
        <w:t>.</w:t>
      </w:r>
    </w:p>
    <w:p w:rsidR="000F01F9" w:rsidRDefault="000F01F9" w:rsidP="00B93ACF">
      <w:pPr>
        <w:pStyle w:val="DecisionParaAR"/>
      </w:pPr>
      <w:r>
        <w:rPr>
          <w:rtl/>
        </w:rPr>
        <w:t>إن اللجنة مدعوة إلى:</w:t>
      </w:r>
    </w:p>
    <w:p w:rsidR="000F01F9" w:rsidRDefault="000F01F9" w:rsidP="00B93ACF">
      <w:pPr>
        <w:pStyle w:val="DecisionParaAR"/>
        <w:numPr>
          <w:ilvl w:val="0"/>
          <w:numId w:val="0"/>
        </w:numPr>
        <w:ind w:left="5534" w:firstLine="702"/>
      </w:pPr>
      <w:r>
        <w:rPr>
          <w:rtl/>
        </w:rPr>
        <w:t>(</w:t>
      </w:r>
      <w:r w:rsidR="00B93ACF">
        <w:rPr>
          <w:rtl/>
        </w:rPr>
        <w:t>أ)</w:t>
      </w:r>
      <w:r w:rsidR="00B93ACF">
        <w:rPr>
          <w:rFonts w:hint="cs"/>
          <w:rtl/>
        </w:rPr>
        <w:tab/>
        <w:t xml:space="preserve">النظر في </w:t>
      </w:r>
      <w:r>
        <w:rPr>
          <w:rtl/>
        </w:rPr>
        <w:t xml:space="preserve">الاقتراح المقدَّم من </w:t>
      </w:r>
      <w:r w:rsidR="00B93ACF">
        <w:rPr>
          <w:rFonts w:hint="cs"/>
          <w:rtl/>
        </w:rPr>
        <w:t>مكتب أستراليا للملكية الفكرية المشار إليه في الفقرة 1 من مرفق هذه الوثيقة</w:t>
      </w:r>
      <w:r>
        <w:rPr>
          <w:rtl/>
        </w:rPr>
        <w:t>؛</w:t>
      </w:r>
    </w:p>
    <w:p w:rsidR="000F01F9" w:rsidRDefault="000F01F9" w:rsidP="00B93ACF">
      <w:pPr>
        <w:pStyle w:val="DecisionParaAR"/>
        <w:numPr>
          <w:ilvl w:val="0"/>
          <w:numId w:val="0"/>
        </w:numPr>
        <w:ind w:left="5534" w:firstLine="702"/>
      </w:pPr>
      <w:r>
        <w:rPr>
          <w:rtl/>
        </w:rPr>
        <w:t>(</w:t>
      </w:r>
      <w:r w:rsidR="00B93ACF">
        <w:rPr>
          <w:rtl/>
        </w:rPr>
        <w:t>ب)</w:t>
      </w:r>
      <w:r w:rsidR="00B93ACF">
        <w:rPr>
          <w:rFonts w:hint="cs"/>
          <w:rtl/>
        </w:rPr>
        <w:tab/>
      </w:r>
      <w:r>
        <w:rPr>
          <w:rtl/>
        </w:rPr>
        <w:t>والنظر في إنشاء المهمة المشار إليه</w:t>
      </w:r>
      <w:r w:rsidR="00B93ACF">
        <w:rPr>
          <w:rFonts w:hint="cs"/>
          <w:rtl/>
        </w:rPr>
        <w:t>ا</w:t>
      </w:r>
      <w:r w:rsidR="00B93ACF">
        <w:rPr>
          <w:rtl/>
        </w:rPr>
        <w:t xml:space="preserve"> في الفقر</w:t>
      </w:r>
      <w:r w:rsidR="00B93ACF">
        <w:rPr>
          <w:rFonts w:hint="cs"/>
          <w:rtl/>
        </w:rPr>
        <w:t>ة</w:t>
      </w:r>
      <w:r>
        <w:rPr>
          <w:rtl/>
        </w:rPr>
        <w:t xml:space="preserve"> </w:t>
      </w:r>
      <w:r w:rsidR="00B93ACF">
        <w:rPr>
          <w:rFonts w:hint="cs"/>
          <w:rtl/>
        </w:rPr>
        <w:t>4</w:t>
      </w:r>
      <w:r>
        <w:rPr>
          <w:rtl/>
        </w:rPr>
        <w:t xml:space="preserve">(أ)، </w:t>
      </w:r>
      <w:r w:rsidR="00B93ACF">
        <w:rPr>
          <w:rFonts w:hint="cs"/>
          <w:rtl/>
        </w:rPr>
        <w:t>والبتّ في ذلك</w:t>
      </w:r>
      <w:r>
        <w:rPr>
          <w:rtl/>
        </w:rPr>
        <w:t>؛</w:t>
      </w:r>
    </w:p>
    <w:p w:rsidR="000F01F9" w:rsidRDefault="000F01F9" w:rsidP="00B93ACF">
      <w:pPr>
        <w:pStyle w:val="DecisionParaAR"/>
        <w:numPr>
          <w:ilvl w:val="0"/>
          <w:numId w:val="0"/>
        </w:numPr>
        <w:ind w:left="5534" w:firstLine="702"/>
        <w:rPr>
          <w:rtl/>
          <w:lang w:bidi="ar-EG"/>
        </w:rPr>
      </w:pPr>
      <w:r>
        <w:rPr>
          <w:rtl/>
        </w:rPr>
        <w:t>(</w:t>
      </w:r>
      <w:r w:rsidR="00B93ACF">
        <w:rPr>
          <w:rtl/>
        </w:rPr>
        <w:t>د)</w:t>
      </w:r>
      <w:r w:rsidR="00B93ACF">
        <w:rPr>
          <w:rFonts w:hint="cs"/>
          <w:rtl/>
        </w:rPr>
        <w:tab/>
      </w:r>
      <w:r>
        <w:rPr>
          <w:rtl/>
        </w:rPr>
        <w:t>والنظر في إنشاء فرقة عمل جديدة والمشرف المعني بها، كما هو مشار إليه في الفقرة 3(ب)</w:t>
      </w:r>
      <w:r w:rsidR="00B93ACF">
        <w:rPr>
          <w:rFonts w:hint="cs"/>
          <w:rtl/>
        </w:rPr>
        <w:t>، والبتّ في ذلك</w:t>
      </w:r>
      <w:r>
        <w:rPr>
          <w:rtl/>
        </w:rPr>
        <w:t>.</w:t>
      </w:r>
    </w:p>
    <w:p w:rsidR="00B93ACF" w:rsidRDefault="00B93ACF" w:rsidP="00B93ACF">
      <w:pPr>
        <w:pStyle w:val="EndofDocumentAR"/>
        <w:rPr>
          <w:rtl/>
        </w:rPr>
      </w:pPr>
    </w:p>
    <w:p w:rsidR="000F01F9" w:rsidRDefault="000F01F9" w:rsidP="00B93ACF">
      <w:pPr>
        <w:pStyle w:val="EndofDocumentAR"/>
      </w:pPr>
      <w:r>
        <w:rPr>
          <w:rtl/>
        </w:rPr>
        <w:t>[يلي ذلك المرفق]</w:t>
      </w:r>
      <w:bookmarkStart w:id="2" w:name="_GoBack"/>
      <w:bookmarkEnd w:id="2"/>
    </w:p>
    <w:sectPr w:rsidR="000F01F9" w:rsidSect="00F27A7C">
      <w:headerReference w:type="default" r:id="rId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587" w:rsidRDefault="006A6587">
      <w:r>
        <w:separator/>
      </w:r>
    </w:p>
  </w:endnote>
  <w:endnote w:type="continuationSeparator" w:id="0">
    <w:p w:rsidR="006A6587" w:rsidRDefault="006A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587" w:rsidRDefault="006A6587" w:rsidP="009622BF">
      <w:pPr>
        <w:bidi/>
      </w:pPr>
      <w:bookmarkStart w:id="0" w:name="OLE_LINK1"/>
      <w:bookmarkStart w:id="1" w:name="OLE_LINK2"/>
      <w:r>
        <w:separator/>
      </w:r>
      <w:bookmarkEnd w:id="0"/>
      <w:bookmarkEnd w:id="1"/>
    </w:p>
  </w:footnote>
  <w:footnote w:type="continuationSeparator" w:id="0">
    <w:p w:rsidR="006A6587" w:rsidRDefault="006A658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C2761A" w:rsidP="00B93ACF">
    <w:r>
      <w:t>CWS</w:t>
    </w:r>
    <w:r w:rsidR="00065ED1">
      <w:t>/</w:t>
    </w:r>
    <w:r>
      <w:t>5</w:t>
    </w:r>
    <w:r w:rsidR="002F77FC">
      <w:t>/</w:t>
    </w:r>
    <w:r w:rsidR="00B93ACF">
      <w:t>17</w:t>
    </w:r>
  </w:p>
  <w:p w:rsidR="002F77FC" w:rsidRDefault="00F27A7C" w:rsidP="00D61541">
    <w:pPr>
      <w:rPr>
        <w:noProof/>
      </w:rPr>
    </w:pPr>
    <w:r>
      <w:fldChar w:fldCharType="begin"/>
    </w:r>
    <w:r>
      <w:instrText xml:space="preserve"> PAGE   \* MERGEFORMAT </w:instrText>
    </w:r>
    <w:r>
      <w:fldChar w:fldCharType="separate"/>
    </w:r>
    <w:r w:rsidR="00F145D2">
      <w:rPr>
        <w:noProof/>
      </w:rPr>
      <w:t>2</w:t>
    </w:r>
    <w:r>
      <w:rPr>
        <w:noProof/>
      </w:rPr>
      <w:fldChar w:fldCharType="end"/>
    </w:r>
  </w:p>
  <w:p w:rsidR="005677B7" w:rsidRDefault="005677B7" w:rsidP="00D61541"/>
  <w:p w:rsidR="00F145D2" w:rsidRDefault="00F145D2"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2CA5370"/>
    <w:multiLevelType w:val="hybridMultilevel"/>
    <w:tmpl w:val="158ACC10"/>
    <w:lvl w:ilvl="0" w:tplc="15384FCE">
      <w:start w:val="20"/>
      <w:numFmt w:val="bullet"/>
      <w:lvlText w:val=""/>
      <w:lvlJc w:val="left"/>
      <w:pPr>
        <w:ind w:left="1853" w:hanging="360"/>
      </w:pPr>
      <w:rPr>
        <w:rFonts w:ascii="Wingdings" w:eastAsia="Times New Roman" w:hAnsi="Wingdings" w:cs="Wingdings"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58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419"/>
    <w:rsid w:val="00063C91"/>
    <w:rsid w:val="000640E7"/>
    <w:rsid w:val="00065ED1"/>
    <w:rsid w:val="00066DC7"/>
    <w:rsid w:val="0006794A"/>
    <w:rsid w:val="00067F31"/>
    <w:rsid w:val="00071138"/>
    <w:rsid w:val="00071160"/>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718"/>
    <w:rsid w:val="000E591F"/>
    <w:rsid w:val="000E5A23"/>
    <w:rsid w:val="000E6045"/>
    <w:rsid w:val="000E7872"/>
    <w:rsid w:val="000F01F9"/>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A05"/>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32F"/>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6DE"/>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328E"/>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786"/>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5B9"/>
    <w:rsid w:val="002C2B6F"/>
    <w:rsid w:val="002C2BC4"/>
    <w:rsid w:val="002C314F"/>
    <w:rsid w:val="002C4AD1"/>
    <w:rsid w:val="002C7D29"/>
    <w:rsid w:val="002D0298"/>
    <w:rsid w:val="002D1662"/>
    <w:rsid w:val="002D1DE5"/>
    <w:rsid w:val="002D323E"/>
    <w:rsid w:val="002D3506"/>
    <w:rsid w:val="002D3670"/>
    <w:rsid w:val="002D4807"/>
    <w:rsid w:val="002D5265"/>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186"/>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EC9"/>
    <w:rsid w:val="003F3178"/>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8FE"/>
    <w:rsid w:val="00560C6A"/>
    <w:rsid w:val="00560F85"/>
    <w:rsid w:val="005610A0"/>
    <w:rsid w:val="0056248F"/>
    <w:rsid w:val="00564985"/>
    <w:rsid w:val="00565379"/>
    <w:rsid w:val="005674C3"/>
    <w:rsid w:val="005677B7"/>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5FF0"/>
    <w:rsid w:val="005D794C"/>
    <w:rsid w:val="005D7A9F"/>
    <w:rsid w:val="005D7AA2"/>
    <w:rsid w:val="005E2154"/>
    <w:rsid w:val="005E2FC7"/>
    <w:rsid w:val="005E37B9"/>
    <w:rsid w:val="005E3F84"/>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79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6740"/>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587"/>
    <w:rsid w:val="006A6A14"/>
    <w:rsid w:val="006A753A"/>
    <w:rsid w:val="006A777C"/>
    <w:rsid w:val="006A7B70"/>
    <w:rsid w:val="006A7C46"/>
    <w:rsid w:val="006B0F76"/>
    <w:rsid w:val="006B1F20"/>
    <w:rsid w:val="006B398A"/>
    <w:rsid w:val="006B3E04"/>
    <w:rsid w:val="006B4024"/>
    <w:rsid w:val="006B47D7"/>
    <w:rsid w:val="006B499D"/>
    <w:rsid w:val="006B5041"/>
    <w:rsid w:val="006B643D"/>
    <w:rsid w:val="006B7900"/>
    <w:rsid w:val="006B79A4"/>
    <w:rsid w:val="006C1254"/>
    <w:rsid w:val="006C2DC5"/>
    <w:rsid w:val="006C480B"/>
    <w:rsid w:val="006C570B"/>
    <w:rsid w:val="006C572E"/>
    <w:rsid w:val="006C5997"/>
    <w:rsid w:val="006C5CD2"/>
    <w:rsid w:val="006D0636"/>
    <w:rsid w:val="006D06DC"/>
    <w:rsid w:val="006D6E46"/>
    <w:rsid w:val="006D7FA8"/>
    <w:rsid w:val="006E2F98"/>
    <w:rsid w:val="006E3DBD"/>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4A41"/>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B7F"/>
    <w:rsid w:val="00776F15"/>
    <w:rsid w:val="007779ED"/>
    <w:rsid w:val="00780B1A"/>
    <w:rsid w:val="007810D3"/>
    <w:rsid w:val="0078264A"/>
    <w:rsid w:val="007828FF"/>
    <w:rsid w:val="00783D11"/>
    <w:rsid w:val="00785E46"/>
    <w:rsid w:val="00786DD2"/>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762"/>
    <w:rsid w:val="0096587A"/>
    <w:rsid w:val="009666E7"/>
    <w:rsid w:val="00967278"/>
    <w:rsid w:val="00971568"/>
    <w:rsid w:val="00971929"/>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F85"/>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E5FBD"/>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4ACF"/>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56D"/>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19D"/>
    <w:rsid w:val="00B362D9"/>
    <w:rsid w:val="00B36B99"/>
    <w:rsid w:val="00B36D20"/>
    <w:rsid w:val="00B36F67"/>
    <w:rsid w:val="00B40633"/>
    <w:rsid w:val="00B406D6"/>
    <w:rsid w:val="00B44049"/>
    <w:rsid w:val="00B44318"/>
    <w:rsid w:val="00B4444B"/>
    <w:rsid w:val="00B44C4B"/>
    <w:rsid w:val="00B477CB"/>
    <w:rsid w:val="00B508A7"/>
    <w:rsid w:val="00B52081"/>
    <w:rsid w:val="00B52695"/>
    <w:rsid w:val="00B545AF"/>
    <w:rsid w:val="00B55B09"/>
    <w:rsid w:val="00B56711"/>
    <w:rsid w:val="00B57EF2"/>
    <w:rsid w:val="00B604F3"/>
    <w:rsid w:val="00B6101C"/>
    <w:rsid w:val="00B615ED"/>
    <w:rsid w:val="00B61D87"/>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3ACF"/>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61A"/>
    <w:rsid w:val="00C32151"/>
    <w:rsid w:val="00C3217A"/>
    <w:rsid w:val="00C33551"/>
    <w:rsid w:val="00C3357D"/>
    <w:rsid w:val="00C33BE9"/>
    <w:rsid w:val="00C33C13"/>
    <w:rsid w:val="00C34099"/>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643"/>
    <w:rsid w:val="00C57ED3"/>
    <w:rsid w:val="00C61640"/>
    <w:rsid w:val="00C61AA7"/>
    <w:rsid w:val="00C61B8E"/>
    <w:rsid w:val="00C629D0"/>
    <w:rsid w:val="00C65F45"/>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5E0"/>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0BD"/>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E9F"/>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691"/>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170"/>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3D0F"/>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3897"/>
    <w:rsid w:val="00E94468"/>
    <w:rsid w:val="00E94A0E"/>
    <w:rsid w:val="00E96226"/>
    <w:rsid w:val="00E96DDE"/>
    <w:rsid w:val="00E9739F"/>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4EB"/>
    <w:rsid w:val="00EC0725"/>
    <w:rsid w:val="00EC0889"/>
    <w:rsid w:val="00EC0C13"/>
    <w:rsid w:val="00EC148C"/>
    <w:rsid w:val="00EC2D7D"/>
    <w:rsid w:val="00EC36AD"/>
    <w:rsid w:val="00EC3BCF"/>
    <w:rsid w:val="00EC56B1"/>
    <w:rsid w:val="00EC664F"/>
    <w:rsid w:val="00EC6749"/>
    <w:rsid w:val="00EC72F5"/>
    <w:rsid w:val="00EC7334"/>
    <w:rsid w:val="00EC7511"/>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106"/>
    <w:rsid w:val="00F03369"/>
    <w:rsid w:val="00F04E62"/>
    <w:rsid w:val="00F050AA"/>
    <w:rsid w:val="00F05E6D"/>
    <w:rsid w:val="00F11800"/>
    <w:rsid w:val="00F11B61"/>
    <w:rsid w:val="00F135D6"/>
    <w:rsid w:val="00F13922"/>
    <w:rsid w:val="00F13DBC"/>
    <w:rsid w:val="00F145D2"/>
    <w:rsid w:val="00F15FCF"/>
    <w:rsid w:val="00F16613"/>
    <w:rsid w:val="00F20706"/>
    <w:rsid w:val="00F21496"/>
    <w:rsid w:val="00F21E77"/>
    <w:rsid w:val="00F24D27"/>
    <w:rsid w:val="00F2520C"/>
    <w:rsid w:val="00F25BCB"/>
    <w:rsid w:val="00F25ECC"/>
    <w:rsid w:val="00F264C1"/>
    <w:rsid w:val="00F26D7F"/>
    <w:rsid w:val="00F27305"/>
    <w:rsid w:val="00F27A7C"/>
    <w:rsid w:val="00F30790"/>
    <w:rsid w:val="00F31570"/>
    <w:rsid w:val="00F33355"/>
    <w:rsid w:val="00F34363"/>
    <w:rsid w:val="00F34CE9"/>
    <w:rsid w:val="00F354B9"/>
    <w:rsid w:val="00F35705"/>
    <w:rsid w:val="00F35B93"/>
    <w:rsid w:val="00F36F5E"/>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8A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96"/>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WS_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CWS_5_AR</Template>
  <TotalTime>3</TotalTime>
  <Pages>2</Pages>
  <Words>390</Words>
  <Characters>2076</Characters>
  <Application>Microsoft Office Word</Application>
  <DocSecurity>0</DocSecurity>
  <Lines>94</Lines>
  <Paragraphs>51</Paragraphs>
  <ScaleCrop>false</ScaleCrop>
  <HeadingPairs>
    <vt:vector size="2" baseType="variant">
      <vt:variant>
        <vt:lpstr>Title</vt:lpstr>
      </vt:variant>
      <vt:variant>
        <vt:i4>1</vt:i4>
      </vt:variant>
    </vt:vector>
  </HeadingPairs>
  <TitlesOfParts>
    <vt:vector size="1" baseType="lpstr">
      <vt:lpstr>CWS/5/-- (Arabic)</vt:lpstr>
    </vt:vector>
  </TitlesOfParts>
  <Company>World Intellectual Property Organization</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CWS/5/17 (in Arabic)</dc:title>
  <dc:subject>Creation of a Task to Establish Requirements for Design Electronic Visual Representations</dc:subject>
  <dc:creator>WIPO</dc:creator>
  <cp:keywords>CWS</cp:keywords>
  <cp:lastModifiedBy>ZAGO Bétina</cp:lastModifiedBy>
  <cp:revision>3</cp:revision>
  <cp:lastPrinted>2017-02-08T13:12:00Z</cp:lastPrinted>
  <dcterms:created xsi:type="dcterms:W3CDTF">2017-05-02T12:23:00Z</dcterms:created>
  <dcterms:modified xsi:type="dcterms:W3CDTF">2017-05-02T12:26:00Z</dcterms:modified>
</cp:coreProperties>
</file>