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4E368F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4E368F">
              <w:t>5</w:t>
            </w:r>
            <w:r w:rsidR="00B6101C" w:rsidRPr="00B6101C">
              <w:t>/</w:t>
            </w:r>
            <w:r w:rsidR="004E368F">
              <w:t>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E368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E368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E368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E368F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4E368F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4E368F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4E368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</w:t>
      </w:r>
      <w:r w:rsidR="004E368F">
        <w:rPr>
          <w:rFonts w:ascii="Cambria Math" w:hAnsi="Cambria Math" w:hint="cs"/>
          <w:rtl/>
        </w:rPr>
        <w:t>خامسة</w:t>
      </w:r>
    </w:p>
    <w:p w:rsidR="00D61541" w:rsidRPr="00D61541" w:rsidRDefault="00D61541" w:rsidP="004E368F">
      <w:pPr>
        <w:pStyle w:val="MeetingDatesAR"/>
        <w:bidi/>
        <w:rPr>
          <w:rtl/>
          <w:lang w:bidi="ar-EG"/>
        </w:rPr>
      </w:pPr>
      <w:r w:rsidRPr="00D61541">
        <w:rPr>
          <w:rFonts w:hint="cs"/>
          <w:rtl/>
        </w:rPr>
        <w:t xml:space="preserve">جنيف، من </w:t>
      </w:r>
      <w:r w:rsidR="004E368F">
        <w:rPr>
          <w:rFonts w:hint="cs"/>
          <w:rtl/>
        </w:rPr>
        <w:t>29</w:t>
      </w:r>
      <w:r w:rsidR="00100F97">
        <w:rPr>
          <w:rFonts w:hint="cs"/>
          <w:rtl/>
        </w:rPr>
        <w:t xml:space="preserve"> </w:t>
      </w:r>
      <w:r w:rsidR="004E368F">
        <w:rPr>
          <w:rFonts w:hint="cs"/>
          <w:rtl/>
        </w:rPr>
        <w:t xml:space="preserve">مايو </w:t>
      </w:r>
      <w:r w:rsidR="00100F97">
        <w:rPr>
          <w:rFonts w:hint="cs"/>
          <w:rtl/>
        </w:rPr>
        <w:t xml:space="preserve">إلى </w:t>
      </w:r>
      <w:r w:rsidR="004E368F">
        <w:rPr>
          <w:rFonts w:hint="cs"/>
          <w:rtl/>
        </w:rPr>
        <w:t>2</w:t>
      </w:r>
      <w:r w:rsidR="00783D11">
        <w:rPr>
          <w:rFonts w:hint="cs"/>
          <w:rtl/>
        </w:rPr>
        <w:t xml:space="preserve"> </w:t>
      </w:r>
      <w:r w:rsidR="004E368F">
        <w:rPr>
          <w:rFonts w:hint="cs"/>
          <w:rtl/>
        </w:rPr>
        <w:t>يونيو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</w:t>
      </w:r>
      <w:r w:rsidR="004E368F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94992" w:rsidP="00FB7EC9">
      <w:pPr>
        <w:pStyle w:val="DocumentTitleAR"/>
        <w:bidi/>
        <w:rPr>
          <w:rtl/>
        </w:rPr>
      </w:pPr>
      <w:r w:rsidRPr="00694992">
        <w:rPr>
          <w:rtl/>
        </w:rPr>
        <w:t>تقرير عن إعداد معيار جديد للويبو للإدارة الإلكترونية لعلامات الحركة وعلامات الوسائط المتعددة</w:t>
      </w:r>
    </w:p>
    <w:p w:rsidR="00D61541" w:rsidRPr="00D61541" w:rsidRDefault="00AF3E42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Default="000F6BF0" w:rsidP="0078684F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إن </w:t>
      </w:r>
      <w:r w:rsidR="00AF3E42" w:rsidRPr="00AF3E42">
        <w:rPr>
          <w:rtl/>
          <w:lang w:bidi="ar-EG"/>
        </w:rPr>
        <w:t xml:space="preserve">اللجنة المعنية بمعايير الويبو </w:t>
      </w:r>
      <w:r w:rsidR="00FD6A52">
        <w:rPr>
          <w:rFonts w:hint="cs"/>
          <w:rtl/>
          <w:lang w:bidi="ar-EG"/>
        </w:rPr>
        <w:t xml:space="preserve">(لجنة المعايير) </w:t>
      </w:r>
      <w:r w:rsidR="00AF3E42" w:rsidRPr="00AF3E42">
        <w:rPr>
          <w:rtl/>
          <w:lang w:bidi="ar-EG"/>
        </w:rPr>
        <w:t xml:space="preserve">في دورتها الرابعة </w:t>
      </w:r>
      <w:r w:rsidRPr="00B904FE">
        <w:rPr>
          <w:rtl/>
          <w:lang w:bidi="ar-EG"/>
        </w:rPr>
        <w:t>المجتمعة</w:t>
      </w:r>
      <w:r w:rsidRPr="000F6BF0">
        <w:rPr>
          <w:rtl/>
          <w:lang w:bidi="ar-EG"/>
        </w:rPr>
        <w:t xml:space="preserve"> مجددا</w:t>
      </w:r>
      <w:r>
        <w:rPr>
          <w:rFonts w:hint="cs"/>
          <w:rtl/>
          <w:lang w:bidi="ar-EG"/>
        </w:rPr>
        <w:t>ً</w:t>
      </w:r>
      <w:r w:rsidRPr="000F6BF0">
        <w:rPr>
          <w:rFonts w:hint="cs"/>
          <w:rtl/>
          <w:lang w:bidi="ar-EG"/>
        </w:rPr>
        <w:t xml:space="preserve"> </w:t>
      </w:r>
      <w:r w:rsidR="00B17D2C">
        <w:rPr>
          <w:rFonts w:hint="cs"/>
          <w:rtl/>
          <w:lang w:bidi="ar-EG"/>
        </w:rPr>
        <w:t xml:space="preserve">التي عُقدت </w:t>
      </w:r>
      <w:r w:rsidR="00AF3E42" w:rsidRPr="00AF3E42">
        <w:rPr>
          <w:rtl/>
          <w:lang w:bidi="ar-EG"/>
        </w:rPr>
        <w:t>ف</w:t>
      </w:r>
      <w:r w:rsidR="00B17D2C">
        <w:rPr>
          <w:rFonts w:hint="cs"/>
          <w:rtl/>
          <w:lang w:bidi="ar-EG"/>
        </w:rPr>
        <w:t>ي</w:t>
      </w:r>
      <w:r w:rsidR="00AF3E42" w:rsidRPr="00AF3E42">
        <w:rPr>
          <w:rtl/>
          <w:lang w:bidi="ar-EG"/>
        </w:rPr>
        <w:t xml:space="preserve"> الفترة من 21 إلى 24</w:t>
      </w:r>
      <w:r w:rsidR="0078684F">
        <w:rPr>
          <w:lang w:bidi="ar-EG"/>
        </w:rPr>
        <w:t> </w:t>
      </w:r>
      <w:r w:rsidR="00AF3E42" w:rsidRPr="00AF3E42">
        <w:rPr>
          <w:rtl/>
          <w:lang w:bidi="ar-EG"/>
        </w:rPr>
        <w:t xml:space="preserve">مارس 2016 </w:t>
      </w:r>
      <w:r>
        <w:rPr>
          <w:rFonts w:hint="cs"/>
          <w:rtl/>
          <w:lang w:bidi="ar-EG"/>
        </w:rPr>
        <w:t xml:space="preserve">أحاطت </w:t>
      </w:r>
      <w:r w:rsidR="00B17D2C">
        <w:rPr>
          <w:rFonts w:hint="cs"/>
          <w:rtl/>
          <w:lang w:bidi="ar-EG"/>
        </w:rPr>
        <w:t>علماً ب</w:t>
      </w:r>
      <w:r w:rsidR="00AF3E42" w:rsidRPr="00AF3E42">
        <w:rPr>
          <w:rtl/>
          <w:lang w:bidi="ar-EG"/>
        </w:rPr>
        <w:t xml:space="preserve">نتائج </w:t>
      </w:r>
      <w:r w:rsidR="004E5324">
        <w:rPr>
          <w:rFonts w:hint="cs"/>
          <w:rtl/>
          <w:lang w:bidi="ar-EG"/>
        </w:rPr>
        <w:t>ال</w:t>
      </w:r>
      <w:r w:rsidR="00AF3E42" w:rsidRPr="00AF3E42">
        <w:rPr>
          <w:rtl/>
          <w:lang w:bidi="ar-EG"/>
        </w:rPr>
        <w:t>مناقشة</w:t>
      </w:r>
      <w:r w:rsidR="004E5324">
        <w:rPr>
          <w:rFonts w:hint="cs"/>
          <w:rtl/>
          <w:lang w:bidi="ar-EG"/>
        </w:rPr>
        <w:t xml:space="preserve"> التي أجرتها</w:t>
      </w:r>
      <w:r w:rsidR="00AF3E42" w:rsidRPr="00AF3E42">
        <w:rPr>
          <w:rtl/>
          <w:lang w:bidi="ar-EG"/>
        </w:rPr>
        <w:t xml:space="preserve"> فرقة العمل المعنية بتوحيد العلامات التجارية، لا سيما الحاجة إلى رصد التطورات في مجال الإدارة الإلكترونية ل</w:t>
      </w:r>
      <w:r w:rsidR="004E5324">
        <w:rPr>
          <w:rFonts w:hint="cs"/>
          <w:rtl/>
          <w:lang w:bidi="ar-EG"/>
        </w:rPr>
        <w:t>علامات ا</w:t>
      </w:r>
      <w:r w:rsidR="00AF3E42" w:rsidRPr="00AF3E42">
        <w:rPr>
          <w:rtl/>
          <w:lang w:bidi="ar-EG"/>
        </w:rPr>
        <w:t xml:space="preserve">لحركة </w:t>
      </w:r>
      <w:r w:rsidR="004E5324">
        <w:rPr>
          <w:rFonts w:hint="cs"/>
          <w:rtl/>
          <w:lang w:bidi="ar-EG"/>
        </w:rPr>
        <w:t>و</w:t>
      </w:r>
      <w:r w:rsidR="0067141C">
        <w:rPr>
          <w:rFonts w:hint="cs"/>
          <w:rtl/>
          <w:lang w:bidi="ar-EG"/>
        </w:rPr>
        <w:t xml:space="preserve">علامات </w:t>
      </w:r>
      <w:r w:rsidR="00AF3E42" w:rsidRPr="00AF3E42">
        <w:rPr>
          <w:rtl/>
          <w:lang w:bidi="ar-EG"/>
        </w:rPr>
        <w:t xml:space="preserve">الوسائط المتعددة. </w:t>
      </w:r>
      <w:r w:rsidR="00FD6A52" w:rsidRPr="00FD6A52">
        <w:rPr>
          <w:rtl/>
          <w:lang w:bidi="ar-EG"/>
        </w:rPr>
        <w:t xml:space="preserve">والتمست </w:t>
      </w:r>
      <w:r w:rsidR="00FD6A52">
        <w:rPr>
          <w:rtl/>
          <w:lang w:bidi="ar-EG"/>
        </w:rPr>
        <w:t>لجنة</w:t>
      </w:r>
      <w:r w:rsidR="00FD6A52">
        <w:rPr>
          <w:rFonts w:hint="cs"/>
          <w:rtl/>
          <w:lang w:bidi="ar-EG"/>
        </w:rPr>
        <w:t xml:space="preserve"> المعايير</w:t>
      </w:r>
      <w:r w:rsidR="00FD6A52" w:rsidRPr="00FD6A52">
        <w:rPr>
          <w:rtl/>
          <w:lang w:bidi="ar-EG"/>
        </w:rPr>
        <w:t xml:space="preserve"> من فرقة العمل تقديم تقرير عن التقدم المحرز في إعداد التوصية في إطار المهمة رقم 49 في </w:t>
      </w:r>
      <w:r w:rsidR="00AF3E42" w:rsidRPr="00AF3E42">
        <w:rPr>
          <w:rtl/>
          <w:lang w:bidi="ar-EG"/>
        </w:rPr>
        <w:t>الدورة الخامسة للجنة</w:t>
      </w:r>
      <w:r w:rsidR="00FD6A52">
        <w:rPr>
          <w:rFonts w:hint="cs"/>
          <w:rtl/>
          <w:lang w:bidi="ar-EG"/>
        </w:rPr>
        <w:t xml:space="preserve"> المعايير</w:t>
      </w:r>
      <w:r w:rsidR="00AF3E42" w:rsidRPr="00AF3E42">
        <w:rPr>
          <w:rtl/>
          <w:lang w:bidi="ar-EG"/>
        </w:rPr>
        <w:t xml:space="preserve"> (انظر الفقرتين 88 و89 من الوثيقة </w:t>
      </w:r>
      <w:r w:rsidR="00FD6A52" w:rsidRPr="00FD6A52">
        <w:rPr>
          <w:lang w:bidi="ar-EG"/>
        </w:rPr>
        <w:t>CWS/4BIS/16</w:t>
      </w:r>
      <w:r w:rsidR="00AF3E42" w:rsidRPr="00AF3E42">
        <w:rPr>
          <w:rtl/>
          <w:lang w:bidi="ar-EG"/>
        </w:rPr>
        <w:t>).</w:t>
      </w:r>
    </w:p>
    <w:p w:rsidR="00FD6A52" w:rsidRDefault="00877CA3" w:rsidP="00FD7DDE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877CA3">
        <w:rPr>
          <w:rtl/>
          <w:lang w:bidi="ar-EG"/>
        </w:rPr>
        <w:t>وفي يولي</w:t>
      </w:r>
      <w:r>
        <w:rPr>
          <w:rFonts w:hint="cs"/>
          <w:rtl/>
          <w:lang w:bidi="ar-EG"/>
        </w:rPr>
        <w:t>و</w:t>
      </w:r>
      <w:r w:rsidRPr="00877CA3">
        <w:rPr>
          <w:rtl/>
          <w:lang w:bidi="ar-EG"/>
        </w:rPr>
        <w:t xml:space="preserve"> 2016، أجرت فرقة العمل المعنية بتوحيد العلامات التجارية استقصا</w:t>
      </w:r>
      <w:r w:rsidR="00DC56ED">
        <w:rPr>
          <w:rFonts w:hint="cs"/>
          <w:rtl/>
          <w:lang w:bidi="ar-EG"/>
        </w:rPr>
        <w:t>ءً</w:t>
      </w:r>
      <w:r w:rsidRPr="00877CA3">
        <w:rPr>
          <w:rtl/>
          <w:lang w:bidi="ar-EG"/>
        </w:rPr>
        <w:t xml:space="preserve"> </w:t>
      </w:r>
      <w:r w:rsidR="00DC56ED">
        <w:rPr>
          <w:rFonts w:hint="cs"/>
          <w:rtl/>
          <w:lang w:bidi="ar-EG"/>
        </w:rPr>
        <w:t xml:space="preserve">فيما </w:t>
      </w:r>
      <w:r w:rsidRPr="00877CA3">
        <w:rPr>
          <w:rtl/>
          <w:lang w:bidi="ar-EG"/>
        </w:rPr>
        <w:t xml:space="preserve">بين أعضائها بشأن الممارسات المتعلقة بعلامات </w:t>
      </w:r>
      <w:r w:rsidR="00DC56ED">
        <w:rPr>
          <w:rFonts w:hint="cs"/>
          <w:rtl/>
          <w:lang w:bidi="ar-EG"/>
        </w:rPr>
        <w:t xml:space="preserve">الحركة </w:t>
      </w:r>
      <w:r w:rsidRPr="00877CA3">
        <w:rPr>
          <w:rtl/>
          <w:lang w:bidi="ar-EG"/>
        </w:rPr>
        <w:t>و</w:t>
      </w:r>
      <w:r w:rsidR="0067141C">
        <w:rPr>
          <w:rFonts w:hint="cs"/>
          <w:rtl/>
          <w:lang w:bidi="ar-EG"/>
        </w:rPr>
        <w:t xml:space="preserve">علامات </w:t>
      </w:r>
      <w:r w:rsidRPr="00877CA3">
        <w:rPr>
          <w:rtl/>
          <w:lang w:bidi="ar-EG"/>
        </w:rPr>
        <w:t xml:space="preserve">الوسائط المتعددة. ويرد </w:t>
      </w:r>
      <w:r w:rsidR="00FD7DDE" w:rsidRPr="00877CA3">
        <w:rPr>
          <w:rtl/>
          <w:lang w:bidi="ar-EG"/>
        </w:rPr>
        <w:t xml:space="preserve">ملخص </w:t>
      </w:r>
      <w:r w:rsidR="00FD7DDE">
        <w:rPr>
          <w:rFonts w:hint="cs"/>
          <w:rtl/>
          <w:lang w:bidi="ar-EG"/>
        </w:rPr>
        <w:t>ل</w:t>
      </w:r>
      <w:r w:rsidR="00FD7DDE" w:rsidRPr="00877CA3">
        <w:rPr>
          <w:rtl/>
          <w:lang w:bidi="ar-EG"/>
        </w:rPr>
        <w:t xml:space="preserve">نتائج </w:t>
      </w:r>
      <w:r w:rsidR="0067141C">
        <w:rPr>
          <w:rFonts w:hint="cs"/>
          <w:rtl/>
          <w:lang w:bidi="ar-EG"/>
        </w:rPr>
        <w:t xml:space="preserve">هذا </w:t>
      </w:r>
      <w:r w:rsidR="00FD7DDE" w:rsidRPr="00877CA3">
        <w:rPr>
          <w:rtl/>
          <w:lang w:bidi="ar-EG"/>
        </w:rPr>
        <w:t>الاستقصاء</w:t>
      </w:r>
      <w:r w:rsidR="00FD7DDE">
        <w:rPr>
          <w:rFonts w:hint="cs"/>
          <w:rtl/>
          <w:lang w:bidi="ar-EG"/>
        </w:rPr>
        <w:t xml:space="preserve"> </w:t>
      </w:r>
      <w:r w:rsidR="00DC56ED">
        <w:rPr>
          <w:rFonts w:hint="cs"/>
          <w:rtl/>
          <w:lang w:bidi="ar-EG"/>
        </w:rPr>
        <w:t xml:space="preserve">في </w:t>
      </w:r>
      <w:r w:rsidRPr="00877CA3">
        <w:rPr>
          <w:rtl/>
          <w:lang w:bidi="ar-EG"/>
        </w:rPr>
        <w:t>مرفق هذه الوثيقة.</w:t>
      </w:r>
    </w:p>
    <w:p w:rsidR="00DC56ED" w:rsidRDefault="00680574" w:rsidP="00C72D26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680574">
        <w:rPr>
          <w:rtl/>
          <w:lang w:bidi="ar-EG"/>
        </w:rPr>
        <w:t>كما أعادت فرقة العمل النظر في تعريف "علامة الوسائط</w:t>
      </w:r>
      <w:r w:rsidR="00382AE7">
        <w:rPr>
          <w:rFonts w:hint="cs"/>
          <w:rtl/>
          <w:lang w:bidi="ar-EG"/>
        </w:rPr>
        <w:t xml:space="preserve"> </w:t>
      </w:r>
      <w:r w:rsidR="00382AE7" w:rsidRPr="00680574">
        <w:rPr>
          <w:rtl/>
          <w:lang w:bidi="ar-EG"/>
        </w:rPr>
        <w:t>المتعددة</w:t>
      </w:r>
      <w:r w:rsidRPr="00680574">
        <w:rPr>
          <w:rtl/>
          <w:lang w:bidi="ar-EG"/>
        </w:rPr>
        <w:t xml:space="preserve">"، </w:t>
      </w:r>
      <w:r w:rsidR="00C72D26">
        <w:rPr>
          <w:rFonts w:hint="cs"/>
          <w:rtl/>
          <w:lang w:bidi="ar-EG"/>
        </w:rPr>
        <w:t>فأعادت النظر، على وجه الخصوص، في</w:t>
      </w:r>
      <w:r w:rsidRPr="00680574">
        <w:rPr>
          <w:rtl/>
          <w:lang w:bidi="ar-EG"/>
        </w:rPr>
        <w:t>ما إذا كان ينبغي أن يقتصر نطاق "علامة الوسائط</w:t>
      </w:r>
      <w:r w:rsidR="00382AE7">
        <w:rPr>
          <w:rFonts w:hint="cs"/>
          <w:rtl/>
          <w:lang w:bidi="ar-EG"/>
        </w:rPr>
        <w:t xml:space="preserve"> </w:t>
      </w:r>
      <w:r w:rsidR="00382AE7" w:rsidRPr="00680574">
        <w:rPr>
          <w:rtl/>
          <w:lang w:bidi="ar-EG"/>
        </w:rPr>
        <w:t>المتعددة</w:t>
      </w:r>
      <w:r w:rsidRPr="00680574">
        <w:rPr>
          <w:rtl/>
          <w:lang w:bidi="ar-EG"/>
        </w:rPr>
        <w:t xml:space="preserve">" على </w:t>
      </w:r>
      <w:r w:rsidR="00382AE7">
        <w:rPr>
          <w:rtl/>
          <w:lang w:bidi="ar-EG"/>
        </w:rPr>
        <w:t>الجمع بين الحركة والصوت فقط، أ</w:t>
      </w:r>
      <w:r w:rsidR="00382AE7">
        <w:rPr>
          <w:rFonts w:hint="cs"/>
          <w:rtl/>
          <w:lang w:bidi="ar-EG"/>
        </w:rPr>
        <w:t xml:space="preserve">م يجوز أن </w:t>
      </w:r>
      <w:r w:rsidRPr="00680574">
        <w:rPr>
          <w:rtl/>
          <w:lang w:bidi="ar-EG"/>
        </w:rPr>
        <w:t>يتضمن عناصر أخرى.</w:t>
      </w:r>
    </w:p>
    <w:p w:rsidR="00C72D26" w:rsidRDefault="003809CA" w:rsidP="00DC5C8A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3809CA">
        <w:rPr>
          <w:rtl/>
          <w:lang w:bidi="ar-EG"/>
        </w:rPr>
        <w:t xml:space="preserve">واقترح بعض أعضاء فرقة العمل تأجيل وضع التوصيات </w:t>
      </w:r>
      <w:r>
        <w:rPr>
          <w:rFonts w:hint="cs"/>
          <w:rtl/>
          <w:lang w:bidi="ar-EG"/>
        </w:rPr>
        <w:t xml:space="preserve">الخاصة </w:t>
      </w:r>
      <w:r w:rsidRPr="003809CA">
        <w:rPr>
          <w:rtl/>
          <w:lang w:bidi="ar-EG"/>
        </w:rPr>
        <w:t>بالإدارة الإلكترونية ل</w:t>
      </w:r>
      <w:r>
        <w:rPr>
          <w:rtl/>
          <w:lang w:bidi="ar-EG"/>
        </w:rPr>
        <w:t>علامات ال</w:t>
      </w:r>
      <w:r w:rsidRPr="003809CA">
        <w:rPr>
          <w:rtl/>
          <w:lang w:bidi="ar-EG"/>
        </w:rPr>
        <w:t>حركة والوسائط المتعددة إلى أن ت</w:t>
      </w:r>
      <w:r>
        <w:rPr>
          <w:rFonts w:hint="cs"/>
          <w:rtl/>
          <w:lang w:bidi="ar-EG"/>
        </w:rPr>
        <w:t>ُ</w:t>
      </w:r>
      <w:r w:rsidRPr="003809CA">
        <w:rPr>
          <w:rtl/>
          <w:lang w:bidi="ar-EG"/>
        </w:rPr>
        <w:t>نف</w:t>
      </w:r>
      <w:r>
        <w:rPr>
          <w:rFonts w:hint="cs"/>
          <w:rtl/>
          <w:lang w:bidi="ar-EG"/>
        </w:rPr>
        <w:t>ِّ</w:t>
      </w:r>
      <w:r w:rsidRPr="003809CA">
        <w:rPr>
          <w:rtl/>
          <w:lang w:bidi="ar-EG"/>
        </w:rPr>
        <w:t xml:space="preserve">ذ مكاتب الملكية الصناعية المعنية التوجيه رقم </w:t>
      </w:r>
      <w:r w:rsidR="00841D1F" w:rsidRPr="00841D1F">
        <w:rPr>
          <w:lang w:bidi="ar-EG"/>
        </w:rPr>
        <w:t>2008/95/EC</w:t>
      </w:r>
      <w:r w:rsidRPr="003809CA">
        <w:rPr>
          <w:rtl/>
          <w:lang w:bidi="ar-EG"/>
        </w:rPr>
        <w:t xml:space="preserve"> المؤرخ 22 أكتوبر 2008. ومن المقرر تنفيذ هذا التوجيه </w:t>
      </w:r>
      <w:r w:rsidR="00841D1F">
        <w:rPr>
          <w:rFonts w:hint="cs"/>
          <w:rtl/>
          <w:lang w:bidi="ar-EG"/>
        </w:rPr>
        <w:t xml:space="preserve">في </w:t>
      </w:r>
      <w:r w:rsidRPr="003809CA">
        <w:rPr>
          <w:rtl/>
          <w:lang w:bidi="ar-EG"/>
        </w:rPr>
        <w:t>عام 2019 (انظر الفقرتين 2 و</w:t>
      </w:r>
      <w:r w:rsidR="00841D1F">
        <w:rPr>
          <w:rtl/>
          <w:lang w:bidi="ar-EG"/>
        </w:rPr>
        <w:t>10</w:t>
      </w:r>
      <w:r w:rsidR="00DC5C8A">
        <w:rPr>
          <w:rFonts w:hint="cs"/>
          <w:rtl/>
          <w:lang w:bidi="ar-EG"/>
        </w:rPr>
        <w:t xml:space="preserve"> </w:t>
      </w:r>
      <w:r w:rsidRPr="003809CA">
        <w:rPr>
          <w:rtl/>
          <w:lang w:bidi="ar-EG"/>
        </w:rPr>
        <w:t xml:space="preserve">(أ) </w:t>
      </w:r>
      <w:r w:rsidR="00DC5C8A">
        <w:rPr>
          <w:rFonts w:hint="cs"/>
          <w:rtl/>
          <w:lang w:bidi="ar-EG"/>
        </w:rPr>
        <w:t xml:space="preserve">في </w:t>
      </w:r>
      <w:r w:rsidRPr="003809CA">
        <w:rPr>
          <w:rtl/>
          <w:lang w:bidi="ar-EG"/>
        </w:rPr>
        <w:t>مرفق هذه الوثيقة). ونظر</w:t>
      </w:r>
      <w:r w:rsidR="00841D1F">
        <w:rPr>
          <w:rFonts w:hint="cs"/>
          <w:rtl/>
          <w:lang w:bidi="ar-EG"/>
        </w:rPr>
        <w:t>اً</w:t>
      </w:r>
      <w:r w:rsidRPr="003809CA">
        <w:rPr>
          <w:rtl/>
          <w:lang w:bidi="ar-EG"/>
        </w:rPr>
        <w:t xml:space="preserve"> </w:t>
      </w:r>
      <w:r w:rsidR="00841D1F">
        <w:rPr>
          <w:rFonts w:hint="cs"/>
          <w:rtl/>
          <w:lang w:bidi="ar-EG"/>
        </w:rPr>
        <w:t>ل</w:t>
      </w:r>
      <w:r w:rsidRPr="003809CA">
        <w:rPr>
          <w:rtl/>
          <w:lang w:bidi="ar-EG"/>
        </w:rPr>
        <w:t xml:space="preserve">لافتقار إلى الخبرة </w:t>
      </w:r>
      <w:r w:rsidR="00841D1F">
        <w:rPr>
          <w:rFonts w:hint="cs"/>
          <w:rtl/>
          <w:lang w:bidi="ar-EG"/>
        </w:rPr>
        <w:t>بعلامات</w:t>
      </w:r>
      <w:r w:rsidRPr="003809CA">
        <w:rPr>
          <w:rtl/>
          <w:lang w:bidi="ar-EG"/>
        </w:rPr>
        <w:t xml:space="preserve"> الحركة والوسائط المتعددة (انظر الفقرة 3 </w:t>
      </w:r>
      <w:r w:rsidR="00DC5C8A">
        <w:rPr>
          <w:rFonts w:hint="cs"/>
          <w:rtl/>
          <w:lang w:bidi="ar-EG"/>
        </w:rPr>
        <w:t xml:space="preserve">في </w:t>
      </w:r>
      <w:r w:rsidRPr="003809CA">
        <w:rPr>
          <w:rtl/>
          <w:lang w:bidi="ar-EG"/>
        </w:rPr>
        <w:t>مرفق هذه الوثيقة)، لم يعترض أعضاء فرقة العمل ال</w:t>
      </w:r>
      <w:r w:rsidR="00841D1F">
        <w:rPr>
          <w:rFonts w:hint="cs"/>
          <w:rtl/>
          <w:lang w:bidi="ar-EG"/>
        </w:rPr>
        <w:t xml:space="preserve">آخرون </w:t>
      </w:r>
      <w:r w:rsidRPr="003809CA">
        <w:rPr>
          <w:rtl/>
          <w:lang w:bidi="ar-EG"/>
        </w:rPr>
        <w:t>على هذا الاقتراح.</w:t>
      </w:r>
    </w:p>
    <w:p w:rsidR="00841D1F" w:rsidRPr="002A04B5" w:rsidRDefault="00841D1F" w:rsidP="002A04B5">
      <w:pPr>
        <w:pStyle w:val="NormalParaAR"/>
        <w:keepNext/>
        <w:numPr>
          <w:ilvl w:val="0"/>
          <w:numId w:val="21"/>
        </w:numPr>
        <w:ind w:left="5575" w:firstLine="0"/>
        <w:rPr>
          <w:i/>
          <w:iCs/>
          <w:lang w:bidi="ar-EG"/>
        </w:rPr>
      </w:pPr>
      <w:r w:rsidRPr="002A04B5">
        <w:rPr>
          <w:i/>
          <w:iCs/>
          <w:rtl/>
          <w:lang w:bidi="ar-EG"/>
        </w:rPr>
        <w:lastRenderedPageBreak/>
        <w:t>إن اللج</w:t>
      </w:r>
      <w:r w:rsidR="00407C72">
        <w:rPr>
          <w:i/>
          <w:iCs/>
          <w:rtl/>
          <w:lang w:bidi="ar-EG"/>
        </w:rPr>
        <w:t>نة المعنية بمعايير الويبو مدعوة</w:t>
      </w:r>
      <w:r w:rsidRPr="002A04B5">
        <w:rPr>
          <w:i/>
          <w:iCs/>
          <w:rtl/>
          <w:lang w:bidi="ar-EG"/>
        </w:rPr>
        <w:t xml:space="preserve"> إلى:</w:t>
      </w:r>
    </w:p>
    <w:p w:rsidR="00841D1F" w:rsidRPr="002A04B5" w:rsidRDefault="00841D1F" w:rsidP="00407C72">
      <w:pPr>
        <w:pStyle w:val="NormalParaAR"/>
        <w:ind w:left="5575" w:firstLine="360"/>
        <w:rPr>
          <w:i/>
          <w:iCs/>
          <w:lang w:bidi="ar-EG"/>
        </w:rPr>
      </w:pPr>
      <w:r w:rsidRPr="002A04B5">
        <w:rPr>
          <w:i/>
          <w:iCs/>
          <w:rtl/>
          <w:lang w:bidi="ar-EG"/>
        </w:rPr>
        <w:t>(أ)</w:t>
      </w:r>
      <w:r w:rsidR="00407C72">
        <w:rPr>
          <w:i/>
          <w:iCs/>
          <w:rtl/>
          <w:lang w:bidi="ar-EG"/>
        </w:rPr>
        <w:tab/>
      </w:r>
      <w:r w:rsidR="002A04B5" w:rsidRPr="002A04B5">
        <w:rPr>
          <w:rFonts w:hint="cs"/>
          <w:i/>
          <w:iCs/>
          <w:rtl/>
          <w:lang w:bidi="ar-EG"/>
        </w:rPr>
        <w:t xml:space="preserve">الإحاطة </w:t>
      </w:r>
      <w:r w:rsidRPr="002A04B5">
        <w:rPr>
          <w:i/>
          <w:iCs/>
          <w:rtl/>
          <w:lang w:bidi="ar-EG"/>
        </w:rPr>
        <w:t>علما</w:t>
      </w:r>
      <w:r w:rsidR="002A04B5" w:rsidRPr="002A04B5">
        <w:rPr>
          <w:rFonts w:hint="cs"/>
          <w:i/>
          <w:iCs/>
          <w:rtl/>
          <w:lang w:bidi="ar-EG"/>
        </w:rPr>
        <w:t>ً</w:t>
      </w:r>
      <w:r w:rsidRPr="002A04B5">
        <w:rPr>
          <w:i/>
          <w:iCs/>
          <w:rtl/>
          <w:lang w:bidi="ar-EG"/>
        </w:rPr>
        <w:t xml:space="preserve"> </w:t>
      </w:r>
      <w:r w:rsidR="00407C72">
        <w:rPr>
          <w:rFonts w:hint="cs"/>
          <w:i/>
          <w:iCs/>
          <w:rtl/>
          <w:lang w:bidi="ar-EG"/>
        </w:rPr>
        <w:t>بمضمون</w:t>
      </w:r>
      <w:r w:rsidRPr="002A04B5">
        <w:rPr>
          <w:i/>
          <w:iCs/>
          <w:rtl/>
          <w:lang w:bidi="ar-EG"/>
        </w:rPr>
        <w:t xml:space="preserve"> هذه الوثيقة ومرفقها، لا سيما التعليقات والمقترحات الواردة في الفقرة 10 من المرفق</w:t>
      </w:r>
      <w:r w:rsidR="002A04B5" w:rsidRPr="002A04B5">
        <w:rPr>
          <w:rFonts w:hint="cs"/>
          <w:i/>
          <w:iCs/>
          <w:rtl/>
          <w:lang w:bidi="ar-EG"/>
        </w:rPr>
        <w:t>،</w:t>
      </w:r>
    </w:p>
    <w:p w:rsidR="00841D1F" w:rsidRPr="002A04B5" w:rsidRDefault="00841D1F" w:rsidP="00B970EF">
      <w:pPr>
        <w:pStyle w:val="NormalParaAR"/>
        <w:spacing w:after="0"/>
        <w:ind w:left="5575" w:firstLine="360"/>
        <w:rPr>
          <w:i/>
          <w:iCs/>
          <w:rtl/>
          <w:lang w:bidi="ar-EG"/>
        </w:rPr>
      </w:pPr>
      <w:r w:rsidRPr="002A04B5">
        <w:rPr>
          <w:i/>
          <w:iCs/>
          <w:rtl/>
          <w:lang w:bidi="ar-EG"/>
        </w:rPr>
        <w:t>(ب)</w:t>
      </w:r>
      <w:r w:rsidR="00407C72">
        <w:rPr>
          <w:rFonts w:hint="cs"/>
          <w:i/>
          <w:iCs/>
          <w:rtl/>
          <w:lang w:bidi="ar-EG"/>
        </w:rPr>
        <w:t xml:space="preserve"> </w:t>
      </w:r>
      <w:r w:rsidR="002A04B5" w:rsidRPr="002A04B5">
        <w:rPr>
          <w:rFonts w:hint="cs"/>
          <w:i/>
          <w:iCs/>
          <w:rtl/>
          <w:lang w:bidi="ar-EG"/>
        </w:rPr>
        <w:t>و</w:t>
      </w:r>
      <w:r w:rsidRPr="002A04B5">
        <w:rPr>
          <w:i/>
          <w:iCs/>
          <w:rtl/>
          <w:lang w:bidi="ar-EG"/>
        </w:rPr>
        <w:t xml:space="preserve">النظر والبت في تأجيل وضع التوصيات </w:t>
      </w:r>
      <w:r w:rsidR="002A04B5" w:rsidRPr="002A04B5">
        <w:rPr>
          <w:rFonts w:hint="cs"/>
          <w:i/>
          <w:iCs/>
          <w:rtl/>
          <w:lang w:bidi="ar-EG"/>
        </w:rPr>
        <w:t xml:space="preserve">الخاصة </w:t>
      </w:r>
      <w:r w:rsidRPr="002A04B5">
        <w:rPr>
          <w:i/>
          <w:iCs/>
          <w:rtl/>
          <w:lang w:bidi="ar-EG"/>
        </w:rPr>
        <w:t>بالإدارة الإلكترونية لعلامات الحركة والوسائط المتعددة حتى عام 2019 (انظر الفقرة 4 أعلاه)</w:t>
      </w:r>
      <w:r w:rsidR="002A04B5" w:rsidRPr="002A04B5">
        <w:rPr>
          <w:rFonts w:hint="cs"/>
          <w:i/>
          <w:iCs/>
          <w:rtl/>
          <w:lang w:bidi="ar-EG"/>
        </w:rPr>
        <w:t>،</w:t>
      </w:r>
      <w:r w:rsidRPr="002A04B5">
        <w:rPr>
          <w:i/>
          <w:iCs/>
          <w:rtl/>
          <w:lang w:bidi="ar-EG"/>
        </w:rPr>
        <w:t xml:space="preserve"> و</w:t>
      </w:r>
      <w:r w:rsidR="002A04B5" w:rsidRPr="002A04B5">
        <w:rPr>
          <w:rFonts w:hint="cs"/>
          <w:i/>
          <w:iCs/>
          <w:rtl/>
          <w:lang w:bidi="ar-EG"/>
        </w:rPr>
        <w:t>في</w:t>
      </w:r>
      <w:r w:rsidRPr="002A04B5">
        <w:rPr>
          <w:i/>
          <w:iCs/>
          <w:rtl/>
          <w:lang w:bidi="ar-EG"/>
        </w:rPr>
        <w:t>ما إذا كان ينبغي تعليق المهمة رقم 49 حتى ذلك الحين.</w:t>
      </w:r>
    </w:p>
    <w:p w:rsidR="00B970EF" w:rsidRDefault="00B970EF" w:rsidP="00B970EF">
      <w:pPr>
        <w:pStyle w:val="NormalParaAR"/>
        <w:spacing w:after="0"/>
        <w:ind w:left="5575"/>
        <w:rPr>
          <w:rtl/>
          <w:lang w:val="fr-FR" w:bidi="ar-EG"/>
        </w:rPr>
      </w:pPr>
      <w:bookmarkStart w:id="2" w:name="_GoBack"/>
      <w:bookmarkEnd w:id="2"/>
    </w:p>
    <w:p w:rsidR="00B970EF" w:rsidRDefault="00B970EF" w:rsidP="00B970EF">
      <w:pPr>
        <w:pStyle w:val="NormalParaAR"/>
        <w:spacing w:after="0"/>
        <w:ind w:left="5575"/>
        <w:rPr>
          <w:lang w:val="fr-FR" w:bidi="ar-EG"/>
        </w:rPr>
      </w:pPr>
    </w:p>
    <w:p w:rsidR="002A04B5" w:rsidRDefault="002A04B5" w:rsidP="002A04B5">
      <w:pPr>
        <w:pStyle w:val="NormalParaAR"/>
        <w:ind w:left="5575"/>
        <w:rPr>
          <w:rtl/>
          <w:lang w:bidi="ar-EG"/>
        </w:rPr>
      </w:pPr>
      <w:r w:rsidRPr="002A04B5">
        <w:rPr>
          <w:rtl/>
          <w:lang w:bidi="ar-EG"/>
        </w:rPr>
        <w:t>[يلي ذلك المرفق]</w:t>
      </w:r>
    </w:p>
    <w:sectPr w:rsidR="002A04B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08" w:rsidRDefault="00D90E08">
      <w:r>
        <w:separator/>
      </w:r>
    </w:p>
  </w:endnote>
  <w:endnote w:type="continuationSeparator" w:id="0">
    <w:p w:rsidR="00D90E08" w:rsidRDefault="00D9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08" w:rsidRDefault="00D90E0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90E08" w:rsidRDefault="00D90E0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2A04B5">
    <w:r>
      <w:t>CWS</w:t>
    </w:r>
    <w:r w:rsidR="002F77FC">
      <w:t>/</w:t>
    </w:r>
    <w:r w:rsidR="002A04B5">
      <w:t>5</w:t>
    </w:r>
    <w:r w:rsidR="002F77FC">
      <w:t>/</w:t>
    </w:r>
    <w:r w:rsidR="002A04B5">
      <w:t>10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970EF">
      <w:rPr>
        <w:noProof/>
      </w:rPr>
      <w:t>2</w:t>
    </w:r>
    <w:r>
      <w:fldChar w:fldCharType="end"/>
    </w:r>
  </w:p>
  <w:p w:rsidR="002F77FC" w:rsidRDefault="002F77FC" w:rsidP="00D61541"/>
  <w:p w:rsidR="00B970EF" w:rsidRDefault="00B970EF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2E7EEF"/>
    <w:multiLevelType w:val="hybridMultilevel"/>
    <w:tmpl w:val="D5A0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6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BF0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364"/>
    <w:rsid w:val="002A04B5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9CA"/>
    <w:rsid w:val="003818B3"/>
    <w:rsid w:val="00382AE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C72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68F"/>
    <w:rsid w:val="004E3DD4"/>
    <w:rsid w:val="004E532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CB9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41C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574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992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684F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4EE9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D1F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77CA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969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598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A23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3E42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D2C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4FE"/>
    <w:rsid w:val="00B90558"/>
    <w:rsid w:val="00B92958"/>
    <w:rsid w:val="00B93957"/>
    <w:rsid w:val="00B9404A"/>
    <w:rsid w:val="00B94877"/>
    <w:rsid w:val="00B9491F"/>
    <w:rsid w:val="00B96043"/>
    <w:rsid w:val="00B96F5D"/>
    <w:rsid w:val="00B970EF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2D26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68D2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E08"/>
    <w:rsid w:val="00D912D5"/>
    <w:rsid w:val="00D91AAF"/>
    <w:rsid w:val="00D93D99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56ED"/>
    <w:rsid w:val="00DC5C8A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68B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A52"/>
    <w:rsid w:val="00FD6E54"/>
    <w:rsid w:val="00FD7DDE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semiHidden/>
    <w:unhideWhenUsed/>
    <w:rsid w:val="007F4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4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semiHidden/>
    <w:unhideWhenUsed/>
    <w:rsid w:val="007F4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4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41862%20+%2041865%20+%2041864\CWS_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CWS_4_AR</Template>
  <TotalTime>1</TotalTime>
  <Pages>2</Pages>
  <Words>321</Words>
  <Characters>1654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(Arabic)</vt:lpstr>
    </vt:vector>
  </TitlesOfParts>
  <Company>World Intellectual Property Organization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(in Arabic)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4</cp:revision>
  <cp:lastPrinted>2017-04-18T10:13:00Z</cp:lastPrinted>
  <dcterms:created xsi:type="dcterms:W3CDTF">2017-04-27T11:56:00Z</dcterms:created>
  <dcterms:modified xsi:type="dcterms:W3CDTF">2017-04-27T12:53:00Z</dcterms:modified>
</cp:coreProperties>
</file>