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DC3167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B6101C" w:rsidRPr="00B6101C">
              <w:t>/</w:t>
            </w:r>
            <w:r w:rsidR="00DC3167">
              <w:t>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F28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280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F280A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2F280A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84565" w:rsidP="00D84565">
      <w:pPr>
        <w:pStyle w:val="DocumentTitleAR"/>
        <w:bidi/>
        <w:rPr>
          <w:rtl/>
        </w:rPr>
      </w:pPr>
      <w:bookmarkStart w:id="2" w:name="_GoBack"/>
      <w:r>
        <w:rPr>
          <w:rFonts w:hint="cs"/>
          <w:rtl/>
        </w:rPr>
        <w:t>تقرير مرحلي عن إعداد اقتراح لإنشاء</w:t>
      </w:r>
      <w:r w:rsidRPr="00992666">
        <w:rPr>
          <w:rFonts w:hint="cs"/>
          <w:rtl/>
        </w:rPr>
        <w:t xml:space="preserve"> </w:t>
      </w:r>
      <w:r>
        <w:rPr>
          <w:rFonts w:hint="cs"/>
          <w:rtl/>
        </w:rPr>
        <w:t>معيار جديد للويبو بشأن تبادل</w:t>
      </w:r>
      <w:r w:rsidRPr="00992666">
        <w:rPr>
          <w:rFonts w:hint="cs"/>
          <w:rtl/>
        </w:rPr>
        <w:t xml:space="preserve"> مكاتب الملكية الصناعية </w:t>
      </w:r>
      <w:r>
        <w:rPr>
          <w:rFonts w:hint="cs"/>
          <w:rtl/>
        </w:rPr>
        <w:t>ل</w:t>
      </w:r>
      <w:r w:rsidRPr="00992666">
        <w:rPr>
          <w:rFonts w:hint="cs"/>
          <w:rtl/>
        </w:rPr>
        <w:t>لمعلومات الخاصة بالوضع القانوني</w:t>
      </w:r>
      <w:r>
        <w:rPr>
          <w:rFonts w:hint="cs"/>
          <w:rtl/>
        </w:rPr>
        <w:t xml:space="preserve"> للبراءات</w:t>
      </w:r>
    </w:p>
    <w:bookmarkEnd w:id="2"/>
    <w:p w:rsidR="00D61541" w:rsidRPr="00D61541" w:rsidRDefault="00D216D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Pr="00B36216" w:rsidRDefault="00B36216" w:rsidP="002B7777">
      <w:pPr>
        <w:pStyle w:val="Heading2AR"/>
        <w:rPr>
          <w:rtl/>
        </w:rPr>
      </w:pPr>
      <w:r w:rsidRPr="002B7777">
        <w:rPr>
          <w:rFonts w:hint="cs"/>
          <w:rtl/>
        </w:rPr>
        <w:t>مقدمة</w:t>
      </w:r>
    </w:p>
    <w:p w:rsidR="00B36216" w:rsidRDefault="00244EE7" w:rsidP="00ED2A72">
      <w:pPr>
        <w:pStyle w:val="NumberedParaAR"/>
      </w:pPr>
      <w:r>
        <w:rPr>
          <w:rFonts w:hint="cs"/>
          <w:rtl/>
        </w:rPr>
        <w:t>ناقشت</w:t>
      </w:r>
      <w:r w:rsidR="00ED2A72">
        <w:rPr>
          <w:rFonts w:hint="cs"/>
          <w:rtl/>
        </w:rPr>
        <w:t xml:space="preserve"> اللجنة المعنية بمعايير الويبو</w:t>
      </w:r>
      <w:r>
        <w:rPr>
          <w:rFonts w:hint="cs"/>
          <w:rtl/>
        </w:rPr>
        <w:t xml:space="preserve">، في دورتها الثالثة التي عقدت في أبريل 2013، أهمية المعلومات الخاصة بالوضع القانوني </w:t>
      </w:r>
      <w:r w:rsidR="002C738E">
        <w:rPr>
          <w:rFonts w:hint="cs"/>
          <w:rtl/>
        </w:rPr>
        <w:t xml:space="preserve">بالنسبة لمجتمع معلومات الملكية الصناعية بالاستناد إلى </w:t>
      </w:r>
      <w:r w:rsidR="00783D8C">
        <w:rPr>
          <w:rFonts w:hint="cs"/>
          <w:rtl/>
        </w:rPr>
        <w:t xml:space="preserve">الاقتراحات التي تقدم بها المكتب الأوروبي للبراءات، ومجموعة </w:t>
      </w:r>
      <w:r w:rsidR="00843FEB">
        <w:rPr>
          <w:rFonts w:hint="cs"/>
          <w:rtl/>
        </w:rPr>
        <w:t xml:space="preserve">العمل المكلفة بوثائق </w:t>
      </w:r>
      <w:r w:rsidR="00783D8C">
        <w:rPr>
          <w:rFonts w:hint="cs"/>
          <w:rtl/>
        </w:rPr>
        <w:t xml:space="preserve">البراءات </w:t>
      </w:r>
      <w:r w:rsidR="00843FEB">
        <w:rPr>
          <w:rFonts w:hint="cs"/>
          <w:rtl/>
        </w:rPr>
        <w:t>(</w:t>
      </w:r>
      <w:r w:rsidR="00783D8C">
        <w:t>PDG</w:t>
      </w:r>
      <w:r w:rsidR="00843FEB">
        <w:rPr>
          <w:rFonts w:hint="cs"/>
          <w:rtl/>
          <w:lang w:bidi="ar-EG"/>
        </w:rPr>
        <w:t>)</w:t>
      </w:r>
      <w:r w:rsidR="00783D8C">
        <w:rPr>
          <w:rFonts w:hint="cs"/>
          <w:rtl/>
          <w:lang w:bidi="ar-EG"/>
        </w:rPr>
        <w:t xml:space="preserve"> والمكتب الدولي (انظر الوثيقتين </w:t>
      </w:r>
      <w:r w:rsidR="00783D8C">
        <w:rPr>
          <w:lang w:bidi="ar-EG"/>
        </w:rPr>
        <w:t>CWS/3/7</w:t>
      </w:r>
      <w:r w:rsidR="00783D8C">
        <w:rPr>
          <w:rFonts w:hint="cs"/>
          <w:rtl/>
          <w:lang w:bidi="ar-EG"/>
        </w:rPr>
        <w:t xml:space="preserve"> و</w:t>
      </w:r>
      <w:r w:rsidR="00783D8C">
        <w:rPr>
          <w:lang w:bidi="ar-EG"/>
        </w:rPr>
        <w:t>CWS/3/7 ADD</w:t>
      </w:r>
      <w:r w:rsidR="00783D8C">
        <w:rPr>
          <w:rFonts w:hint="cs"/>
          <w:rtl/>
          <w:lang w:bidi="ar-EG"/>
        </w:rPr>
        <w:t>).</w:t>
      </w:r>
    </w:p>
    <w:p w:rsidR="009E790A" w:rsidRDefault="009E790A" w:rsidP="003814D4">
      <w:pPr>
        <w:pStyle w:val="NumberedParaAR"/>
      </w:pPr>
      <w:r>
        <w:rPr>
          <w:rFonts w:hint="cs"/>
          <w:rtl/>
        </w:rPr>
        <w:t>ونتيجة للمناقشة، اتفقت اللجنة على إنشاء المهمة رقم 47: "</w:t>
      </w:r>
      <w:r w:rsidR="00107E38">
        <w:rPr>
          <w:rFonts w:hint="cs"/>
          <w:rtl/>
        </w:rPr>
        <w:t xml:space="preserve">إعداد اقتراح من أجل إنشاء معيار جديد للويبو لأغراض تبادل مكاتب الملكية الصناعية للبيانات </w:t>
      </w:r>
      <w:r w:rsidR="00407D74">
        <w:rPr>
          <w:rFonts w:hint="cs"/>
          <w:rtl/>
        </w:rPr>
        <w:t>ال</w:t>
      </w:r>
      <w:r w:rsidR="00107E38">
        <w:rPr>
          <w:rFonts w:hint="cs"/>
          <w:rtl/>
        </w:rPr>
        <w:t>خاصة بالوضع القانوني للبراءات</w:t>
      </w:r>
      <w:r w:rsidR="00687F58">
        <w:rPr>
          <w:rFonts w:hint="cs"/>
          <w:rtl/>
        </w:rPr>
        <w:t xml:space="preserve">. </w:t>
      </w:r>
      <w:r w:rsidR="009D4530" w:rsidRPr="00196C86">
        <w:rPr>
          <w:rtl/>
        </w:rPr>
        <w:t xml:space="preserve">وحينما تُستكمل هذه المهمة، ينبغي توسيع الاقتراح ليشمل العلامات التجارية </w:t>
      </w:r>
      <w:r w:rsidR="009D4530">
        <w:rPr>
          <w:rFonts w:hint="cs"/>
          <w:rtl/>
        </w:rPr>
        <w:t>والتصاميم</w:t>
      </w:r>
      <w:r w:rsidR="009D4530" w:rsidRPr="00196C86">
        <w:rPr>
          <w:rtl/>
        </w:rPr>
        <w:t xml:space="preserve"> الصناعية</w:t>
      </w:r>
      <w:r>
        <w:rPr>
          <w:rFonts w:hint="cs"/>
          <w:rtl/>
        </w:rPr>
        <w:t>"</w:t>
      </w:r>
      <w:r w:rsidR="009B6187">
        <w:rPr>
          <w:rFonts w:hint="cs"/>
          <w:rtl/>
        </w:rPr>
        <w:t>.</w:t>
      </w:r>
      <w:r w:rsidR="009C69C5">
        <w:rPr>
          <w:rFonts w:hint="cs"/>
          <w:rtl/>
        </w:rPr>
        <w:t xml:space="preserve"> وأنشأت اللجنة أيضا فرقة العمل المعنية بالوضع القانوني </w:t>
      </w:r>
      <w:r w:rsidR="003814D4">
        <w:rPr>
          <w:rFonts w:hint="cs"/>
          <w:rtl/>
        </w:rPr>
        <w:t xml:space="preserve">لتضطلع بهذه المهمة، على أن يتولى المكتب الدولي </w:t>
      </w:r>
      <w:r w:rsidR="003814D4" w:rsidRPr="00205773">
        <w:rPr>
          <w:rFonts w:hint="cs"/>
          <w:rtl/>
        </w:rPr>
        <w:t>الإشراف على</w:t>
      </w:r>
      <w:r w:rsidR="003814D4">
        <w:rPr>
          <w:rFonts w:hint="cs"/>
          <w:rtl/>
        </w:rPr>
        <w:t xml:space="preserve"> المهمة (انظر الفقرات من 50 إلى 54 من الوثيقة </w:t>
      </w:r>
      <w:r w:rsidR="003814D4">
        <w:t>CWS/3/14</w:t>
      </w:r>
      <w:r w:rsidR="003814D4">
        <w:rPr>
          <w:rFonts w:hint="cs"/>
          <w:rtl/>
          <w:lang w:bidi="ar-EG"/>
        </w:rPr>
        <w:t>).</w:t>
      </w:r>
    </w:p>
    <w:p w:rsidR="003814D4" w:rsidRDefault="00B1735A" w:rsidP="00552E5D">
      <w:pPr>
        <w:pStyle w:val="NumberedParaAR"/>
      </w:pPr>
      <w:r>
        <w:rPr>
          <w:rFonts w:hint="cs"/>
          <w:rtl/>
          <w:lang w:bidi="ar-EG"/>
        </w:rPr>
        <w:t>وفي 6 نوفمبر 2013، دعا المك</w:t>
      </w:r>
      <w:r w:rsidR="005D7195">
        <w:rPr>
          <w:rFonts w:hint="cs"/>
          <w:rtl/>
          <w:lang w:bidi="ar-EG"/>
        </w:rPr>
        <w:t xml:space="preserve">تب الدولي أعضاء اللجنة لترشيح ممثليهم في فرقة العمل المعنية بالوضع القانوني (انظر تعميم اللجنة </w:t>
      </w:r>
      <w:r w:rsidR="005D7195">
        <w:rPr>
          <w:lang w:bidi="ar-EG"/>
        </w:rPr>
        <w:t>C.CWS40</w:t>
      </w:r>
      <w:r w:rsidR="005D7195">
        <w:rPr>
          <w:rFonts w:hint="cs"/>
          <w:rtl/>
          <w:lang w:bidi="ar-EG"/>
        </w:rPr>
        <w:t xml:space="preserve"> المتاح على: </w:t>
      </w:r>
      <w:hyperlink r:id="rId9" w:history="1">
        <w:r w:rsidR="00552E5D" w:rsidRPr="009B6187">
          <w:rPr>
            <w:rStyle w:val="Hyperlink"/>
            <w:u w:val="none"/>
            <w:lang w:bidi="ar-EG"/>
          </w:rPr>
          <w:t>http://www.wipo.int/cws/en/circulars</w:t>
        </w:r>
      </w:hyperlink>
      <w:r w:rsidR="005D7195">
        <w:rPr>
          <w:rFonts w:hint="cs"/>
          <w:rtl/>
          <w:lang w:bidi="ar-EG"/>
        </w:rPr>
        <w:t xml:space="preserve">). </w:t>
      </w:r>
      <w:r w:rsidR="00552E5D">
        <w:rPr>
          <w:rFonts w:hint="cs"/>
          <w:rtl/>
        </w:rPr>
        <w:t>واعتبارا من مارس 2014، يشارك ممثلون لواحد وعشرين مكتبا ومنظمة في فرقة العمل.</w:t>
      </w:r>
    </w:p>
    <w:p w:rsidR="0011655D" w:rsidRPr="00864D53" w:rsidRDefault="00864D53" w:rsidP="002B7777">
      <w:pPr>
        <w:pStyle w:val="Heading2AR"/>
      </w:pPr>
      <w:r w:rsidRPr="00864D53">
        <w:rPr>
          <w:rFonts w:hint="cs"/>
          <w:rtl/>
        </w:rPr>
        <w:lastRenderedPageBreak/>
        <w:t xml:space="preserve">نطاق المعيار الجديد </w:t>
      </w:r>
      <w:r w:rsidRPr="003E166C">
        <w:rPr>
          <w:rFonts w:hint="cs"/>
          <w:rtl/>
        </w:rPr>
        <w:t>وإجراءات العمل</w:t>
      </w:r>
    </w:p>
    <w:p w:rsidR="00864D53" w:rsidRDefault="0016695C" w:rsidP="005B7391">
      <w:pPr>
        <w:pStyle w:val="NumberedParaAR"/>
      </w:pPr>
      <w:r>
        <w:rPr>
          <w:rFonts w:hint="cs"/>
          <w:rtl/>
          <w:lang w:bidi="ar-EG"/>
        </w:rPr>
        <w:t xml:space="preserve">بدأت فرقة العمل المعنية بالوضع القانوني مناقشاتها في ديسمبر 2013 عبر منتداها الإلكتروني </w:t>
      </w:r>
      <w:r w:rsidR="00E72FB9">
        <w:rPr>
          <w:rFonts w:hint="cs"/>
          <w:rtl/>
          <w:lang w:bidi="ar-EG"/>
        </w:rPr>
        <w:t xml:space="preserve">استنادا إلى مشروع الاقتراح الذي قدمه المكتب الدولي بالتشاور مع المكتب الأوروبي للبراءات </w:t>
      </w:r>
      <w:r w:rsidR="00E72FB9">
        <w:rPr>
          <w:rFonts w:hint="cs"/>
          <w:rtl/>
        </w:rPr>
        <w:t xml:space="preserve">ومجموعة العمل المكلفة بوثائق البراءات. </w:t>
      </w:r>
      <w:r w:rsidR="007A7C61">
        <w:rPr>
          <w:rFonts w:hint="cs"/>
          <w:rtl/>
        </w:rPr>
        <w:t xml:space="preserve">وفي هذا الاقتراح، اقترح المكتب الدولي أن </w:t>
      </w:r>
      <w:r w:rsidR="005B7391">
        <w:rPr>
          <w:rFonts w:hint="cs"/>
          <w:rtl/>
        </w:rPr>
        <w:t xml:space="preserve">يقدم </w:t>
      </w:r>
      <w:r w:rsidR="007A7C61">
        <w:rPr>
          <w:rFonts w:hint="cs"/>
          <w:rtl/>
        </w:rPr>
        <w:t xml:space="preserve">المعيار الجديد توصيات لتعزيز قيام مكاتب الملكية الصناعية بالتبادل الكفء للمعلومات الخاصة بالوضع القانوني للبراءات </w:t>
      </w:r>
      <w:r w:rsidR="006350B9">
        <w:rPr>
          <w:rFonts w:hint="cs"/>
          <w:rtl/>
        </w:rPr>
        <w:t xml:space="preserve">بغية </w:t>
      </w:r>
      <w:r w:rsidR="007A7C61">
        <w:rPr>
          <w:rFonts w:hint="cs"/>
          <w:rtl/>
        </w:rPr>
        <w:t xml:space="preserve">تسهيل نفاذ مستخدمي معلومات الملكية الصناعية ومكاتب الملكية الصناعية ومقدمي بيانات الملكية الصناعية والجمهور العام وغيرهم من الأطراف المعنية إلى تلك المعلومات. </w:t>
      </w:r>
      <w:r w:rsidR="006350B9">
        <w:rPr>
          <w:rFonts w:hint="cs"/>
          <w:rtl/>
        </w:rPr>
        <w:t xml:space="preserve">ومن أجل تبادل المعلومات الخاصة بالوضع القانوني للبراءات </w:t>
      </w:r>
      <w:r w:rsidR="00254F23">
        <w:rPr>
          <w:rFonts w:hint="cs"/>
          <w:rtl/>
        </w:rPr>
        <w:t>بشكل منسق</w:t>
      </w:r>
      <w:r w:rsidR="006350B9">
        <w:rPr>
          <w:rFonts w:hint="cs"/>
          <w:rtl/>
        </w:rPr>
        <w:t xml:space="preserve">، اقترح المكتب الدولي أيضا أن </w:t>
      </w:r>
      <w:r w:rsidR="00A1200B">
        <w:rPr>
          <w:rFonts w:hint="cs"/>
          <w:rtl/>
        </w:rPr>
        <w:t xml:space="preserve">يحدد </w:t>
      </w:r>
      <w:r w:rsidR="006350B9">
        <w:rPr>
          <w:rFonts w:hint="cs"/>
          <w:rtl/>
        </w:rPr>
        <w:t>المعيار الجديد ما يلي:</w:t>
      </w:r>
    </w:p>
    <w:p w:rsidR="006350B9" w:rsidRDefault="00A1200B" w:rsidP="00A1200B">
      <w:pPr>
        <w:pStyle w:val="NumberedParaAR"/>
        <w:numPr>
          <w:ilvl w:val="0"/>
          <w:numId w:val="0"/>
        </w:numPr>
        <w:ind w:left="1134" w:hanging="567"/>
        <w:rPr>
          <w:rtl/>
        </w:rPr>
      </w:pPr>
      <w:r>
        <w:rPr>
          <w:rtl/>
        </w:rPr>
        <w:t>•</w:t>
      </w:r>
      <w:r>
        <w:rPr>
          <w:rFonts w:hint="cs"/>
          <w:rtl/>
        </w:rPr>
        <w:tab/>
        <w:t>معلومات الوضع القانوني التي ينبغي تبادلها؛</w:t>
      </w:r>
    </w:p>
    <w:p w:rsidR="00A1200B" w:rsidRPr="00A1200B" w:rsidRDefault="00A1200B" w:rsidP="00A82B1A">
      <w:pPr>
        <w:pStyle w:val="NumberedParaAR"/>
        <w:numPr>
          <w:ilvl w:val="0"/>
          <w:numId w:val="0"/>
        </w:numPr>
        <w:ind w:left="1134" w:hanging="567"/>
      </w:pPr>
      <w:r>
        <w:rPr>
          <w:rtl/>
        </w:rPr>
        <w:t>•</w:t>
      </w:r>
      <w:r>
        <w:rPr>
          <w:rFonts w:hint="cs"/>
          <w:rtl/>
        </w:rPr>
        <w:tab/>
        <w:t xml:space="preserve">والكيفية التي ينبغي </w:t>
      </w:r>
      <w:r w:rsidRPr="00A82B1A">
        <w:rPr>
          <w:rFonts w:hint="cs"/>
          <w:rtl/>
        </w:rPr>
        <w:t>هيكلة</w:t>
      </w:r>
      <w:r w:rsidR="00A82B1A">
        <w:rPr>
          <w:rFonts w:hint="cs"/>
          <w:rtl/>
        </w:rPr>
        <w:t xml:space="preserve"> </w:t>
      </w:r>
      <w:r>
        <w:rPr>
          <w:rFonts w:hint="cs"/>
          <w:rtl/>
        </w:rPr>
        <w:t>تلك المعلومات وفقا لها.</w:t>
      </w:r>
    </w:p>
    <w:p w:rsidR="006350B9" w:rsidRDefault="00A1200B" w:rsidP="0027581C">
      <w:pPr>
        <w:pStyle w:val="NumberedParaAR"/>
      </w:pPr>
      <w:r>
        <w:rPr>
          <w:rFonts w:hint="cs"/>
          <w:rtl/>
        </w:rPr>
        <w:t xml:space="preserve">وبالإضافة إلى ذلك، </w:t>
      </w:r>
      <w:r w:rsidR="00032567">
        <w:rPr>
          <w:rFonts w:hint="cs"/>
          <w:rtl/>
        </w:rPr>
        <w:t xml:space="preserve">اقترح المكتب الدولي المراحل الثلاث التالية </w:t>
      </w:r>
      <w:r w:rsidR="0027581C" w:rsidRPr="004E2D48">
        <w:rPr>
          <w:rFonts w:hint="cs"/>
          <w:rtl/>
        </w:rPr>
        <w:t>ب</w:t>
      </w:r>
      <w:r w:rsidR="00032567" w:rsidRPr="004E2D48">
        <w:rPr>
          <w:rFonts w:hint="cs"/>
          <w:rtl/>
        </w:rPr>
        <w:t>موضوعات محددة</w:t>
      </w:r>
      <w:r w:rsidR="00032567">
        <w:rPr>
          <w:rFonts w:hint="cs"/>
          <w:rtl/>
        </w:rPr>
        <w:t xml:space="preserve"> لكي تكون مناقشات فرقة العمل المعنية بالوضع القانوني مناقشات فعالة:</w:t>
      </w:r>
    </w:p>
    <w:p w:rsidR="00F13E50" w:rsidRDefault="00DC7923" w:rsidP="00DC7923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660A05">
        <w:rPr>
          <w:rFonts w:hint="cs"/>
          <w:rtl/>
        </w:rPr>
        <w:t xml:space="preserve">المرحلة 1: </w:t>
      </w:r>
      <w:r w:rsidR="00A462F3" w:rsidRPr="00906649">
        <w:rPr>
          <w:rFonts w:hint="cs"/>
          <w:rtl/>
        </w:rPr>
        <w:t>الصورة العامة</w:t>
      </w:r>
      <w:r w:rsidR="00A462F3">
        <w:rPr>
          <w:rFonts w:hint="cs"/>
          <w:rtl/>
        </w:rPr>
        <w:t xml:space="preserve"> للمعيار الجديد ونطاقه؛</w:t>
      </w:r>
    </w:p>
    <w:p w:rsidR="00B376BF" w:rsidRDefault="00B376BF" w:rsidP="00CF5C1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787254">
        <w:rPr>
          <w:rFonts w:hint="cs"/>
          <w:rtl/>
        </w:rPr>
        <w:t>و</w:t>
      </w:r>
      <w:r w:rsidR="00841E5F">
        <w:rPr>
          <w:rFonts w:hint="cs"/>
          <w:rtl/>
        </w:rPr>
        <w:t xml:space="preserve">المرحلة 2: </w:t>
      </w:r>
      <w:r w:rsidR="00D03F8A">
        <w:rPr>
          <w:rFonts w:hint="cs"/>
          <w:rtl/>
        </w:rPr>
        <w:t>معلومات الوضع القانوني الواجب تبادلها</w:t>
      </w:r>
      <w:r w:rsidR="00D03F8A" w:rsidRPr="00FC4811">
        <w:rPr>
          <w:rFonts w:hint="cs"/>
          <w:rtl/>
        </w:rPr>
        <w:t xml:space="preserve">، وبوجه خاص، </w:t>
      </w:r>
      <w:r w:rsidR="00D03F8A" w:rsidRPr="00CA0146">
        <w:rPr>
          <w:rFonts w:hint="cs"/>
          <w:rtl/>
        </w:rPr>
        <w:t xml:space="preserve">قائمة فئات الأحداث والأحداث </w:t>
      </w:r>
      <w:r w:rsidR="00CA0146" w:rsidRPr="00CA0146">
        <w:rPr>
          <w:rFonts w:hint="cs"/>
          <w:rtl/>
        </w:rPr>
        <w:t xml:space="preserve">القانونية </w:t>
      </w:r>
      <w:r w:rsidR="00D03F8A" w:rsidRPr="00CA0146">
        <w:rPr>
          <w:rFonts w:hint="cs"/>
          <w:rtl/>
        </w:rPr>
        <w:t xml:space="preserve">الأساسية </w:t>
      </w:r>
      <w:r w:rsidR="00D03F8A" w:rsidRPr="00B5303B">
        <w:rPr>
          <w:rFonts w:hint="cs"/>
          <w:rtl/>
        </w:rPr>
        <w:t xml:space="preserve">ووصف </w:t>
      </w:r>
      <w:r w:rsidR="00CF5C17">
        <w:rPr>
          <w:rFonts w:hint="cs"/>
          <w:rtl/>
        </w:rPr>
        <w:t xml:space="preserve">موجز </w:t>
      </w:r>
      <w:r w:rsidR="00D03F8A" w:rsidRPr="00B5303B">
        <w:rPr>
          <w:rFonts w:hint="cs"/>
          <w:rtl/>
        </w:rPr>
        <w:t>لكل فئة وحدث</w:t>
      </w:r>
      <w:r w:rsidR="00D03F8A">
        <w:rPr>
          <w:rFonts w:hint="cs"/>
          <w:rtl/>
        </w:rPr>
        <w:t>؛</w:t>
      </w:r>
    </w:p>
    <w:p w:rsidR="00FC1F63" w:rsidRDefault="00D03F8A" w:rsidP="00D8143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787254">
        <w:rPr>
          <w:rFonts w:hint="cs"/>
          <w:rtl/>
        </w:rPr>
        <w:t xml:space="preserve">والمرحلة 3: </w:t>
      </w:r>
      <w:r w:rsidR="00787254" w:rsidRPr="006A510C">
        <w:rPr>
          <w:rFonts w:hint="cs"/>
          <w:rtl/>
        </w:rPr>
        <w:t>في النهاية، بنية المعلومات</w:t>
      </w:r>
      <w:r w:rsidR="006A510C">
        <w:rPr>
          <w:rFonts w:hint="cs"/>
          <w:rtl/>
        </w:rPr>
        <w:t xml:space="preserve"> في ضوء</w:t>
      </w:r>
      <w:r w:rsidR="00787254" w:rsidRPr="006A510C">
        <w:rPr>
          <w:rFonts w:hint="cs"/>
          <w:rtl/>
        </w:rPr>
        <w:t xml:space="preserve"> </w:t>
      </w:r>
      <w:r w:rsidR="00F54316">
        <w:rPr>
          <w:rFonts w:hint="cs"/>
          <w:rtl/>
        </w:rPr>
        <w:t xml:space="preserve">الحد الأدنى </w:t>
      </w:r>
      <w:r w:rsidR="00FC1F63" w:rsidRPr="006A510C">
        <w:rPr>
          <w:rFonts w:hint="cs"/>
          <w:rtl/>
        </w:rPr>
        <w:t xml:space="preserve">من المعلومات؛ </w:t>
      </w:r>
      <w:r w:rsidR="00FC1F63" w:rsidRPr="00D81437">
        <w:rPr>
          <w:rFonts w:hint="cs"/>
          <w:rtl/>
        </w:rPr>
        <w:t>وترميز المعلومات الخاصة بالوضع القانوني من أجل التبادل الإلكتروني للمعلومات</w:t>
      </w:r>
      <w:r w:rsidR="00FC1F63">
        <w:rPr>
          <w:rFonts w:hint="cs"/>
          <w:rtl/>
        </w:rPr>
        <w:t>.</w:t>
      </w:r>
    </w:p>
    <w:p w:rsidR="00F13E50" w:rsidRDefault="0097274C" w:rsidP="00DA39AA">
      <w:pPr>
        <w:pStyle w:val="NumberedParaAR"/>
      </w:pPr>
      <w:r>
        <w:rPr>
          <w:rFonts w:hint="cs"/>
          <w:rtl/>
        </w:rPr>
        <w:t xml:space="preserve">واتفقت فرقة العمل المعنية بالوضع القانوني على النطاق المقترح للمعيار الجديد وإجراءات العمل </w:t>
      </w:r>
      <w:r w:rsidR="00DA39AA">
        <w:rPr>
          <w:rFonts w:hint="cs"/>
          <w:rtl/>
        </w:rPr>
        <w:t xml:space="preserve">ذات المراحل الثلاث </w:t>
      </w:r>
      <w:r>
        <w:rPr>
          <w:rFonts w:hint="cs"/>
          <w:rtl/>
        </w:rPr>
        <w:t xml:space="preserve">للمناقشات. </w:t>
      </w:r>
      <w:r w:rsidR="003F41C4">
        <w:rPr>
          <w:rFonts w:hint="cs"/>
          <w:rtl/>
        </w:rPr>
        <w:t>ووفقا للاتفاق، أغلقت المرحلة 1 في يناير 2014.</w:t>
      </w:r>
    </w:p>
    <w:p w:rsidR="00617205" w:rsidRPr="00617205" w:rsidRDefault="00617205" w:rsidP="002B7777">
      <w:pPr>
        <w:pStyle w:val="Heading2AR"/>
        <w:rPr>
          <w:lang w:bidi="ar-EG"/>
        </w:rPr>
      </w:pPr>
      <w:r w:rsidRPr="00617205">
        <w:rPr>
          <w:rFonts w:hint="cs"/>
          <w:rtl/>
        </w:rPr>
        <w:t xml:space="preserve">معلومات الوضع القانوني </w:t>
      </w:r>
      <w:r w:rsidR="00AE0C82">
        <w:rPr>
          <w:rFonts w:hint="cs"/>
          <w:rtl/>
        </w:rPr>
        <w:t xml:space="preserve">التي يجب </w:t>
      </w:r>
      <w:r w:rsidRPr="002439CA">
        <w:rPr>
          <w:rFonts w:hint="cs"/>
          <w:rtl/>
        </w:rPr>
        <w:t>تبادلها</w:t>
      </w:r>
    </w:p>
    <w:p w:rsidR="00617205" w:rsidRDefault="00E54F89" w:rsidP="00125A91">
      <w:pPr>
        <w:pStyle w:val="NumberedParaAR"/>
      </w:pPr>
      <w:r>
        <w:rPr>
          <w:rFonts w:hint="cs"/>
          <w:rtl/>
        </w:rPr>
        <w:t xml:space="preserve">اعتبارا من نهاية يناير 2014، بدأت فرقة العمل المعنية بالوضع القانوني المرحلة 2 لتجري المناقشات بشأن </w:t>
      </w:r>
      <w:r w:rsidR="00537A85">
        <w:rPr>
          <w:rFonts w:hint="cs"/>
          <w:rtl/>
        </w:rPr>
        <w:t xml:space="preserve">تحديد </w:t>
      </w:r>
      <w:r>
        <w:rPr>
          <w:rFonts w:hint="cs"/>
          <w:rtl/>
        </w:rPr>
        <w:t xml:space="preserve">معلومات الوضع القانوني التي ينبغي تبادلها. </w:t>
      </w:r>
      <w:r w:rsidR="009E6AD1">
        <w:rPr>
          <w:rFonts w:hint="cs"/>
          <w:rtl/>
        </w:rPr>
        <w:t xml:space="preserve">واقترح المكتب الدولي مناقشة </w:t>
      </w:r>
      <w:r w:rsidR="00125A91">
        <w:rPr>
          <w:rFonts w:hint="cs"/>
          <w:rtl/>
        </w:rPr>
        <w:t xml:space="preserve">البنود التالية </w:t>
      </w:r>
      <w:r w:rsidR="009E6AD1">
        <w:rPr>
          <w:rFonts w:hint="cs"/>
          <w:rtl/>
        </w:rPr>
        <w:t>في المرحلة 2:</w:t>
      </w:r>
    </w:p>
    <w:p w:rsidR="009E6AD1" w:rsidRDefault="00F40729" w:rsidP="00A81B5F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CA249E">
        <w:rPr>
          <w:rFonts w:hint="cs"/>
          <w:rtl/>
        </w:rPr>
        <w:t xml:space="preserve">النُّهج العامة لتحديد معلومات الوضع القانوني </w:t>
      </w:r>
      <w:r w:rsidR="00A81B5F">
        <w:rPr>
          <w:rFonts w:hint="cs"/>
          <w:rtl/>
        </w:rPr>
        <w:t xml:space="preserve">التي يجب </w:t>
      </w:r>
      <w:r w:rsidR="00CA249E">
        <w:rPr>
          <w:rFonts w:hint="cs"/>
          <w:rtl/>
        </w:rPr>
        <w:t>تبادلها؛</w:t>
      </w:r>
    </w:p>
    <w:p w:rsidR="00CA249E" w:rsidRDefault="00CA249E" w:rsidP="005970B2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681094">
        <w:rPr>
          <w:rFonts w:hint="cs"/>
          <w:rtl/>
        </w:rPr>
        <w:t>و</w:t>
      </w:r>
      <w:r w:rsidR="001121F7">
        <w:rPr>
          <w:rFonts w:hint="cs"/>
          <w:rtl/>
        </w:rPr>
        <w:t xml:space="preserve">تحديد ما إذا كان ينبغي تقديم توصيات بشأن </w:t>
      </w:r>
      <w:r w:rsidR="001121F7" w:rsidRPr="0031289D">
        <w:rPr>
          <w:rFonts w:hint="cs"/>
          <w:rtl/>
        </w:rPr>
        <w:t xml:space="preserve">الأحداث غير الأساسية </w:t>
      </w:r>
      <w:r w:rsidR="005970B2" w:rsidRPr="0031289D">
        <w:rPr>
          <w:rFonts w:hint="cs"/>
          <w:rtl/>
        </w:rPr>
        <w:t>و</w:t>
      </w:r>
      <w:r w:rsidR="001121F7" w:rsidRPr="0031289D">
        <w:rPr>
          <w:rFonts w:hint="cs"/>
          <w:rtl/>
        </w:rPr>
        <w:t>الأحداث الأساسية</w:t>
      </w:r>
      <w:r w:rsidR="001121F7">
        <w:rPr>
          <w:rFonts w:hint="cs"/>
          <w:rtl/>
        </w:rPr>
        <w:t>؛</w:t>
      </w:r>
    </w:p>
    <w:p w:rsidR="008F08D1" w:rsidRDefault="008F08D1" w:rsidP="005B7C53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681094">
        <w:rPr>
          <w:rFonts w:hint="cs"/>
          <w:rtl/>
        </w:rPr>
        <w:t>و</w:t>
      </w:r>
      <w:r w:rsidR="005B7C53" w:rsidRPr="00CC1B85">
        <w:rPr>
          <w:rFonts w:hint="cs"/>
          <w:rtl/>
        </w:rPr>
        <w:t>قائمة فئات الأحداث</w:t>
      </w:r>
      <w:r w:rsidR="005B7C53">
        <w:rPr>
          <w:rFonts w:hint="cs"/>
          <w:rtl/>
        </w:rPr>
        <w:t>؛</w:t>
      </w:r>
    </w:p>
    <w:p w:rsidR="005B7C53" w:rsidRDefault="005B7C53" w:rsidP="00CC1B85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</w:r>
      <w:r w:rsidR="00681094" w:rsidRPr="00CC1B85">
        <w:rPr>
          <w:rFonts w:hint="cs"/>
          <w:rtl/>
        </w:rPr>
        <w:t xml:space="preserve">وقائمة </w:t>
      </w:r>
      <w:r w:rsidR="00CC1B85" w:rsidRPr="00CC1B85">
        <w:rPr>
          <w:rFonts w:hint="cs"/>
          <w:rtl/>
        </w:rPr>
        <w:t>ال</w:t>
      </w:r>
      <w:r w:rsidR="00681094" w:rsidRPr="00CC1B85">
        <w:rPr>
          <w:rFonts w:hint="cs"/>
          <w:rtl/>
        </w:rPr>
        <w:t>أحداث القانوني</w:t>
      </w:r>
      <w:r w:rsidR="00CC1B85">
        <w:rPr>
          <w:rFonts w:hint="cs"/>
          <w:rtl/>
        </w:rPr>
        <w:t>ة</w:t>
      </w:r>
      <w:r w:rsidR="00681094">
        <w:rPr>
          <w:rFonts w:hint="cs"/>
          <w:rtl/>
        </w:rPr>
        <w:t>؛</w:t>
      </w:r>
    </w:p>
    <w:p w:rsidR="00681094" w:rsidRPr="00125A91" w:rsidRDefault="00681094" w:rsidP="00CC1B85">
      <w:pPr>
        <w:pStyle w:val="NumberedParaAR"/>
        <w:numPr>
          <w:ilvl w:val="0"/>
          <w:numId w:val="0"/>
        </w:numPr>
        <w:ind w:left="567"/>
      </w:pPr>
      <w:r>
        <w:rPr>
          <w:rFonts w:hint="cs"/>
          <w:rtl/>
        </w:rPr>
        <w:t>(ه)</w:t>
      </w:r>
      <w:r>
        <w:rPr>
          <w:rFonts w:hint="cs"/>
          <w:rtl/>
        </w:rPr>
        <w:tab/>
      </w:r>
      <w:r w:rsidR="0041608A">
        <w:rPr>
          <w:rFonts w:hint="cs"/>
          <w:rtl/>
        </w:rPr>
        <w:t xml:space="preserve">ووصف </w:t>
      </w:r>
      <w:r w:rsidR="00CC1B85">
        <w:rPr>
          <w:rFonts w:hint="cs"/>
          <w:rtl/>
        </w:rPr>
        <w:t>موجز</w:t>
      </w:r>
      <w:r w:rsidR="0041608A">
        <w:rPr>
          <w:rFonts w:hint="cs"/>
          <w:rtl/>
        </w:rPr>
        <w:t xml:space="preserve"> لكل فئة وحدث.</w:t>
      </w:r>
    </w:p>
    <w:p w:rsidR="009E6AD1" w:rsidRDefault="009B6C94" w:rsidP="00032567">
      <w:pPr>
        <w:pStyle w:val="NumberedParaAR"/>
      </w:pPr>
      <w:r>
        <w:rPr>
          <w:rFonts w:hint="cs"/>
          <w:rtl/>
        </w:rPr>
        <w:t xml:space="preserve">وبالإضافة إلى ذلك، </w:t>
      </w:r>
      <w:r w:rsidR="005B49DD">
        <w:rPr>
          <w:rFonts w:hint="cs"/>
          <w:rtl/>
        </w:rPr>
        <w:t xml:space="preserve">فمن أجل تسهيل المناقشة المتعلقة بتحديد فئات الأحداث وأحداث الوضع القانوني الواجب تبادلها، اقترح المكتب الدولي </w:t>
      </w:r>
      <w:r w:rsidR="002945A6" w:rsidRPr="009D4C5D">
        <w:rPr>
          <w:rFonts w:hint="cs"/>
          <w:rtl/>
        </w:rPr>
        <w:t>18 فئة للأحداث و59 حدثا</w:t>
      </w:r>
      <w:r w:rsidR="002945A6">
        <w:rPr>
          <w:rFonts w:hint="cs"/>
          <w:rtl/>
        </w:rPr>
        <w:t>.</w:t>
      </w:r>
    </w:p>
    <w:p w:rsidR="002945A6" w:rsidRDefault="004A5B4C" w:rsidP="00CD6C2A">
      <w:pPr>
        <w:pStyle w:val="NumberedParaAR"/>
      </w:pPr>
      <w:r>
        <w:rPr>
          <w:rFonts w:hint="cs"/>
          <w:rtl/>
        </w:rPr>
        <w:lastRenderedPageBreak/>
        <w:t xml:space="preserve">ونظرا </w:t>
      </w:r>
      <w:r w:rsidR="00524F56">
        <w:rPr>
          <w:rFonts w:hint="cs"/>
          <w:rtl/>
        </w:rPr>
        <w:t xml:space="preserve">إلى </w:t>
      </w:r>
      <w:r w:rsidR="006A0C4B">
        <w:rPr>
          <w:rFonts w:hint="cs"/>
          <w:rtl/>
        </w:rPr>
        <w:t>التعقد الذي يتسم به تحدي</w:t>
      </w:r>
      <w:r w:rsidR="00C53FD8">
        <w:rPr>
          <w:rFonts w:hint="cs"/>
          <w:rtl/>
        </w:rPr>
        <w:t>د</w:t>
      </w:r>
      <w:r w:rsidR="006A0C4B">
        <w:rPr>
          <w:rFonts w:hint="cs"/>
          <w:rtl/>
        </w:rPr>
        <w:t xml:space="preserve"> مجموعة من معلومات الوضع القانوني</w:t>
      </w:r>
      <w:r w:rsidR="002664DB">
        <w:rPr>
          <w:rFonts w:hint="cs"/>
          <w:rtl/>
        </w:rPr>
        <w:t xml:space="preserve"> تغطي </w:t>
      </w:r>
      <w:r w:rsidR="006A0C4B">
        <w:rPr>
          <w:rFonts w:hint="cs"/>
          <w:rtl/>
        </w:rPr>
        <w:t xml:space="preserve">الممارسات المختلفة لدى مختلف أعضاء اللجنة </w:t>
      </w:r>
      <w:r w:rsidR="00A35000">
        <w:rPr>
          <w:rFonts w:hint="cs"/>
          <w:rtl/>
        </w:rPr>
        <w:t xml:space="preserve">بنسق </w:t>
      </w:r>
      <w:r w:rsidR="00A35000" w:rsidRPr="00D20CB5">
        <w:rPr>
          <w:rFonts w:hint="cs"/>
          <w:rtl/>
        </w:rPr>
        <w:t>عام</w:t>
      </w:r>
      <w:r w:rsidR="00A35000">
        <w:rPr>
          <w:rFonts w:hint="cs"/>
          <w:rtl/>
        </w:rPr>
        <w:t xml:space="preserve">، </w:t>
      </w:r>
      <w:r w:rsidR="00524F56">
        <w:rPr>
          <w:rFonts w:hint="cs"/>
          <w:rtl/>
        </w:rPr>
        <w:t xml:space="preserve">فإنه من المتوقع </w:t>
      </w:r>
      <w:r>
        <w:rPr>
          <w:rFonts w:hint="cs"/>
          <w:rtl/>
        </w:rPr>
        <w:t xml:space="preserve">أن تحتاج المرحلة 2 إلى خوض جولات عديدة من المناقشات. </w:t>
      </w:r>
      <w:r w:rsidR="004305A3">
        <w:rPr>
          <w:rFonts w:hint="cs"/>
          <w:rtl/>
        </w:rPr>
        <w:t xml:space="preserve">وفي وقت إعداد هذا التقرير، </w:t>
      </w:r>
      <w:r w:rsidR="007F76D3">
        <w:rPr>
          <w:rFonts w:hint="cs"/>
          <w:rtl/>
        </w:rPr>
        <w:t xml:space="preserve">تخوض فرقة العمل الجولة الأولى من مناقشات المرحلة 2 والتي </w:t>
      </w:r>
      <w:r w:rsidR="00D4349E">
        <w:rPr>
          <w:rFonts w:hint="cs"/>
          <w:rtl/>
        </w:rPr>
        <w:t>وجهت فيها الدعوة إلى أعضاء فرقة العمل للتعليق على البندين (أ) و(ب) المشار إليهما في الفقرة 7 أعلاه بغية التوصل إلى فهم مشترك وهدف مشترك للعمل المقبل.</w:t>
      </w:r>
    </w:p>
    <w:p w:rsidR="00D4349E" w:rsidRPr="00D4349E" w:rsidRDefault="00D4349E" w:rsidP="002B7777">
      <w:pPr>
        <w:pStyle w:val="Heading2AR"/>
      </w:pPr>
      <w:r w:rsidRPr="00D4349E">
        <w:rPr>
          <w:rFonts w:hint="cs"/>
          <w:rtl/>
        </w:rPr>
        <w:t>خطة العمل</w:t>
      </w:r>
    </w:p>
    <w:p w:rsidR="00D4349E" w:rsidRDefault="006248AE" w:rsidP="004018A4">
      <w:pPr>
        <w:pStyle w:val="NumberedParaAR"/>
      </w:pPr>
      <w:r>
        <w:rPr>
          <w:rFonts w:hint="cs"/>
          <w:rtl/>
        </w:rPr>
        <w:t xml:space="preserve">لاحظت فرقة العمل المعنية بالوضع القانوني أنه من السابق لأوانه أن يتم وضع خطة عمل </w:t>
      </w:r>
      <w:r w:rsidRPr="003129F9">
        <w:rPr>
          <w:rFonts w:hint="cs"/>
          <w:rtl/>
        </w:rPr>
        <w:t>بجدول زمني</w:t>
      </w:r>
      <w:r>
        <w:rPr>
          <w:rFonts w:hint="cs"/>
          <w:rtl/>
        </w:rPr>
        <w:t xml:space="preserve"> محدد لإعداد اقتراح نهائي للمعيار الجديد. </w:t>
      </w:r>
      <w:r w:rsidR="00C17055">
        <w:rPr>
          <w:rFonts w:hint="cs"/>
          <w:rtl/>
        </w:rPr>
        <w:t xml:space="preserve">ولذلك ستواصل فرقة العمل </w:t>
      </w:r>
      <w:r w:rsidR="001B171F">
        <w:rPr>
          <w:rFonts w:hint="cs"/>
          <w:rtl/>
        </w:rPr>
        <w:t xml:space="preserve">مناقشاتها بدون </w:t>
      </w:r>
      <w:r w:rsidR="004018A4">
        <w:rPr>
          <w:rFonts w:hint="cs"/>
          <w:rtl/>
        </w:rPr>
        <w:t xml:space="preserve">جدول زمني </w:t>
      </w:r>
      <w:r w:rsidR="001B171F">
        <w:rPr>
          <w:rFonts w:hint="cs"/>
          <w:rtl/>
        </w:rPr>
        <w:t>للعمل حتى تتفق على فئات الأحداث وأحداث معلومات الوضع القانوني الواجب تبادلها.</w:t>
      </w:r>
    </w:p>
    <w:p w:rsidR="00390F36" w:rsidRDefault="006D3861" w:rsidP="006248AE">
      <w:pPr>
        <w:pStyle w:val="NumberedParaAR"/>
      </w:pPr>
      <w:r>
        <w:rPr>
          <w:rFonts w:hint="cs"/>
          <w:rtl/>
        </w:rPr>
        <w:t>ويود المكتب الدولي أن يشجع أعضاء اللجنة الذين لم يشاركوا حتى الآن في فرقة العمل المعنية بالوضع القانوني إلى ترشيح ممثليهم.</w:t>
      </w:r>
    </w:p>
    <w:p w:rsidR="002F280A" w:rsidRDefault="007235D5" w:rsidP="00855A01">
      <w:pPr>
        <w:pStyle w:val="DecisionParaAR"/>
        <w:rPr>
          <w:rtl/>
        </w:rPr>
      </w:pPr>
      <w:r>
        <w:rPr>
          <w:rFonts w:hint="cs"/>
          <w:rtl/>
        </w:rPr>
        <w:t xml:space="preserve">إن اللجنة مدعوة إلى الإحاطة علما بنتائج عمل فرقة العمل المعنية بالوضع القانوني وتقرير </w:t>
      </w:r>
      <w:r w:rsidRPr="005411C2">
        <w:rPr>
          <w:rFonts w:hint="cs"/>
          <w:rtl/>
        </w:rPr>
        <w:t>المشرف على</w:t>
      </w:r>
      <w:r>
        <w:rPr>
          <w:rFonts w:hint="cs"/>
          <w:rtl/>
        </w:rPr>
        <w:t xml:space="preserve"> فرقة العمل، كما هو موضح في هذه الوثيقة.</w:t>
      </w:r>
    </w:p>
    <w:p w:rsidR="00042145" w:rsidRDefault="00042145" w:rsidP="00DC3167">
      <w:pPr>
        <w:pStyle w:val="EndofDocumentAR"/>
      </w:pPr>
    </w:p>
    <w:p w:rsidR="009F513E" w:rsidRPr="007F38D1" w:rsidRDefault="00482010" w:rsidP="00DC3167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DC3167">
        <w:rPr>
          <w:rFonts w:hint="cs"/>
          <w:rtl/>
        </w:rPr>
        <w:t>نهاية الوثيقة</w:t>
      </w:r>
      <w:r>
        <w:rPr>
          <w:rFonts w:hint="cs"/>
          <w:rtl/>
        </w:rPr>
        <w:t>]</w:t>
      </w:r>
    </w:p>
    <w:sectPr w:rsidR="009F513E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D6" w:rsidRDefault="00A96FD6">
      <w:r>
        <w:separator/>
      </w:r>
    </w:p>
  </w:endnote>
  <w:endnote w:type="continuationSeparator" w:id="0">
    <w:p w:rsidR="00A96FD6" w:rsidRDefault="00A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D6" w:rsidRDefault="00A96FD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96FD6" w:rsidRDefault="00A96FD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CD" w:rsidRDefault="005E36CD">
    <w:pPr>
      <w:pStyle w:val="Header"/>
    </w:pPr>
    <w:r>
      <w:t>CWS/4/8</w:t>
    </w:r>
  </w:p>
  <w:p w:rsidR="005E36CD" w:rsidRDefault="00AA5897">
    <w:pPr>
      <w:pStyle w:val="Header"/>
    </w:pPr>
    <w:sdt>
      <w:sdtPr>
        <w:id w:val="-142240609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E36CD">
          <w:fldChar w:fldCharType="begin"/>
        </w:r>
        <w:r w:rsidR="005E36CD">
          <w:instrText xml:space="preserve"> PAGE   \* MERGEFORMAT </w:instrText>
        </w:r>
        <w:r w:rsidR="005E36CD">
          <w:fldChar w:fldCharType="separate"/>
        </w:r>
        <w:r>
          <w:rPr>
            <w:noProof/>
          </w:rPr>
          <w:t>2</w:t>
        </w:r>
        <w:r w:rsidR="005E36CD">
          <w:rPr>
            <w:noProof/>
          </w:rPr>
          <w:fldChar w:fldCharType="end"/>
        </w:r>
      </w:sdtContent>
    </w:sdt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567"/>
    <w:rsid w:val="00033D2C"/>
    <w:rsid w:val="00035CE8"/>
    <w:rsid w:val="00036041"/>
    <w:rsid w:val="00040637"/>
    <w:rsid w:val="00040688"/>
    <w:rsid w:val="0004070F"/>
    <w:rsid w:val="0004115B"/>
    <w:rsid w:val="00042145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E38"/>
    <w:rsid w:val="00110107"/>
    <w:rsid w:val="00110531"/>
    <w:rsid w:val="00110794"/>
    <w:rsid w:val="001121F7"/>
    <w:rsid w:val="00112524"/>
    <w:rsid w:val="00113769"/>
    <w:rsid w:val="00114141"/>
    <w:rsid w:val="00114827"/>
    <w:rsid w:val="00115266"/>
    <w:rsid w:val="001154FB"/>
    <w:rsid w:val="00115B51"/>
    <w:rsid w:val="0011655D"/>
    <w:rsid w:val="001171EF"/>
    <w:rsid w:val="001173C5"/>
    <w:rsid w:val="00121092"/>
    <w:rsid w:val="00121AA0"/>
    <w:rsid w:val="00121FE6"/>
    <w:rsid w:val="00123F16"/>
    <w:rsid w:val="0012405D"/>
    <w:rsid w:val="001252B1"/>
    <w:rsid w:val="00125A9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95C"/>
    <w:rsid w:val="00166A09"/>
    <w:rsid w:val="00166CC0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171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5773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9CA"/>
    <w:rsid w:val="0024475B"/>
    <w:rsid w:val="00244EE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4F23"/>
    <w:rsid w:val="002559DA"/>
    <w:rsid w:val="00256955"/>
    <w:rsid w:val="0026071A"/>
    <w:rsid w:val="00261B27"/>
    <w:rsid w:val="00262B5A"/>
    <w:rsid w:val="0026520E"/>
    <w:rsid w:val="00266486"/>
    <w:rsid w:val="002664DB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81C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5A6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B7777"/>
    <w:rsid w:val="002C014C"/>
    <w:rsid w:val="002C060C"/>
    <w:rsid w:val="002C0BA6"/>
    <w:rsid w:val="002C12A7"/>
    <w:rsid w:val="002C2B6F"/>
    <w:rsid w:val="002C314F"/>
    <w:rsid w:val="002C4AD1"/>
    <w:rsid w:val="002C738E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80A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289D"/>
    <w:rsid w:val="003129F9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7C6"/>
    <w:rsid w:val="0034007D"/>
    <w:rsid w:val="003433E5"/>
    <w:rsid w:val="00344082"/>
    <w:rsid w:val="003446CD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4D4"/>
    <w:rsid w:val="003818B3"/>
    <w:rsid w:val="0038356A"/>
    <w:rsid w:val="0038382F"/>
    <w:rsid w:val="0038443F"/>
    <w:rsid w:val="00385427"/>
    <w:rsid w:val="00387542"/>
    <w:rsid w:val="00387C6B"/>
    <w:rsid w:val="00390F36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01D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134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66C"/>
    <w:rsid w:val="003E1A49"/>
    <w:rsid w:val="003E2D01"/>
    <w:rsid w:val="003E330E"/>
    <w:rsid w:val="003E3AE3"/>
    <w:rsid w:val="003E5733"/>
    <w:rsid w:val="003E5E27"/>
    <w:rsid w:val="003E6902"/>
    <w:rsid w:val="003E6FD2"/>
    <w:rsid w:val="003E788F"/>
    <w:rsid w:val="003E7A97"/>
    <w:rsid w:val="003E7D3A"/>
    <w:rsid w:val="003F0950"/>
    <w:rsid w:val="003F09C9"/>
    <w:rsid w:val="003F41C4"/>
    <w:rsid w:val="003F4C37"/>
    <w:rsid w:val="003F67AE"/>
    <w:rsid w:val="003F6BBB"/>
    <w:rsid w:val="003F719F"/>
    <w:rsid w:val="0040033D"/>
    <w:rsid w:val="004007E1"/>
    <w:rsid w:val="00400B1F"/>
    <w:rsid w:val="004018A4"/>
    <w:rsid w:val="004032D2"/>
    <w:rsid w:val="00403C4F"/>
    <w:rsid w:val="004058B4"/>
    <w:rsid w:val="00405C45"/>
    <w:rsid w:val="004062EF"/>
    <w:rsid w:val="004062F0"/>
    <w:rsid w:val="00406CB5"/>
    <w:rsid w:val="00407D74"/>
    <w:rsid w:val="00410B8F"/>
    <w:rsid w:val="00412057"/>
    <w:rsid w:val="004126C1"/>
    <w:rsid w:val="00413BA5"/>
    <w:rsid w:val="00413FA6"/>
    <w:rsid w:val="00414FD0"/>
    <w:rsid w:val="0041608A"/>
    <w:rsid w:val="00417E93"/>
    <w:rsid w:val="00422A2A"/>
    <w:rsid w:val="00424BB4"/>
    <w:rsid w:val="004258CD"/>
    <w:rsid w:val="004261D2"/>
    <w:rsid w:val="004303D1"/>
    <w:rsid w:val="004305A3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11AE"/>
    <w:rsid w:val="00472043"/>
    <w:rsid w:val="00472F56"/>
    <w:rsid w:val="0047335E"/>
    <w:rsid w:val="00473CA1"/>
    <w:rsid w:val="0047572C"/>
    <w:rsid w:val="00476407"/>
    <w:rsid w:val="004773F7"/>
    <w:rsid w:val="00481F5F"/>
    <w:rsid w:val="00482010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B4C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42E"/>
    <w:rsid w:val="004D6144"/>
    <w:rsid w:val="004D678F"/>
    <w:rsid w:val="004E1264"/>
    <w:rsid w:val="004E2CBC"/>
    <w:rsid w:val="004E2D48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B58"/>
    <w:rsid w:val="00522DEC"/>
    <w:rsid w:val="00522E91"/>
    <w:rsid w:val="0052302D"/>
    <w:rsid w:val="005236A5"/>
    <w:rsid w:val="00524F56"/>
    <w:rsid w:val="005266BD"/>
    <w:rsid w:val="0052772D"/>
    <w:rsid w:val="00530442"/>
    <w:rsid w:val="00534AF0"/>
    <w:rsid w:val="00535060"/>
    <w:rsid w:val="00535738"/>
    <w:rsid w:val="00537A85"/>
    <w:rsid w:val="005409EB"/>
    <w:rsid w:val="00540F30"/>
    <w:rsid w:val="005411C2"/>
    <w:rsid w:val="00541DD2"/>
    <w:rsid w:val="00543A63"/>
    <w:rsid w:val="00543AB5"/>
    <w:rsid w:val="005457CF"/>
    <w:rsid w:val="00545976"/>
    <w:rsid w:val="0054660F"/>
    <w:rsid w:val="00547628"/>
    <w:rsid w:val="00552E5D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2A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0B2"/>
    <w:rsid w:val="005A0C60"/>
    <w:rsid w:val="005A1E79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49DD"/>
    <w:rsid w:val="005B63A6"/>
    <w:rsid w:val="005B64D1"/>
    <w:rsid w:val="005B6A88"/>
    <w:rsid w:val="005B6E05"/>
    <w:rsid w:val="005B7391"/>
    <w:rsid w:val="005B7C53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195"/>
    <w:rsid w:val="005D794C"/>
    <w:rsid w:val="005D7A9F"/>
    <w:rsid w:val="005D7AA2"/>
    <w:rsid w:val="005E2154"/>
    <w:rsid w:val="005E2FC7"/>
    <w:rsid w:val="005E36CD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205"/>
    <w:rsid w:val="00617A92"/>
    <w:rsid w:val="00620CEE"/>
    <w:rsid w:val="00622558"/>
    <w:rsid w:val="00622D5F"/>
    <w:rsid w:val="00622EAE"/>
    <w:rsid w:val="0062334E"/>
    <w:rsid w:val="00623A4F"/>
    <w:rsid w:val="006248AE"/>
    <w:rsid w:val="00624D17"/>
    <w:rsid w:val="00624F56"/>
    <w:rsid w:val="00626594"/>
    <w:rsid w:val="00630442"/>
    <w:rsid w:val="0063048C"/>
    <w:rsid w:val="00630ED8"/>
    <w:rsid w:val="00630FCD"/>
    <w:rsid w:val="006319C2"/>
    <w:rsid w:val="00631FF6"/>
    <w:rsid w:val="006326AB"/>
    <w:rsid w:val="0063292C"/>
    <w:rsid w:val="0063312C"/>
    <w:rsid w:val="00633DBC"/>
    <w:rsid w:val="00634CA3"/>
    <w:rsid w:val="006350B9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A05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094"/>
    <w:rsid w:val="00681B4A"/>
    <w:rsid w:val="00681D07"/>
    <w:rsid w:val="00681EDA"/>
    <w:rsid w:val="00682017"/>
    <w:rsid w:val="00682AAD"/>
    <w:rsid w:val="006868CA"/>
    <w:rsid w:val="00686E32"/>
    <w:rsid w:val="00687F5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C4B"/>
    <w:rsid w:val="006A20FB"/>
    <w:rsid w:val="006A339D"/>
    <w:rsid w:val="006A4462"/>
    <w:rsid w:val="006A510C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861"/>
    <w:rsid w:val="006D4DD2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35D5"/>
    <w:rsid w:val="007260FE"/>
    <w:rsid w:val="00726DD6"/>
    <w:rsid w:val="0073076E"/>
    <w:rsid w:val="00733416"/>
    <w:rsid w:val="0073377E"/>
    <w:rsid w:val="00733E05"/>
    <w:rsid w:val="0073466E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3D8C"/>
    <w:rsid w:val="00785E46"/>
    <w:rsid w:val="00787254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A7C61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7F76D3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E5F"/>
    <w:rsid w:val="00842827"/>
    <w:rsid w:val="00842965"/>
    <w:rsid w:val="00843FEB"/>
    <w:rsid w:val="00844300"/>
    <w:rsid w:val="008458BD"/>
    <w:rsid w:val="00846956"/>
    <w:rsid w:val="00846CF1"/>
    <w:rsid w:val="00847622"/>
    <w:rsid w:val="008505B8"/>
    <w:rsid w:val="00851005"/>
    <w:rsid w:val="00851ADD"/>
    <w:rsid w:val="00855A01"/>
    <w:rsid w:val="00855CA6"/>
    <w:rsid w:val="00860323"/>
    <w:rsid w:val="00860F4F"/>
    <w:rsid w:val="008610B9"/>
    <w:rsid w:val="00862656"/>
    <w:rsid w:val="00863013"/>
    <w:rsid w:val="00863F67"/>
    <w:rsid w:val="0086483A"/>
    <w:rsid w:val="00864D53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17B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8D1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649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74C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187"/>
    <w:rsid w:val="009B6C94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9C5"/>
    <w:rsid w:val="009C6F87"/>
    <w:rsid w:val="009C7166"/>
    <w:rsid w:val="009C742C"/>
    <w:rsid w:val="009D2376"/>
    <w:rsid w:val="009D2D48"/>
    <w:rsid w:val="009D3103"/>
    <w:rsid w:val="009D4409"/>
    <w:rsid w:val="009D4530"/>
    <w:rsid w:val="009D4724"/>
    <w:rsid w:val="009D4B2F"/>
    <w:rsid w:val="009D4C1B"/>
    <w:rsid w:val="009D4C5D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AD1"/>
    <w:rsid w:val="009E790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00B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000"/>
    <w:rsid w:val="00A3658D"/>
    <w:rsid w:val="00A36E51"/>
    <w:rsid w:val="00A377C5"/>
    <w:rsid w:val="00A37B2E"/>
    <w:rsid w:val="00A37D45"/>
    <w:rsid w:val="00A401FD"/>
    <w:rsid w:val="00A40558"/>
    <w:rsid w:val="00A40AF2"/>
    <w:rsid w:val="00A40F54"/>
    <w:rsid w:val="00A411DC"/>
    <w:rsid w:val="00A43904"/>
    <w:rsid w:val="00A4582E"/>
    <w:rsid w:val="00A45BD2"/>
    <w:rsid w:val="00A45DFA"/>
    <w:rsid w:val="00A462F3"/>
    <w:rsid w:val="00A46A1E"/>
    <w:rsid w:val="00A50595"/>
    <w:rsid w:val="00A50A39"/>
    <w:rsid w:val="00A51DF1"/>
    <w:rsid w:val="00A52AA9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0121"/>
    <w:rsid w:val="00A81B5F"/>
    <w:rsid w:val="00A82B1A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6FD6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897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0C82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35A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16"/>
    <w:rsid w:val="00B362D9"/>
    <w:rsid w:val="00B36B99"/>
    <w:rsid w:val="00B36D20"/>
    <w:rsid w:val="00B36F67"/>
    <w:rsid w:val="00B376BF"/>
    <w:rsid w:val="00B40633"/>
    <w:rsid w:val="00B44049"/>
    <w:rsid w:val="00B44318"/>
    <w:rsid w:val="00B44C4B"/>
    <w:rsid w:val="00B477CB"/>
    <w:rsid w:val="00B508A7"/>
    <w:rsid w:val="00B52081"/>
    <w:rsid w:val="00B52695"/>
    <w:rsid w:val="00B5303B"/>
    <w:rsid w:val="00B545AF"/>
    <w:rsid w:val="00B55B09"/>
    <w:rsid w:val="00B56711"/>
    <w:rsid w:val="00B57302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3E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055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3FD8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146"/>
    <w:rsid w:val="00CA0980"/>
    <w:rsid w:val="00CA17A3"/>
    <w:rsid w:val="00CA249E"/>
    <w:rsid w:val="00CA2A98"/>
    <w:rsid w:val="00CA2BAE"/>
    <w:rsid w:val="00CA34BA"/>
    <w:rsid w:val="00CA4503"/>
    <w:rsid w:val="00CA5A66"/>
    <w:rsid w:val="00CA651B"/>
    <w:rsid w:val="00CA796A"/>
    <w:rsid w:val="00CB150A"/>
    <w:rsid w:val="00CB2575"/>
    <w:rsid w:val="00CB3677"/>
    <w:rsid w:val="00CB368F"/>
    <w:rsid w:val="00CB4C42"/>
    <w:rsid w:val="00CB4DFA"/>
    <w:rsid w:val="00CB7BD7"/>
    <w:rsid w:val="00CC1B85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6C2A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17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3F8A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CB5"/>
    <w:rsid w:val="00D216D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349E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437"/>
    <w:rsid w:val="00D82A5C"/>
    <w:rsid w:val="00D82D11"/>
    <w:rsid w:val="00D83CD3"/>
    <w:rsid w:val="00D83E51"/>
    <w:rsid w:val="00D84565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39AA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67"/>
    <w:rsid w:val="00DC7481"/>
    <w:rsid w:val="00DC7591"/>
    <w:rsid w:val="00DC7923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D9F"/>
    <w:rsid w:val="00E541BF"/>
    <w:rsid w:val="00E541C7"/>
    <w:rsid w:val="00E5480C"/>
    <w:rsid w:val="00E54AB7"/>
    <w:rsid w:val="00E54F89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889"/>
    <w:rsid w:val="00E7190A"/>
    <w:rsid w:val="00E71E5C"/>
    <w:rsid w:val="00E7245E"/>
    <w:rsid w:val="00E72FB9"/>
    <w:rsid w:val="00E73831"/>
    <w:rsid w:val="00E73B66"/>
    <w:rsid w:val="00E740F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A72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5DAB"/>
    <w:rsid w:val="00EE6989"/>
    <w:rsid w:val="00EE6C77"/>
    <w:rsid w:val="00EE7604"/>
    <w:rsid w:val="00EE7912"/>
    <w:rsid w:val="00EE7915"/>
    <w:rsid w:val="00EF0465"/>
    <w:rsid w:val="00EF13C5"/>
    <w:rsid w:val="00EF16D8"/>
    <w:rsid w:val="00EF1C37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3E50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729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31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559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1F63"/>
    <w:rsid w:val="00FC3387"/>
    <w:rsid w:val="00FC382F"/>
    <w:rsid w:val="00FC4236"/>
    <w:rsid w:val="00FC4811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D8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2E5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E36C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D8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2E5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E36C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en/circul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CWS/4/-- (Arabic)</vt:lpstr>
    </vt:vector>
  </TitlesOfParts>
  <Company>WIPO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CWS/4/8 (in Arabic)</dc:title>
  <dc:subject>تقرير مرحلي عن إعداد اقتراح لإنشاء معيار جديد للويبو بشأن تبادل مكاتب الملكية الصناعية للمعلومات الخاصة بالوضع القانوني للبراءات</dc:subject>
  <dc:creator>WIPO</dc:creator>
  <cp:lastModifiedBy>BERNARD Isabelle</cp:lastModifiedBy>
  <cp:revision>3</cp:revision>
  <cp:lastPrinted>2014-03-24T15:21:00Z</cp:lastPrinted>
  <dcterms:created xsi:type="dcterms:W3CDTF">2014-04-01T08:44:00Z</dcterms:created>
  <dcterms:modified xsi:type="dcterms:W3CDTF">2014-04-01T08:48:00Z</dcterms:modified>
</cp:coreProperties>
</file>