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828FF" w:rsidP="008D5779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100F97">
              <w:t>/</w:t>
            </w:r>
            <w:r w:rsidR="008D5779">
              <w:t>4</w:t>
            </w:r>
            <w:r w:rsidR="009A29B2">
              <w:t>/7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A29B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9A29B2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A29B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A29B2">
              <w:rPr>
                <w:rFonts w:hint="cs"/>
                <w:rtl/>
              </w:rPr>
              <w:t>9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9A29B2">
              <w:rPr>
                <w:rFonts w:hint="cs"/>
                <w:rtl/>
              </w:rPr>
              <w:t>أبريل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7828FF" w:rsidP="00796CF7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8D5779">
      <w:pPr>
        <w:pStyle w:val="MeetingSessionAR"/>
        <w:bidi/>
        <w:rPr>
          <w:rFonts w:ascii="Cambria Math" w:hAnsi="Cambria Math"/>
          <w:rtl/>
        </w:rPr>
      </w:pPr>
      <w:proofErr w:type="gramStart"/>
      <w:r w:rsidRPr="00783D11">
        <w:rPr>
          <w:rFonts w:ascii="Cambria Math" w:hAnsi="Cambria Math"/>
          <w:rtl/>
        </w:rPr>
        <w:t>الدورة</w:t>
      </w:r>
      <w:proofErr w:type="gramEnd"/>
      <w:r w:rsidRPr="00783D11">
        <w:rPr>
          <w:rFonts w:ascii="Cambria Math" w:hAnsi="Cambria Math"/>
          <w:rtl/>
        </w:rPr>
        <w:t xml:space="preserve"> </w:t>
      </w:r>
      <w:r w:rsidR="008D5779">
        <w:rPr>
          <w:rFonts w:ascii="Cambria Math" w:hAnsi="Cambria Math" w:hint="cs"/>
          <w:rtl/>
        </w:rPr>
        <w:t>الرابعة</w:t>
      </w:r>
    </w:p>
    <w:p w:rsidR="00D61541" w:rsidRPr="00D61541" w:rsidRDefault="00D61541" w:rsidP="008D5779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8D5779">
        <w:rPr>
          <w:rFonts w:hint="cs"/>
          <w:rtl/>
        </w:rPr>
        <w:t>12</w:t>
      </w:r>
      <w:r w:rsidR="00100F97">
        <w:rPr>
          <w:rFonts w:hint="cs"/>
          <w:rtl/>
        </w:rPr>
        <w:t xml:space="preserve"> إلى </w:t>
      </w:r>
      <w:r w:rsidR="008D5779">
        <w:rPr>
          <w:rFonts w:hint="cs"/>
          <w:rtl/>
        </w:rPr>
        <w:t>16</w:t>
      </w:r>
      <w:r w:rsidR="00783D11">
        <w:rPr>
          <w:rFonts w:hint="cs"/>
          <w:rtl/>
        </w:rPr>
        <w:t xml:space="preserve"> </w:t>
      </w:r>
      <w:r w:rsidR="008D5779">
        <w:rPr>
          <w:rFonts w:hint="cs"/>
          <w:rtl/>
        </w:rPr>
        <w:t>مايو</w:t>
      </w:r>
      <w:r w:rsidR="00AE2328">
        <w:rPr>
          <w:rFonts w:hint="cs"/>
          <w:rtl/>
        </w:rPr>
        <w:t xml:space="preserve"> </w:t>
      </w:r>
      <w:r w:rsidR="008D5779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A29B2" w:rsidP="009A29B2">
      <w:pPr>
        <w:pStyle w:val="DocumentTitleAR"/>
        <w:bidi/>
        <w:rPr>
          <w:rtl/>
        </w:rPr>
      </w:pPr>
      <w:r w:rsidRPr="009A29B2">
        <w:rPr>
          <w:rtl/>
        </w:rPr>
        <w:t xml:space="preserve">معيار الويبو الجديد بشأن عرض قوائم تسلسل النوويدات والأحماض الأمينية باستخدام لغة الترميز الموسعة </w:t>
      </w:r>
      <w:r>
        <w:rPr>
          <w:rFonts w:hint="cs"/>
          <w:rtl/>
        </w:rPr>
        <w:t>(</w:t>
      </w:r>
      <w:r w:rsidRPr="009A29B2">
        <w:t>XML</w:t>
      </w:r>
      <w:r w:rsidRPr="009A29B2">
        <w:rPr>
          <w:rtl/>
        </w:rPr>
        <w:t>)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9A29B2">
        <w:rPr>
          <w:rFonts w:hint="cs"/>
          <w:rtl/>
        </w:rPr>
        <w:t xml:space="preserve"> الأمانة</w:t>
      </w:r>
      <w:bookmarkStart w:id="2" w:name="_GoBack"/>
      <w:bookmarkEnd w:id="2"/>
    </w:p>
    <w:p w:rsidR="00D61541" w:rsidRDefault="009A29B2" w:rsidP="00D135C6">
      <w:pPr>
        <w:pStyle w:val="NumberedParaAR"/>
        <w:rPr>
          <w:rtl/>
        </w:rPr>
      </w:pPr>
      <w:r w:rsidRPr="009A29B2">
        <w:rPr>
          <w:rtl/>
        </w:rPr>
        <w:t>وافقت اللجنة المعنية بمعايير الويبو</w:t>
      </w:r>
      <w:r>
        <w:rPr>
          <w:rFonts w:hint="cs"/>
          <w:rtl/>
        </w:rPr>
        <w:t xml:space="preserve"> (لجنة المعايير)</w:t>
      </w:r>
      <w:r w:rsidRPr="009A29B2">
        <w:rPr>
          <w:rtl/>
        </w:rPr>
        <w:t xml:space="preserve">، في دورتها الأولى التي عقدت في أكتوبر 2010، </w:t>
      </w:r>
      <w:r>
        <w:rPr>
          <w:rFonts w:hint="cs"/>
          <w:rtl/>
        </w:rPr>
        <w:t xml:space="preserve">على استحداث المهمة رقم 44 لإعداد </w:t>
      </w:r>
      <w:r w:rsidRPr="009A29B2">
        <w:rPr>
          <w:rtl/>
        </w:rPr>
        <w:t>توصية بشأن عرض قوائم تسلسل النوويدات والحوامض الأمينية باستخدام لغة الترميز الموسعة</w:t>
      </w:r>
      <w:r w:rsidR="00D135C6">
        <w:rPr>
          <w:rFonts w:hint="eastAsia"/>
          <w:rtl/>
        </w:rPr>
        <w:t> </w:t>
      </w:r>
      <w:r>
        <w:rPr>
          <w:rFonts w:hint="cs"/>
          <w:rtl/>
        </w:rPr>
        <w:t>(</w:t>
      </w:r>
      <w:r w:rsidRPr="009A29B2">
        <w:t>XML</w:t>
      </w:r>
      <w:r>
        <w:rPr>
          <w:rFonts w:hint="cs"/>
          <w:rtl/>
        </w:rPr>
        <w:t>)</w:t>
      </w:r>
      <w:r w:rsidRPr="009A29B2">
        <w:rPr>
          <w:rtl/>
        </w:rPr>
        <w:t xml:space="preserve"> لاعتمادها معيارا للويبو</w:t>
      </w:r>
      <w:r>
        <w:rPr>
          <w:rFonts w:hint="cs"/>
          <w:rtl/>
        </w:rPr>
        <w:t xml:space="preserve">. وقررت لجنة المعايير أيضا إنشاء </w:t>
      </w:r>
      <w:r w:rsidR="00D135C6">
        <w:rPr>
          <w:rFonts w:hint="cs"/>
          <w:rtl/>
        </w:rPr>
        <w:t xml:space="preserve">فرقة </w:t>
      </w:r>
      <w:proofErr w:type="gramStart"/>
      <w:r>
        <w:rPr>
          <w:rFonts w:hint="cs"/>
          <w:rtl/>
        </w:rPr>
        <w:t>عمل</w:t>
      </w:r>
      <w:proofErr w:type="gramEnd"/>
      <w:r>
        <w:rPr>
          <w:rFonts w:hint="cs"/>
          <w:rtl/>
        </w:rPr>
        <w:t xml:space="preserve"> </w:t>
      </w:r>
      <w:r w:rsidR="00D135C6">
        <w:rPr>
          <w:rFonts w:hint="cs"/>
          <w:rtl/>
        </w:rPr>
        <w:t>لتتولى تلك المهمة (</w:t>
      </w:r>
      <w:r w:rsidR="00D135C6" w:rsidRPr="00D135C6">
        <w:rPr>
          <w:rtl/>
        </w:rPr>
        <w:t>فرقة العمل المعنية بقوائم التسلسل</w:t>
      </w:r>
      <w:r w:rsidR="00D135C6">
        <w:rPr>
          <w:rFonts w:hint="cs"/>
          <w:rtl/>
        </w:rPr>
        <w:t>). وعُيّن المكتب الأوروبي للبراءات مشرفا على فرقة العمل. (</w:t>
      </w:r>
      <w:proofErr w:type="gramStart"/>
      <w:r w:rsidR="00D135C6">
        <w:rPr>
          <w:rFonts w:hint="cs"/>
          <w:rtl/>
        </w:rPr>
        <w:t>انظر</w:t>
      </w:r>
      <w:proofErr w:type="gramEnd"/>
      <w:r w:rsidR="00D135C6">
        <w:rPr>
          <w:rFonts w:hint="cs"/>
          <w:rtl/>
        </w:rPr>
        <w:t xml:space="preserve"> الفقرات من 27 إلى 30 من الوثيقة</w:t>
      </w:r>
      <w:r w:rsidR="00D135C6">
        <w:rPr>
          <w:rFonts w:hint="eastAsia"/>
          <w:rtl/>
        </w:rPr>
        <w:t> </w:t>
      </w:r>
      <w:r w:rsidR="00D135C6" w:rsidRPr="00D135C6">
        <w:t>CWS/1/10</w:t>
      </w:r>
      <w:r w:rsidR="00D135C6">
        <w:rPr>
          <w:rFonts w:hint="cs"/>
          <w:rtl/>
        </w:rPr>
        <w:t>، والمهمة رقم 44 في الوثيقة </w:t>
      </w:r>
      <w:r w:rsidR="00D135C6" w:rsidRPr="00D135C6">
        <w:t>CWS/3/12</w:t>
      </w:r>
      <w:r w:rsidR="00D135C6">
        <w:rPr>
          <w:rFonts w:hint="cs"/>
          <w:rtl/>
        </w:rPr>
        <w:t>، كما يرد وصف المهمة في المرفق الأول لهذه الوثيقة.)</w:t>
      </w:r>
    </w:p>
    <w:p w:rsidR="005D4C5D" w:rsidRDefault="002F255C" w:rsidP="002F255C">
      <w:pPr>
        <w:pStyle w:val="NumberedParaAR"/>
        <w:rPr>
          <w:rtl/>
        </w:rPr>
      </w:pPr>
      <w:proofErr w:type="gramStart"/>
      <w:r>
        <w:rPr>
          <w:rFonts w:hint="cs"/>
          <w:rtl/>
        </w:rPr>
        <w:t>وع</w:t>
      </w:r>
      <w:r w:rsidR="005D4C5D">
        <w:rPr>
          <w:rtl/>
        </w:rPr>
        <w:t>قب</w:t>
      </w:r>
      <w:proofErr w:type="gramEnd"/>
      <w:r w:rsidR="005D4C5D">
        <w:rPr>
          <w:rtl/>
        </w:rPr>
        <w:t xml:space="preserve"> قرار</w:t>
      </w:r>
      <w:r>
        <w:rPr>
          <w:rFonts w:hint="cs"/>
          <w:rtl/>
        </w:rPr>
        <w:t xml:space="preserve"> اللجنة</w:t>
      </w:r>
      <w:r w:rsidR="005D4C5D">
        <w:rPr>
          <w:rtl/>
        </w:rPr>
        <w:t xml:space="preserve"> أعلاه ر</w:t>
      </w:r>
      <w:r>
        <w:rPr>
          <w:rFonts w:hint="cs"/>
          <w:rtl/>
        </w:rPr>
        <w:t>ُ</w:t>
      </w:r>
      <w:r w:rsidR="005D4C5D">
        <w:rPr>
          <w:rtl/>
        </w:rPr>
        <w:t>شح ممثل</w:t>
      </w:r>
      <w:r>
        <w:rPr>
          <w:rFonts w:hint="cs"/>
          <w:rtl/>
        </w:rPr>
        <w:t>و</w:t>
      </w:r>
      <w:r w:rsidR="005D4C5D">
        <w:rPr>
          <w:rtl/>
        </w:rPr>
        <w:t xml:space="preserve"> </w:t>
      </w:r>
      <w:r>
        <w:rPr>
          <w:rtl/>
        </w:rPr>
        <w:t xml:space="preserve">13 </w:t>
      </w:r>
      <w:r w:rsidR="005D4C5D">
        <w:rPr>
          <w:rtl/>
        </w:rPr>
        <w:t>مكتبا للملكية الصناعية</w:t>
      </w:r>
      <w:r>
        <w:rPr>
          <w:rFonts w:hint="cs"/>
          <w:rtl/>
        </w:rPr>
        <w:t xml:space="preserve"> </w:t>
      </w:r>
      <w:r w:rsidR="005D4C5D">
        <w:rPr>
          <w:rtl/>
        </w:rPr>
        <w:t xml:space="preserve">والمكتب الدولي للمشاركة في فرقة العمل. </w:t>
      </w:r>
      <w:r>
        <w:rPr>
          <w:rFonts w:hint="cs"/>
          <w:rtl/>
        </w:rPr>
        <w:t xml:space="preserve">وأحاطت اللجنة علما في </w:t>
      </w:r>
      <w:r w:rsidR="005D4C5D">
        <w:rPr>
          <w:rtl/>
        </w:rPr>
        <w:t xml:space="preserve">دورتيها الثانية والثالثة </w:t>
      </w:r>
      <w:r>
        <w:rPr>
          <w:rFonts w:hint="cs"/>
          <w:rtl/>
        </w:rPr>
        <w:t>ب</w:t>
      </w:r>
      <w:r w:rsidR="005D4C5D">
        <w:rPr>
          <w:rtl/>
        </w:rPr>
        <w:t xml:space="preserve">المعلومات التي </w:t>
      </w:r>
      <w:r>
        <w:rPr>
          <w:rFonts w:hint="cs"/>
          <w:rtl/>
        </w:rPr>
        <w:t xml:space="preserve">قدمها </w:t>
      </w:r>
      <w:r w:rsidR="005D4C5D">
        <w:rPr>
          <w:rtl/>
        </w:rPr>
        <w:t>المكتب الأوروبي للبراءات</w:t>
      </w:r>
      <w:r>
        <w:rPr>
          <w:rFonts w:hint="cs"/>
          <w:rtl/>
        </w:rPr>
        <w:t>،</w:t>
      </w:r>
      <w:r w:rsidR="005D4C5D">
        <w:rPr>
          <w:rtl/>
        </w:rPr>
        <w:t xml:space="preserve"> </w:t>
      </w:r>
      <w:r>
        <w:rPr>
          <w:rFonts w:hint="cs"/>
          <w:rtl/>
        </w:rPr>
        <w:t>بصفته المشرف</w:t>
      </w:r>
      <w:r w:rsidR="005D4C5D">
        <w:rPr>
          <w:rtl/>
        </w:rPr>
        <w:t xml:space="preserve"> </w:t>
      </w:r>
      <w:r>
        <w:rPr>
          <w:rFonts w:hint="cs"/>
          <w:rtl/>
        </w:rPr>
        <w:t xml:space="preserve">على </w:t>
      </w:r>
      <w:r w:rsidR="005D4C5D">
        <w:rPr>
          <w:rtl/>
        </w:rPr>
        <w:t>فرقة العمل</w:t>
      </w:r>
      <w:r>
        <w:rPr>
          <w:rFonts w:hint="cs"/>
          <w:rtl/>
        </w:rPr>
        <w:t xml:space="preserve">، </w:t>
      </w:r>
      <w:r>
        <w:rPr>
          <w:rtl/>
        </w:rPr>
        <w:t>عن حالة المناقش</w:t>
      </w:r>
      <w:r>
        <w:rPr>
          <w:rFonts w:hint="cs"/>
          <w:rtl/>
        </w:rPr>
        <w:t>ات داخل ال</w:t>
      </w:r>
      <w:r>
        <w:rPr>
          <w:rtl/>
        </w:rPr>
        <w:t>فرقة</w:t>
      </w:r>
      <w:r>
        <w:rPr>
          <w:rFonts w:hint="cs"/>
          <w:rtl/>
        </w:rPr>
        <w:t xml:space="preserve">، ومن ذلك </w:t>
      </w:r>
      <w:r w:rsidR="005D4C5D">
        <w:rPr>
          <w:rtl/>
        </w:rPr>
        <w:t xml:space="preserve">خطة العمل لإعداد التوصيات. (انظر </w:t>
      </w:r>
      <w:proofErr w:type="gramStart"/>
      <w:r w:rsidR="005D4C5D">
        <w:rPr>
          <w:rtl/>
        </w:rPr>
        <w:t>الوثيقتين</w:t>
      </w:r>
      <w:proofErr w:type="gramEnd"/>
      <w:r w:rsidR="005D4C5D">
        <w:rPr>
          <w:rtl/>
        </w:rPr>
        <w:t xml:space="preserve"> </w:t>
      </w:r>
      <w:r w:rsidR="005D4C5D">
        <w:t>CWS/2/5</w:t>
      </w:r>
      <w:r w:rsidR="005D4C5D">
        <w:rPr>
          <w:rtl/>
        </w:rPr>
        <w:t xml:space="preserve"> و</w:t>
      </w:r>
      <w:r w:rsidR="005D4C5D">
        <w:t>CWS/3/6</w:t>
      </w:r>
      <w:r>
        <w:rPr>
          <w:rFonts w:hint="cs"/>
          <w:rtl/>
        </w:rPr>
        <w:t>.</w:t>
      </w:r>
      <w:r w:rsidR="005D4C5D">
        <w:rPr>
          <w:rtl/>
        </w:rPr>
        <w:t>)</w:t>
      </w:r>
    </w:p>
    <w:p w:rsidR="005D4C5D" w:rsidRDefault="002F255C" w:rsidP="0067668E">
      <w:pPr>
        <w:pStyle w:val="NumberedParaAR"/>
        <w:rPr>
          <w:rtl/>
        </w:rPr>
      </w:pPr>
      <w:r>
        <w:rPr>
          <w:rFonts w:hint="cs"/>
          <w:rtl/>
        </w:rPr>
        <w:t>و</w:t>
      </w:r>
      <w:r w:rsidR="005D4C5D">
        <w:rPr>
          <w:rtl/>
        </w:rPr>
        <w:t>بعد الدورة الثالثة لل</w:t>
      </w:r>
      <w:r>
        <w:rPr>
          <w:rFonts w:hint="cs"/>
          <w:rtl/>
        </w:rPr>
        <w:t>جنة</w:t>
      </w:r>
      <w:r w:rsidR="005D4C5D">
        <w:rPr>
          <w:rtl/>
        </w:rPr>
        <w:t xml:space="preserve">، واصلت </w:t>
      </w:r>
      <w:r w:rsidRPr="00D135C6">
        <w:rPr>
          <w:rtl/>
        </w:rPr>
        <w:t xml:space="preserve">فرقة العمل </w:t>
      </w:r>
      <w:r w:rsidR="005D4C5D">
        <w:rPr>
          <w:rtl/>
        </w:rPr>
        <w:t>مناقش</w:t>
      </w:r>
      <w:r>
        <w:rPr>
          <w:rFonts w:hint="cs"/>
          <w:rtl/>
        </w:rPr>
        <w:t>ا</w:t>
      </w:r>
      <w:r w:rsidR="005D4C5D">
        <w:rPr>
          <w:rtl/>
        </w:rPr>
        <w:t xml:space="preserve">تها في منتدى </w:t>
      </w:r>
      <w:r>
        <w:rPr>
          <w:rFonts w:hint="cs"/>
          <w:rtl/>
        </w:rPr>
        <w:t>ال</w:t>
      </w:r>
      <w:r w:rsidR="005D4C5D">
        <w:rPr>
          <w:rtl/>
        </w:rPr>
        <w:t xml:space="preserve">ويكي. </w:t>
      </w:r>
      <w:proofErr w:type="gramStart"/>
      <w:r w:rsidR="005D4C5D">
        <w:rPr>
          <w:rtl/>
        </w:rPr>
        <w:t>ويرد</w:t>
      </w:r>
      <w:proofErr w:type="gramEnd"/>
      <w:r w:rsidR="005D4C5D">
        <w:rPr>
          <w:rtl/>
        </w:rPr>
        <w:t xml:space="preserve"> تقرير </w:t>
      </w:r>
      <w:r>
        <w:rPr>
          <w:rFonts w:hint="cs"/>
          <w:rtl/>
        </w:rPr>
        <w:t xml:space="preserve">المشرف عن </w:t>
      </w:r>
      <w:r w:rsidR="005D4C5D">
        <w:rPr>
          <w:rtl/>
        </w:rPr>
        <w:t xml:space="preserve">فرقة العمل </w:t>
      </w:r>
      <w:r>
        <w:rPr>
          <w:rFonts w:hint="cs"/>
          <w:rtl/>
        </w:rPr>
        <w:t>بشأن</w:t>
      </w:r>
      <w:r w:rsidR="005D4C5D">
        <w:rPr>
          <w:rtl/>
        </w:rPr>
        <w:t xml:space="preserve"> </w:t>
      </w:r>
      <w:r w:rsidR="0067668E">
        <w:rPr>
          <w:rFonts w:hint="cs"/>
          <w:rtl/>
        </w:rPr>
        <w:t xml:space="preserve">ما أنجزته من </w:t>
      </w:r>
      <w:r w:rsidR="005D4C5D">
        <w:rPr>
          <w:rtl/>
        </w:rPr>
        <w:t>عمل في المرفق الأول لهذه الوثيقة</w:t>
      </w:r>
      <w:r w:rsidR="0067668E">
        <w:rPr>
          <w:rFonts w:hint="cs"/>
          <w:rtl/>
        </w:rPr>
        <w:t>.</w:t>
      </w:r>
    </w:p>
    <w:p w:rsidR="005D4C5D" w:rsidRDefault="0067668E" w:rsidP="00FC4885">
      <w:pPr>
        <w:pStyle w:val="NumberedParaAR"/>
        <w:rPr>
          <w:rtl/>
        </w:rPr>
      </w:pPr>
      <w:proofErr w:type="gramStart"/>
      <w:r>
        <w:rPr>
          <w:rFonts w:hint="cs"/>
          <w:rtl/>
        </w:rPr>
        <w:t>و</w:t>
      </w:r>
      <w:r w:rsidR="005D4C5D">
        <w:rPr>
          <w:rtl/>
        </w:rPr>
        <w:t>بعد</w:t>
      </w:r>
      <w:proofErr w:type="gramEnd"/>
      <w:r w:rsidR="005D4C5D">
        <w:rPr>
          <w:rtl/>
        </w:rPr>
        <w:t xml:space="preserve"> طلب </w:t>
      </w:r>
      <w:r>
        <w:rPr>
          <w:rFonts w:hint="cs"/>
          <w:rtl/>
        </w:rPr>
        <w:t xml:space="preserve">اللجنة </w:t>
      </w:r>
      <w:r w:rsidR="005D4C5D">
        <w:rPr>
          <w:rtl/>
        </w:rPr>
        <w:t xml:space="preserve">المذكور أعلاه، أعدت </w:t>
      </w:r>
      <w:r w:rsidR="002F255C" w:rsidRPr="00D135C6">
        <w:rPr>
          <w:rtl/>
        </w:rPr>
        <w:t xml:space="preserve">فرقة العمل </w:t>
      </w:r>
      <w:r w:rsidR="005D4C5D">
        <w:rPr>
          <w:rtl/>
        </w:rPr>
        <w:t>اقتراح</w:t>
      </w:r>
      <w:r>
        <w:rPr>
          <w:rFonts w:hint="cs"/>
          <w:rtl/>
        </w:rPr>
        <w:t>ا</w:t>
      </w:r>
      <w:r w:rsidR="005D4C5D">
        <w:rPr>
          <w:rtl/>
        </w:rPr>
        <w:t xml:space="preserve"> </w:t>
      </w:r>
      <w:r>
        <w:rPr>
          <w:rFonts w:hint="cs"/>
          <w:rtl/>
        </w:rPr>
        <w:t xml:space="preserve">بشأن </w:t>
      </w:r>
      <w:r w:rsidR="005D4C5D">
        <w:rPr>
          <w:rtl/>
        </w:rPr>
        <w:t>معايير جديد ل</w:t>
      </w:r>
      <w:r>
        <w:rPr>
          <w:rFonts w:hint="cs"/>
          <w:rtl/>
        </w:rPr>
        <w:t>ت</w:t>
      </w:r>
      <w:r w:rsidR="005D4C5D">
        <w:rPr>
          <w:rtl/>
        </w:rPr>
        <w:t>نظر فيه</w:t>
      </w:r>
      <w:r>
        <w:rPr>
          <w:rFonts w:hint="cs"/>
          <w:rtl/>
        </w:rPr>
        <w:t xml:space="preserve"> اللجنة</w:t>
      </w:r>
      <w:r w:rsidR="005D4C5D">
        <w:rPr>
          <w:rtl/>
        </w:rPr>
        <w:t xml:space="preserve"> و</w:t>
      </w:r>
      <w:r>
        <w:rPr>
          <w:rFonts w:hint="cs"/>
          <w:rtl/>
        </w:rPr>
        <w:t>ت</w:t>
      </w:r>
      <w:r w:rsidR="005D4C5D">
        <w:rPr>
          <w:rtl/>
        </w:rPr>
        <w:t xml:space="preserve">وافق عليه. </w:t>
      </w:r>
      <w:r>
        <w:rPr>
          <w:rFonts w:hint="cs"/>
          <w:rtl/>
        </w:rPr>
        <w:t>و</w:t>
      </w:r>
      <w:r w:rsidR="005D4C5D">
        <w:rPr>
          <w:rtl/>
        </w:rPr>
        <w:t xml:space="preserve">الاسم </w:t>
      </w:r>
      <w:r>
        <w:rPr>
          <w:rtl/>
        </w:rPr>
        <w:t xml:space="preserve">المقترح </w:t>
      </w:r>
      <w:r>
        <w:rPr>
          <w:rFonts w:hint="cs"/>
          <w:rtl/>
        </w:rPr>
        <w:t>ل</w:t>
      </w:r>
      <w:r>
        <w:rPr>
          <w:rtl/>
        </w:rPr>
        <w:t xml:space="preserve">لمعيار الجديد </w:t>
      </w:r>
      <w:r w:rsidR="005D4C5D">
        <w:rPr>
          <w:rtl/>
        </w:rPr>
        <w:t>هو "</w:t>
      </w:r>
      <w:r w:rsidR="002E6DF2">
        <w:rPr>
          <w:rFonts w:hint="cs"/>
          <w:rtl/>
        </w:rPr>
        <w:t>معيار الويبو </w:t>
      </w:r>
      <w:r w:rsidR="002E6DF2" w:rsidRPr="002E6DF2">
        <w:t>ST.26</w:t>
      </w:r>
      <w:r w:rsidR="002E6DF2" w:rsidRPr="002E6DF2">
        <w:rPr>
          <w:rtl/>
        </w:rPr>
        <w:t xml:space="preserve"> </w:t>
      </w:r>
      <w:r w:rsidR="002E6DF2">
        <w:rPr>
          <w:rFonts w:hint="cs"/>
          <w:rtl/>
        </w:rPr>
        <w:t xml:space="preserve">- </w:t>
      </w:r>
      <w:r w:rsidRPr="009A29B2">
        <w:rPr>
          <w:rtl/>
        </w:rPr>
        <w:t>توصية بشأن عرض قوائم تسلسل النوويدات والحوامض الأمينية باستخدام لغة الترميز الموسعة</w:t>
      </w:r>
      <w:r w:rsidR="005D4C5D">
        <w:rPr>
          <w:rtl/>
        </w:rPr>
        <w:t>".</w:t>
      </w:r>
      <w:r w:rsidR="002E6DF2">
        <w:rPr>
          <w:rFonts w:hint="cs"/>
          <w:rtl/>
        </w:rPr>
        <w:t xml:space="preserve"> ويرد </w:t>
      </w:r>
      <w:r w:rsidR="005D4C5D">
        <w:rPr>
          <w:rtl/>
        </w:rPr>
        <w:t>مشروع معيار الويبو</w:t>
      </w:r>
      <w:r w:rsidR="002E6DF2">
        <w:rPr>
          <w:rFonts w:hint="cs"/>
          <w:rtl/>
        </w:rPr>
        <w:t xml:space="preserve"> الجديد</w:t>
      </w:r>
      <w:r w:rsidR="002E6DF2">
        <w:rPr>
          <w:rFonts w:hint="eastAsia"/>
          <w:rtl/>
        </w:rPr>
        <w:t> </w:t>
      </w:r>
      <w:r w:rsidR="005D4C5D">
        <w:t>ST.26</w:t>
      </w:r>
      <w:r w:rsidR="002E6DF2">
        <w:rPr>
          <w:rFonts w:hint="cs"/>
          <w:rtl/>
        </w:rPr>
        <w:t xml:space="preserve">، </w:t>
      </w:r>
      <w:r w:rsidR="002E6DF2">
        <w:rPr>
          <w:rtl/>
        </w:rPr>
        <w:t>الذي يحتوي على</w:t>
      </w:r>
      <w:r w:rsidR="002E6DF2">
        <w:rPr>
          <w:rFonts w:hint="cs"/>
          <w:rtl/>
        </w:rPr>
        <w:t xml:space="preserve"> متن</w:t>
      </w:r>
      <w:r w:rsidR="00FC4885">
        <w:rPr>
          <w:rFonts w:hint="cs"/>
          <w:rtl/>
        </w:rPr>
        <w:t xml:space="preserve"> النص</w:t>
      </w:r>
      <w:r w:rsidR="002E6DF2">
        <w:rPr>
          <w:rFonts w:hint="cs"/>
          <w:rtl/>
        </w:rPr>
        <w:t xml:space="preserve"> </w:t>
      </w:r>
      <w:r w:rsidR="005D4C5D">
        <w:rPr>
          <w:rtl/>
        </w:rPr>
        <w:t>الرئيسي وخمسة</w:t>
      </w:r>
      <w:r w:rsidR="002E6DF2">
        <w:rPr>
          <w:rFonts w:hint="cs"/>
          <w:rtl/>
        </w:rPr>
        <w:t xml:space="preserve"> مرفقات </w:t>
      </w:r>
      <w:r w:rsidR="005D4C5D">
        <w:rPr>
          <w:rtl/>
        </w:rPr>
        <w:t>في المرفق الثاني لهذه الوثيقة</w:t>
      </w:r>
      <w:r w:rsidR="002E6DF2">
        <w:rPr>
          <w:rFonts w:hint="cs"/>
          <w:rtl/>
        </w:rPr>
        <w:t>.</w:t>
      </w:r>
    </w:p>
    <w:p w:rsidR="005D4C5D" w:rsidRPr="00DB12F8" w:rsidRDefault="005D4C5D" w:rsidP="008E35DD">
      <w:pPr>
        <w:pStyle w:val="NumberedParaAR"/>
        <w:rPr>
          <w:rtl/>
        </w:rPr>
      </w:pPr>
      <w:r w:rsidRPr="00DB12F8">
        <w:rPr>
          <w:rtl/>
        </w:rPr>
        <w:t>وط</w:t>
      </w:r>
      <w:r w:rsidR="008E35DD" w:rsidRPr="00DB12F8">
        <w:rPr>
          <w:rFonts w:hint="cs"/>
          <w:rtl/>
        </w:rPr>
        <w:t>ُ</w:t>
      </w:r>
      <w:r w:rsidRPr="00DB12F8">
        <w:rPr>
          <w:rtl/>
        </w:rPr>
        <w:t xml:space="preserve">لب من </w:t>
      </w:r>
      <w:r w:rsidR="002F255C" w:rsidRPr="00DB12F8">
        <w:rPr>
          <w:rtl/>
        </w:rPr>
        <w:t xml:space="preserve">فرقة العمل </w:t>
      </w:r>
      <w:r w:rsidRPr="00DB12F8">
        <w:rPr>
          <w:rtl/>
        </w:rPr>
        <w:t>أيضا</w:t>
      </w:r>
      <w:r w:rsidR="008E35DD" w:rsidRPr="00DB12F8">
        <w:rPr>
          <w:rFonts w:hint="cs"/>
          <w:rtl/>
        </w:rPr>
        <w:t xml:space="preserve"> </w:t>
      </w:r>
      <w:r w:rsidR="008E35DD" w:rsidRPr="00DB12F8">
        <w:rPr>
          <w:rtl/>
        </w:rPr>
        <w:t xml:space="preserve">التنسيق مع الهيئة المعنية لمعاهدة التعاون بشأن البراءات فيما يخص الوقع المحتمل </w:t>
      </w:r>
      <w:r w:rsidR="008E35DD" w:rsidRPr="00DB12F8">
        <w:rPr>
          <w:rFonts w:hint="cs"/>
          <w:rtl/>
        </w:rPr>
        <w:t>ل</w:t>
      </w:r>
      <w:r w:rsidR="008E35DD" w:rsidRPr="00DB12F8">
        <w:rPr>
          <w:rtl/>
        </w:rPr>
        <w:t>لمعيار</w:t>
      </w:r>
      <w:r w:rsidR="008E35DD" w:rsidRPr="00DB12F8">
        <w:rPr>
          <w:rFonts w:hint="cs"/>
          <w:rtl/>
        </w:rPr>
        <w:t> </w:t>
      </w:r>
      <w:r w:rsidR="008E35DD" w:rsidRPr="00DB12F8">
        <w:t>ST.26</w:t>
      </w:r>
      <w:r w:rsidR="008E35DD" w:rsidRPr="00DB12F8">
        <w:rPr>
          <w:rtl/>
        </w:rPr>
        <w:t xml:space="preserve"> على المرفق "جيم" من التعليمات الإدارية لمعاهدة التعاون بشأن البراءات</w:t>
      </w:r>
      <w:r w:rsidR="008E35DD" w:rsidRPr="00DB12F8">
        <w:rPr>
          <w:rFonts w:hint="cs"/>
          <w:rtl/>
        </w:rPr>
        <w:t xml:space="preserve"> (انظر الفقرة 29(ج) من </w:t>
      </w:r>
      <w:r w:rsidR="008E35DD" w:rsidRPr="00DB12F8">
        <w:rPr>
          <w:rFonts w:hint="cs"/>
          <w:rtl/>
        </w:rPr>
        <w:lastRenderedPageBreak/>
        <w:t>الوثيقة </w:t>
      </w:r>
      <w:r w:rsidR="008E35DD" w:rsidRPr="00DB12F8">
        <w:t>CWS/1/10</w:t>
      </w:r>
      <w:r w:rsidR="008E35DD" w:rsidRPr="00DB12F8">
        <w:rPr>
          <w:rFonts w:hint="cs"/>
          <w:rtl/>
        </w:rPr>
        <w:t xml:space="preserve">). ويناقش حاليا </w:t>
      </w:r>
      <w:r w:rsidR="008E35DD" w:rsidRPr="00DB12F8">
        <w:rPr>
          <w:rtl/>
        </w:rPr>
        <w:t>أعضاء فرقة العمل</w:t>
      </w:r>
      <w:r w:rsidR="008E35DD" w:rsidRPr="00DB12F8">
        <w:rPr>
          <w:rFonts w:hint="cs"/>
          <w:rtl/>
        </w:rPr>
        <w:t xml:space="preserve"> </w:t>
      </w:r>
      <w:r w:rsidRPr="00DB12F8">
        <w:rPr>
          <w:rtl/>
        </w:rPr>
        <w:t xml:space="preserve">الأحكام المتعلقة بالانتقال من </w:t>
      </w:r>
      <w:r w:rsidR="008E35DD" w:rsidRPr="00DB12F8">
        <w:rPr>
          <w:rFonts w:hint="cs"/>
          <w:rtl/>
        </w:rPr>
        <w:t>معيار</w:t>
      </w:r>
      <w:r w:rsidRPr="00DB12F8">
        <w:rPr>
          <w:rtl/>
        </w:rPr>
        <w:t xml:space="preserve"> الويبو</w:t>
      </w:r>
      <w:r w:rsidR="008E35DD" w:rsidRPr="00DB12F8">
        <w:rPr>
          <w:rFonts w:hint="cs"/>
          <w:rtl/>
        </w:rPr>
        <w:t> </w:t>
      </w:r>
      <w:r w:rsidRPr="00DB12F8">
        <w:t>ST.25</w:t>
      </w:r>
      <w:r w:rsidRPr="00DB12F8">
        <w:rPr>
          <w:rtl/>
        </w:rPr>
        <w:t xml:space="preserve"> إلى معيار الويبو</w:t>
      </w:r>
      <w:r w:rsidR="008E35DD" w:rsidRPr="00DB12F8">
        <w:rPr>
          <w:rFonts w:hint="cs"/>
          <w:rtl/>
        </w:rPr>
        <w:t> </w:t>
      </w:r>
      <w:r w:rsidRPr="00DB12F8">
        <w:t>ST.26</w:t>
      </w:r>
      <w:r w:rsidRPr="00DB12F8">
        <w:rPr>
          <w:rtl/>
        </w:rPr>
        <w:t xml:space="preserve"> </w:t>
      </w:r>
      <w:r w:rsidR="008E35DD" w:rsidRPr="00DB12F8">
        <w:rPr>
          <w:rFonts w:hint="cs"/>
          <w:rtl/>
        </w:rPr>
        <w:t>ال</w:t>
      </w:r>
      <w:r w:rsidRPr="00DB12F8">
        <w:rPr>
          <w:rtl/>
        </w:rPr>
        <w:t>جديد. ومن المزمع تقديمها ل</w:t>
      </w:r>
      <w:r w:rsidR="008E35DD" w:rsidRPr="00DB12F8">
        <w:rPr>
          <w:rFonts w:hint="cs"/>
          <w:rtl/>
        </w:rPr>
        <w:t>ت</w:t>
      </w:r>
      <w:r w:rsidRPr="00DB12F8">
        <w:rPr>
          <w:rtl/>
        </w:rPr>
        <w:t xml:space="preserve">نظر فيها </w:t>
      </w:r>
      <w:r w:rsidR="008E35DD" w:rsidRPr="00DB12F8">
        <w:rPr>
          <w:rFonts w:hint="cs"/>
          <w:rtl/>
        </w:rPr>
        <w:t>اللجنة</w:t>
      </w:r>
      <w:r w:rsidRPr="00DB12F8">
        <w:rPr>
          <w:rtl/>
        </w:rPr>
        <w:t xml:space="preserve"> في دورته</w:t>
      </w:r>
      <w:r w:rsidR="008E35DD" w:rsidRPr="00DB12F8">
        <w:rPr>
          <w:rFonts w:hint="cs"/>
          <w:rtl/>
        </w:rPr>
        <w:t>ا</w:t>
      </w:r>
      <w:r w:rsidRPr="00DB12F8">
        <w:rPr>
          <w:rtl/>
        </w:rPr>
        <w:t xml:space="preserve"> المقبلة التي ستعقد في عام 2015 (انظر الفقرة 10 </w:t>
      </w:r>
      <w:r w:rsidR="00B718AE" w:rsidRPr="00DB12F8">
        <w:rPr>
          <w:rFonts w:hint="cs"/>
          <w:rtl/>
        </w:rPr>
        <w:t xml:space="preserve">المعنونة </w:t>
      </w:r>
      <w:r w:rsidR="008E35DD" w:rsidRPr="00DB12F8">
        <w:rPr>
          <w:rFonts w:hint="cs"/>
          <w:rtl/>
        </w:rPr>
        <w:t>"</w:t>
      </w:r>
      <w:r w:rsidRPr="00DB12F8">
        <w:rPr>
          <w:rtl/>
        </w:rPr>
        <w:t>خارطة الطريق" في المرفق الأول لهذه الوثيقة)</w:t>
      </w:r>
      <w:r w:rsidR="008E35DD" w:rsidRPr="00DB12F8">
        <w:rPr>
          <w:rFonts w:hint="cs"/>
          <w:rtl/>
        </w:rPr>
        <w:t>.</w:t>
      </w:r>
    </w:p>
    <w:p w:rsidR="002F77FC" w:rsidRDefault="006A36DC" w:rsidP="007D27AF">
      <w:pPr>
        <w:pStyle w:val="NumberedParaAR"/>
      </w:pPr>
      <w:r>
        <w:rPr>
          <w:rFonts w:hint="cs"/>
          <w:rtl/>
        </w:rPr>
        <w:t xml:space="preserve">والتُمس من مكاتب الملكية الصناعية </w:t>
      </w:r>
      <w:r w:rsidR="005D4C5D">
        <w:rPr>
          <w:rtl/>
        </w:rPr>
        <w:t>تأجيل استعدادات تنفيذ معيار الويبو الجديد</w:t>
      </w:r>
      <w:r>
        <w:rPr>
          <w:rFonts w:hint="cs"/>
          <w:rtl/>
        </w:rPr>
        <w:t> </w:t>
      </w:r>
      <w:r w:rsidR="005D4C5D">
        <w:t>ST.26</w:t>
      </w:r>
      <w:r w:rsidR="005D4C5D">
        <w:rPr>
          <w:rtl/>
        </w:rPr>
        <w:t xml:space="preserve"> </w:t>
      </w:r>
      <w:r>
        <w:rPr>
          <w:rFonts w:hint="cs"/>
          <w:rtl/>
        </w:rPr>
        <w:t>إلى حين</w:t>
      </w:r>
      <w:r w:rsidR="005D4C5D">
        <w:rPr>
          <w:rtl/>
        </w:rPr>
        <w:t xml:space="preserve"> موافقة</w:t>
      </w:r>
      <w:r>
        <w:rPr>
          <w:rFonts w:hint="cs"/>
          <w:rtl/>
        </w:rPr>
        <w:t xml:space="preserve"> اللجنة</w:t>
      </w:r>
      <w:r>
        <w:rPr>
          <w:rtl/>
        </w:rPr>
        <w:t xml:space="preserve"> على </w:t>
      </w:r>
      <w:r w:rsidR="005D4C5D">
        <w:rPr>
          <w:rtl/>
        </w:rPr>
        <w:t>أحكام الانتقال</w:t>
      </w:r>
      <w:r>
        <w:rPr>
          <w:rFonts w:hint="cs"/>
          <w:rtl/>
        </w:rPr>
        <w:t xml:space="preserve">. </w:t>
      </w:r>
      <w:r w:rsidR="005D4C5D">
        <w:rPr>
          <w:rtl/>
        </w:rPr>
        <w:t xml:space="preserve">وفي الوقت نفسه، ينبغي </w:t>
      </w:r>
      <w:r>
        <w:rPr>
          <w:rFonts w:hint="cs"/>
          <w:rtl/>
        </w:rPr>
        <w:t>الاستمرار في استخدام ال</w:t>
      </w:r>
      <w:r w:rsidR="005D4C5D">
        <w:rPr>
          <w:rtl/>
        </w:rPr>
        <w:t>معيار</w:t>
      </w:r>
      <w:r>
        <w:rPr>
          <w:rFonts w:hint="cs"/>
          <w:rtl/>
        </w:rPr>
        <w:t> </w:t>
      </w:r>
      <w:r w:rsidR="005D4C5D">
        <w:t>ST.25</w:t>
      </w:r>
      <w:r w:rsidR="007D27AF">
        <w:rPr>
          <w:rFonts w:hint="cs"/>
          <w:rtl/>
        </w:rPr>
        <w:t>.</w:t>
      </w:r>
      <w:r w:rsidR="005D4C5D">
        <w:rPr>
          <w:rtl/>
        </w:rPr>
        <w:t xml:space="preserve"> </w:t>
      </w:r>
      <w:r w:rsidR="007D27AF">
        <w:rPr>
          <w:rFonts w:hint="cs"/>
          <w:rtl/>
        </w:rPr>
        <w:t xml:space="preserve">وبمراعاة ما سبق ذكره، تقترح فرقة العمل، بشرط اعتماد </w:t>
      </w:r>
      <w:r w:rsidR="005D4C5D">
        <w:rPr>
          <w:rtl/>
        </w:rPr>
        <w:t>المعيار الجديد</w:t>
      </w:r>
      <w:r w:rsidR="007D27AF">
        <w:rPr>
          <w:rFonts w:hint="cs"/>
          <w:rtl/>
        </w:rPr>
        <w:t xml:space="preserve"> في الدورة الحالية للجنة (الدورة الرابعة)</w:t>
      </w:r>
      <w:r w:rsidR="005D4C5D">
        <w:rPr>
          <w:rtl/>
        </w:rPr>
        <w:t xml:space="preserve">، </w:t>
      </w:r>
      <w:r w:rsidR="007D27AF">
        <w:rPr>
          <w:rFonts w:hint="cs"/>
          <w:rtl/>
        </w:rPr>
        <w:t>إدراج ال</w:t>
      </w:r>
      <w:r w:rsidR="005D4C5D">
        <w:rPr>
          <w:rtl/>
        </w:rPr>
        <w:t xml:space="preserve">ملاحظة </w:t>
      </w:r>
      <w:r w:rsidR="007D27AF">
        <w:rPr>
          <w:rFonts w:hint="cs"/>
          <w:rtl/>
        </w:rPr>
        <w:t>ال</w:t>
      </w:r>
      <w:r w:rsidR="005D4C5D">
        <w:rPr>
          <w:rtl/>
        </w:rPr>
        <w:t xml:space="preserve">تحريرية </w:t>
      </w:r>
      <w:r w:rsidR="007D27AF">
        <w:rPr>
          <w:rFonts w:hint="cs"/>
          <w:rtl/>
        </w:rPr>
        <w:t>التالية في</w:t>
      </w:r>
      <w:r w:rsidR="005D4C5D">
        <w:rPr>
          <w:rtl/>
        </w:rPr>
        <w:t xml:space="preserve"> المعيار الجديد:</w:t>
      </w:r>
    </w:p>
    <w:p w:rsidR="007D27AF" w:rsidRPr="00C80370" w:rsidRDefault="007D27AF" w:rsidP="007D27AF">
      <w:pPr>
        <w:pStyle w:val="NumberedParaAR"/>
        <w:numPr>
          <w:ilvl w:val="0"/>
          <w:numId w:val="0"/>
        </w:numPr>
        <w:rPr>
          <w:i/>
          <w:iCs/>
          <w:rtl/>
        </w:rPr>
      </w:pPr>
      <w:r w:rsidRPr="00C80370">
        <w:rPr>
          <w:rFonts w:hint="cs"/>
          <w:i/>
          <w:iCs/>
          <w:rtl/>
        </w:rPr>
        <w:t>"</w:t>
      </w:r>
      <w:proofErr w:type="gramStart"/>
      <w:r w:rsidRPr="00C80370">
        <w:rPr>
          <w:rFonts w:hint="cs"/>
          <w:i/>
          <w:iCs/>
          <w:rtl/>
        </w:rPr>
        <w:t>ملاحظة</w:t>
      </w:r>
      <w:proofErr w:type="gramEnd"/>
      <w:r w:rsidRPr="00C80370">
        <w:rPr>
          <w:rFonts w:hint="cs"/>
          <w:i/>
          <w:iCs/>
          <w:rtl/>
        </w:rPr>
        <w:t xml:space="preserve"> تحريرية من إعداد المكتب الدولي</w:t>
      </w:r>
    </w:p>
    <w:p w:rsidR="007D27AF" w:rsidRPr="00C80370" w:rsidRDefault="007D27AF" w:rsidP="00C80370">
      <w:pPr>
        <w:pStyle w:val="NumberedParaAR"/>
        <w:numPr>
          <w:ilvl w:val="0"/>
          <w:numId w:val="0"/>
        </w:numPr>
        <w:rPr>
          <w:i/>
          <w:iCs/>
          <w:rtl/>
        </w:rPr>
      </w:pPr>
      <w:r w:rsidRPr="00C80370">
        <w:rPr>
          <w:rFonts w:hint="cs"/>
          <w:i/>
          <w:iCs/>
          <w:rtl/>
        </w:rPr>
        <w:t xml:space="preserve">وافقت اللجنة على أن تطلب من مكاتب الملكية الصناعية </w:t>
      </w:r>
      <w:r w:rsidRPr="00C80370">
        <w:rPr>
          <w:i/>
          <w:iCs/>
          <w:rtl/>
        </w:rPr>
        <w:t>تأجيل استعدادات تنفيذ معيار الويبو الجديد</w:t>
      </w:r>
      <w:r w:rsidRPr="00C80370">
        <w:rPr>
          <w:rFonts w:hint="cs"/>
          <w:i/>
          <w:iCs/>
          <w:rtl/>
        </w:rPr>
        <w:t> </w:t>
      </w:r>
      <w:r w:rsidRPr="00C80370">
        <w:rPr>
          <w:i/>
          <w:iCs/>
        </w:rPr>
        <w:t>ST.</w:t>
      </w:r>
      <w:proofErr w:type="gramStart"/>
      <w:r w:rsidRPr="00C80370">
        <w:rPr>
          <w:i/>
          <w:iCs/>
        </w:rPr>
        <w:t>26</w:t>
      </w:r>
      <w:r w:rsidRPr="00C80370">
        <w:rPr>
          <w:i/>
          <w:iCs/>
          <w:rtl/>
        </w:rPr>
        <w:t xml:space="preserve"> </w:t>
      </w:r>
      <w:r w:rsidRPr="00C80370">
        <w:rPr>
          <w:rFonts w:hint="cs"/>
          <w:i/>
          <w:iCs/>
          <w:rtl/>
        </w:rPr>
        <w:t>إلى حين</w:t>
      </w:r>
      <w:r w:rsidRPr="00C80370">
        <w:rPr>
          <w:i/>
          <w:iCs/>
          <w:rtl/>
        </w:rPr>
        <w:t xml:space="preserve"> موافقة</w:t>
      </w:r>
      <w:r w:rsidRPr="00C80370">
        <w:rPr>
          <w:rFonts w:hint="cs"/>
          <w:i/>
          <w:iCs/>
          <w:rtl/>
        </w:rPr>
        <w:t xml:space="preserve"> اللجنة</w:t>
      </w:r>
      <w:r w:rsidRPr="00C80370">
        <w:rPr>
          <w:i/>
          <w:iCs/>
          <w:rtl/>
        </w:rPr>
        <w:t xml:space="preserve"> على أحكام الانتقال</w:t>
      </w:r>
      <w:r w:rsidRPr="00C80370">
        <w:rPr>
          <w:rFonts w:hint="cs"/>
          <w:i/>
          <w:iCs/>
          <w:rtl/>
        </w:rPr>
        <w:t xml:space="preserve"> من معيار الويبو </w:t>
      </w:r>
      <w:r w:rsidR="00C80370" w:rsidRPr="00C80370">
        <w:rPr>
          <w:i/>
          <w:iCs/>
        </w:rPr>
        <w:t>ST.25</w:t>
      </w:r>
      <w:r w:rsidR="00C80370" w:rsidRPr="00C80370">
        <w:rPr>
          <w:rFonts w:hint="cs"/>
          <w:i/>
          <w:iCs/>
          <w:rtl/>
        </w:rPr>
        <w:t xml:space="preserve"> إلى معيار الويبو الجديد</w:t>
      </w:r>
      <w:r w:rsidR="00C80370" w:rsidRPr="00C80370">
        <w:rPr>
          <w:rFonts w:hint="eastAsia"/>
          <w:i/>
          <w:iCs/>
          <w:rtl/>
        </w:rPr>
        <w:t> </w:t>
      </w:r>
      <w:r w:rsidR="00C80370" w:rsidRPr="00C80370">
        <w:rPr>
          <w:i/>
          <w:iCs/>
        </w:rPr>
        <w:t>ST.26</w:t>
      </w:r>
      <w:r w:rsidR="00C80370" w:rsidRPr="00C80370">
        <w:rPr>
          <w:i/>
          <w:iCs/>
          <w:rtl/>
        </w:rPr>
        <w:t xml:space="preserve"> </w:t>
      </w:r>
      <w:r w:rsidR="00C80370" w:rsidRPr="00C80370">
        <w:rPr>
          <w:rFonts w:hint="cs"/>
          <w:i/>
          <w:iCs/>
          <w:rtl/>
        </w:rPr>
        <w:t>في دورتها الخامسة التي ستعقد في 2015.</w:t>
      </w:r>
      <w:proofErr w:type="gramEnd"/>
      <w:r w:rsidRPr="00C80370">
        <w:rPr>
          <w:rFonts w:hint="cs"/>
          <w:i/>
          <w:iCs/>
          <w:rtl/>
        </w:rPr>
        <w:t xml:space="preserve"> </w:t>
      </w:r>
      <w:r w:rsidRPr="00C80370">
        <w:rPr>
          <w:i/>
          <w:iCs/>
          <w:rtl/>
        </w:rPr>
        <w:t xml:space="preserve">وفي الوقت نفسه، ينبغي </w:t>
      </w:r>
      <w:r w:rsidRPr="00C80370">
        <w:rPr>
          <w:rFonts w:hint="cs"/>
          <w:i/>
          <w:iCs/>
          <w:rtl/>
        </w:rPr>
        <w:t>الاستمرار في استخدام ال</w:t>
      </w:r>
      <w:r w:rsidRPr="00C80370">
        <w:rPr>
          <w:i/>
          <w:iCs/>
          <w:rtl/>
        </w:rPr>
        <w:t>معيار</w:t>
      </w:r>
      <w:r w:rsidRPr="00C80370">
        <w:rPr>
          <w:rFonts w:hint="cs"/>
          <w:i/>
          <w:iCs/>
          <w:rtl/>
        </w:rPr>
        <w:t> </w:t>
      </w:r>
      <w:r w:rsidRPr="00C80370">
        <w:rPr>
          <w:i/>
          <w:iCs/>
        </w:rPr>
        <w:t>ST.25</w:t>
      </w:r>
      <w:r w:rsidR="00C80370" w:rsidRPr="00C80370">
        <w:rPr>
          <w:rFonts w:hint="cs"/>
          <w:i/>
          <w:iCs/>
          <w:rtl/>
        </w:rPr>
        <w:t>.</w:t>
      </w:r>
    </w:p>
    <w:p w:rsidR="00C80370" w:rsidRPr="00C80370" w:rsidRDefault="00C80370" w:rsidP="00C80370">
      <w:pPr>
        <w:pStyle w:val="NumberedParaAR"/>
        <w:numPr>
          <w:ilvl w:val="0"/>
          <w:numId w:val="0"/>
        </w:numPr>
        <w:rPr>
          <w:i/>
          <w:iCs/>
          <w:rtl/>
        </w:rPr>
      </w:pPr>
      <w:r w:rsidRPr="00C80370">
        <w:rPr>
          <w:rFonts w:hint="cs"/>
          <w:i/>
          <w:iCs/>
          <w:rtl/>
        </w:rPr>
        <w:t xml:space="preserve">ونُشر المعيار لأغراض إعلامية لفائدة </w:t>
      </w:r>
      <w:proofErr w:type="gramStart"/>
      <w:r w:rsidRPr="00C80370">
        <w:rPr>
          <w:rFonts w:hint="cs"/>
          <w:i/>
          <w:iCs/>
          <w:rtl/>
        </w:rPr>
        <w:t>مكاتب</w:t>
      </w:r>
      <w:proofErr w:type="gramEnd"/>
      <w:r w:rsidRPr="00C80370">
        <w:rPr>
          <w:rFonts w:hint="cs"/>
          <w:i/>
          <w:iCs/>
          <w:rtl/>
        </w:rPr>
        <w:t xml:space="preserve"> الملكية الصناعية والأطراف الأخرى المهتمة.</w:t>
      </w:r>
    </w:p>
    <w:p w:rsidR="00C80370" w:rsidRDefault="00C80370" w:rsidP="00C80370">
      <w:pPr>
        <w:pStyle w:val="NumberedParaAR"/>
        <w:numPr>
          <w:ilvl w:val="0"/>
          <w:numId w:val="0"/>
        </w:numPr>
        <w:rPr>
          <w:rtl/>
        </w:rPr>
      </w:pPr>
      <w:r w:rsidRPr="00C80370">
        <w:rPr>
          <w:rFonts w:hint="cs"/>
          <w:i/>
          <w:iCs/>
          <w:rtl/>
        </w:rPr>
        <w:t xml:space="preserve">واعتمد </w:t>
      </w:r>
      <w:r w:rsidRPr="00C80370">
        <w:rPr>
          <w:i/>
          <w:iCs/>
          <w:rtl/>
        </w:rPr>
        <w:t>اللجنة المعنية بمعايير الويبو</w:t>
      </w:r>
      <w:r w:rsidRPr="00C80370">
        <w:rPr>
          <w:rFonts w:hint="cs"/>
          <w:i/>
          <w:iCs/>
          <w:rtl/>
        </w:rPr>
        <w:t xml:space="preserve"> (لجنة المعايير) هذا المعيار في [دورتها الرابعة المنعقدة في 16 مايو 2014]."</w:t>
      </w:r>
    </w:p>
    <w:p w:rsidR="00C80370" w:rsidRPr="009431B1" w:rsidRDefault="00C80370" w:rsidP="009431B1">
      <w:pPr>
        <w:pStyle w:val="DecisionParaAR"/>
        <w:ind w:left="5527"/>
        <w:rPr>
          <w:rtl/>
        </w:rPr>
      </w:pPr>
      <w:r w:rsidRPr="009431B1">
        <w:rPr>
          <w:rFonts w:hint="cs"/>
          <w:rtl/>
        </w:rPr>
        <w:t xml:space="preserve">إن لجنة المعايير مدعوة </w:t>
      </w:r>
      <w:proofErr w:type="gramStart"/>
      <w:r w:rsidRPr="009431B1">
        <w:rPr>
          <w:rFonts w:hint="cs"/>
          <w:rtl/>
        </w:rPr>
        <w:t>إلى</w:t>
      </w:r>
      <w:proofErr w:type="gramEnd"/>
      <w:r w:rsidRPr="009431B1">
        <w:rPr>
          <w:rFonts w:hint="cs"/>
          <w:rtl/>
        </w:rPr>
        <w:t xml:space="preserve"> ما يلي:</w:t>
      </w:r>
    </w:p>
    <w:p w:rsidR="00C80370" w:rsidRDefault="00C80370" w:rsidP="00417E68">
      <w:pPr>
        <w:pStyle w:val="DecisionParaAR"/>
        <w:numPr>
          <w:ilvl w:val="0"/>
          <w:numId w:val="0"/>
        </w:numPr>
        <w:ind w:left="6236" w:hanging="709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proofErr w:type="gramStart"/>
      <w:r w:rsidR="00417E68">
        <w:rPr>
          <w:rFonts w:hint="cs"/>
          <w:rtl/>
        </w:rPr>
        <w:t>أن</w:t>
      </w:r>
      <w:proofErr w:type="gramEnd"/>
      <w:r w:rsidR="00417E68">
        <w:rPr>
          <w:rFonts w:hint="cs"/>
          <w:rtl/>
        </w:rPr>
        <w:t xml:space="preserve"> تحيط</w:t>
      </w:r>
      <w:r>
        <w:rPr>
          <w:rFonts w:hint="cs"/>
          <w:rtl/>
        </w:rPr>
        <w:t xml:space="preserve"> علما بالتقرير المرحلي بشأن عمل </w:t>
      </w:r>
      <w:r w:rsidRPr="00D135C6">
        <w:rPr>
          <w:rtl/>
        </w:rPr>
        <w:t>فرقة العمل المعنية بقوائم التسلسل</w:t>
      </w:r>
      <w:r>
        <w:rPr>
          <w:rFonts w:hint="cs"/>
          <w:rtl/>
        </w:rPr>
        <w:t>، الوارد في المرفق الأول لهذه الوثيقة؛</w:t>
      </w:r>
    </w:p>
    <w:p w:rsidR="00C80370" w:rsidRDefault="00C80370" w:rsidP="00417E68">
      <w:pPr>
        <w:pStyle w:val="DecisionParaAR"/>
        <w:numPr>
          <w:ilvl w:val="0"/>
          <w:numId w:val="0"/>
        </w:numPr>
        <w:ind w:left="6236" w:hanging="709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="00417E68">
        <w:rPr>
          <w:rFonts w:hint="cs"/>
          <w:rtl/>
        </w:rPr>
        <w:t>وتعتمد</w:t>
      </w:r>
      <w:r>
        <w:rPr>
          <w:rFonts w:hint="cs"/>
          <w:rtl/>
        </w:rPr>
        <w:t xml:space="preserve"> "معيار الويبو </w:t>
      </w:r>
      <w:r w:rsidRPr="002E6DF2">
        <w:t>ST.26</w:t>
      </w:r>
      <w:r w:rsidRPr="002E6DF2"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9A29B2">
        <w:rPr>
          <w:rtl/>
        </w:rPr>
        <w:t>توصية بشأن عرض قوائم تسلسل النوويدات والحوامض الأمينية باستخدام لغة الترميز الموسعة</w:t>
      </w:r>
      <w:r>
        <w:rPr>
          <w:rFonts w:hint="cs"/>
          <w:rtl/>
        </w:rPr>
        <w:t>" كاسم للمعيار المقترح؛</w:t>
      </w:r>
    </w:p>
    <w:p w:rsidR="00C80370" w:rsidRDefault="00C80370" w:rsidP="00417E68">
      <w:pPr>
        <w:pStyle w:val="DecisionParaAR"/>
        <w:numPr>
          <w:ilvl w:val="0"/>
          <w:numId w:val="0"/>
        </w:numPr>
        <w:ind w:left="6236" w:hanging="709"/>
        <w:rPr>
          <w:rtl/>
        </w:rPr>
      </w:pPr>
      <w:r>
        <w:rPr>
          <w:rFonts w:hint="cs"/>
          <w:rtl/>
        </w:rPr>
        <w:t>(ج)</w:t>
      </w:r>
      <w:r>
        <w:rPr>
          <w:rFonts w:hint="cs"/>
          <w:rtl/>
        </w:rPr>
        <w:tab/>
      </w:r>
      <w:r w:rsidR="00417E68">
        <w:rPr>
          <w:rFonts w:hint="cs"/>
          <w:rtl/>
        </w:rPr>
        <w:t>وتنظر</w:t>
      </w:r>
      <w:r>
        <w:rPr>
          <w:rFonts w:hint="cs"/>
          <w:rtl/>
        </w:rPr>
        <w:t xml:space="preserve"> في معيار الويبو </w:t>
      </w:r>
      <w:r w:rsidRPr="00C80370">
        <w:t>ST.26</w:t>
      </w:r>
      <w:r>
        <w:rPr>
          <w:rFonts w:hint="cs"/>
          <w:rtl/>
        </w:rPr>
        <w:t xml:space="preserve"> كما هو وارد في المرفق الثاني لهذه الوثيقة</w:t>
      </w:r>
      <w:r w:rsidR="00417E68">
        <w:rPr>
          <w:rFonts w:hint="cs"/>
          <w:rtl/>
        </w:rPr>
        <w:t xml:space="preserve"> وتعتمده؛</w:t>
      </w:r>
    </w:p>
    <w:p w:rsidR="00417E68" w:rsidRDefault="00417E68" w:rsidP="00417E68">
      <w:pPr>
        <w:pStyle w:val="DecisionParaAR"/>
        <w:numPr>
          <w:ilvl w:val="0"/>
          <w:numId w:val="0"/>
        </w:numPr>
        <w:ind w:left="6236" w:hanging="709"/>
        <w:rPr>
          <w:rtl/>
        </w:rPr>
      </w:pPr>
      <w:r>
        <w:rPr>
          <w:rFonts w:hint="cs"/>
          <w:rtl/>
        </w:rPr>
        <w:t>(د)</w:t>
      </w:r>
      <w:r>
        <w:rPr>
          <w:rFonts w:hint="cs"/>
          <w:rtl/>
        </w:rPr>
        <w:tab/>
        <w:t>وتنظر في الملاحظة التحريرية المقترح ادراجها في معيار الويبو </w:t>
      </w:r>
      <w:r w:rsidRPr="00417E68">
        <w:t>ST.26</w:t>
      </w:r>
      <w:r>
        <w:rPr>
          <w:rFonts w:hint="cs"/>
          <w:rtl/>
        </w:rPr>
        <w:t xml:space="preserve"> (انظر الفقرة 6 أعلاه) وتعتمدها؛</w:t>
      </w:r>
    </w:p>
    <w:p w:rsidR="00417E68" w:rsidRDefault="00417E68" w:rsidP="00417E68">
      <w:pPr>
        <w:pStyle w:val="DecisionParaAR"/>
        <w:numPr>
          <w:ilvl w:val="0"/>
          <w:numId w:val="0"/>
        </w:numPr>
        <w:ind w:left="6236" w:hanging="709"/>
        <w:rPr>
          <w:rtl/>
        </w:rPr>
      </w:pPr>
      <w:r>
        <w:rPr>
          <w:rFonts w:hint="cs"/>
          <w:rtl/>
        </w:rPr>
        <w:t>(ه)</w:t>
      </w:r>
      <w:r>
        <w:rPr>
          <w:rFonts w:hint="cs"/>
          <w:rtl/>
        </w:rPr>
        <w:tab/>
        <w:t xml:space="preserve">وتلتمس من </w:t>
      </w:r>
      <w:r w:rsidRPr="00D135C6">
        <w:rPr>
          <w:rtl/>
        </w:rPr>
        <w:t>فرقة العمل المعنية بقوائم التسلسل</w:t>
      </w:r>
      <w:r>
        <w:rPr>
          <w:rFonts w:hint="cs"/>
          <w:rtl/>
        </w:rPr>
        <w:t xml:space="preserve"> إعداد اقتراح بشأن الأحكام الانتقالية، على النحو المشار إليه في الفقرة 5 أعلاه، وتقديمه إلى اللجنة لتنظر فيه وتعتمده في دورتها الخامسة.</w:t>
      </w:r>
    </w:p>
    <w:p w:rsidR="00417E68" w:rsidRDefault="00417E68" w:rsidP="00417E68">
      <w:pPr>
        <w:pStyle w:val="EndofDocumentAR"/>
        <w:rPr>
          <w:rtl/>
        </w:r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المرفقان</w:t>
      </w:r>
      <w:proofErr w:type="gramEnd"/>
      <w:r>
        <w:rPr>
          <w:rFonts w:hint="cs"/>
          <w:rtl/>
        </w:rPr>
        <w:t>]</w:t>
      </w:r>
    </w:p>
    <w:sectPr w:rsidR="00417E68" w:rsidSect="00DB12F8">
      <w:headerReference w:type="default" r:id="rId10"/>
      <w:pgSz w:w="11907" w:h="16840" w:code="9"/>
      <w:pgMar w:top="567" w:right="1418" w:bottom="1135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ED" w:rsidRDefault="009C0CED">
      <w:r>
        <w:separator/>
      </w:r>
    </w:p>
  </w:endnote>
  <w:endnote w:type="continuationSeparator" w:id="0">
    <w:p w:rsidR="009C0CED" w:rsidRDefault="009C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ED" w:rsidRDefault="009C0CE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C0CED" w:rsidRDefault="009C0CE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8D5779">
    <w:r>
      <w:t>CWS</w:t>
    </w:r>
    <w:r w:rsidR="002F77FC">
      <w:t>/</w:t>
    </w:r>
    <w:r w:rsidR="008D5779">
      <w:t>4</w:t>
    </w:r>
    <w:r w:rsidR="009431B1">
      <w:t>/</w:t>
    </w:r>
    <w:r w:rsidR="00DB12F8">
      <w:t>7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472A8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9EA82A52"/>
    <w:lvl w:ilvl="0" w:tplc="D64EE93C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0D5B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6DF2"/>
    <w:rsid w:val="002E7615"/>
    <w:rsid w:val="002E7A2A"/>
    <w:rsid w:val="002E7F16"/>
    <w:rsid w:val="002F1425"/>
    <w:rsid w:val="002F255C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68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4C5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472A8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68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36DC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7AF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5DD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31B1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29B2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18AE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0370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0C95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5C6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95E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2F8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6D2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4885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2D0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2D0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57F44-9D7F-448F-9316-A10A0338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(in Arabic)</vt:lpstr>
    </vt:vector>
  </TitlesOfParts>
  <Company>WIPO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(in Arabic)</dc:title>
  <dc:subject>معيار الويبو الجديد بشأن عرض قوائم تسلسل النوويدات والأحماض الأمينية باستخدام لغة الترميز الموسعة (XML)</dc:subject>
  <dc:creator>WIPO</dc:creator>
  <cp:lastModifiedBy>Geraldine Rodriguez</cp:lastModifiedBy>
  <cp:revision>3</cp:revision>
  <cp:lastPrinted>2011-07-08T12:30:00Z</cp:lastPrinted>
  <dcterms:created xsi:type="dcterms:W3CDTF">2014-05-05T10:05:00Z</dcterms:created>
  <dcterms:modified xsi:type="dcterms:W3CDTF">2014-05-05T10:16:00Z</dcterms:modified>
</cp:coreProperties>
</file>