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9D" w:rsidRDefault="00FD70B2" w:rsidP="00FD70B2">
      <w:pPr>
        <w:pStyle w:val="Heading1AR"/>
      </w:pPr>
      <w:bookmarkStart w:id="2" w:name="_GoBack"/>
      <w:r>
        <w:rPr>
          <w:rFonts w:hint="cs"/>
          <w:rtl/>
        </w:rPr>
        <w:t xml:space="preserve">اقتراح يتعلق بتطبيق الفقرة 14 المراجعة من معيار الويبو </w:t>
      </w:r>
      <w:r>
        <w:t>ST.14</w:t>
      </w:r>
    </w:p>
    <w:bookmarkEnd w:id="2"/>
    <w:p w:rsidR="000630FA" w:rsidRDefault="00AC5662" w:rsidP="000630FA">
      <w:pPr>
        <w:pStyle w:val="NumberedParaAR"/>
      </w:pPr>
      <w:r>
        <w:rPr>
          <w:rFonts w:hint="cs"/>
          <w:rtl/>
        </w:rPr>
        <w:t xml:space="preserve">تحتوي هذه الوثيقة على الاقتراح المتعلق بتطبيق الفقرة 14 المراجعة من معيار الويبو </w:t>
      </w:r>
      <w:r>
        <w:t>ST.14</w:t>
      </w:r>
      <w:r>
        <w:rPr>
          <w:rFonts w:hint="cs"/>
          <w:rtl/>
          <w:lang w:bidi="ar-EG"/>
        </w:rPr>
        <w:t xml:space="preserve">، </w:t>
      </w:r>
      <w:r w:rsidR="00D75369">
        <w:rPr>
          <w:rFonts w:hint="cs"/>
          <w:rtl/>
          <w:lang w:bidi="ar-EG"/>
        </w:rPr>
        <w:t xml:space="preserve">والتي أعدتها فرقة العمل المعنية بالمعيار </w:t>
      </w:r>
      <w:r w:rsidR="00D75369">
        <w:rPr>
          <w:lang w:bidi="ar-EG"/>
        </w:rPr>
        <w:t>ST.14</w:t>
      </w:r>
      <w:r w:rsidR="00D75369">
        <w:rPr>
          <w:rFonts w:hint="cs"/>
          <w:rtl/>
          <w:lang w:bidi="ar-EG"/>
        </w:rPr>
        <w:t xml:space="preserve"> بمقتضى الشق الأول من المهمة رقم 45 من برنامج عمل اللجنة المعنية بمعايير الويبو وبناء على طلب اللجنة (انظر الفقرة 39 من الوثيقة </w:t>
      </w:r>
      <w:r w:rsidR="00D75369">
        <w:rPr>
          <w:lang w:bidi="ar-EG"/>
        </w:rPr>
        <w:t>CWS/3/14</w:t>
      </w:r>
      <w:r w:rsidR="00D75369">
        <w:rPr>
          <w:rFonts w:hint="cs"/>
          <w:rtl/>
          <w:lang w:bidi="ar-EG"/>
        </w:rPr>
        <w:t>).</w:t>
      </w:r>
    </w:p>
    <w:p w:rsidR="00D75369" w:rsidRDefault="00004FCF" w:rsidP="00E10FE7">
      <w:pPr>
        <w:pStyle w:val="NumberedParaAR"/>
      </w:pPr>
      <w:r>
        <w:rPr>
          <w:rFonts w:hint="cs"/>
          <w:rtl/>
          <w:lang w:bidi="ar-EG"/>
        </w:rPr>
        <w:t xml:space="preserve">وفي سبيل إتاحة وقت كاف (لا يقل عن عام واحد) لتطبيق المعيار المراجع في مكاتب الملكية الصناعية </w:t>
      </w:r>
      <w:r w:rsidR="00BA2DC5">
        <w:rPr>
          <w:rFonts w:hint="cs"/>
          <w:rtl/>
          <w:lang w:bidi="ar-EG"/>
        </w:rPr>
        <w:t xml:space="preserve">ولمواءمة مراجعة المعيار </w:t>
      </w:r>
      <w:r w:rsidR="00BA2DC5">
        <w:rPr>
          <w:lang w:bidi="ar-EG"/>
        </w:rPr>
        <w:t>ST.14</w:t>
      </w:r>
      <w:r w:rsidR="00BA2DC5">
        <w:rPr>
          <w:rFonts w:hint="cs"/>
          <w:rtl/>
          <w:lang w:bidi="ar-EG"/>
        </w:rPr>
        <w:t xml:space="preserve"> مع مراجعة </w:t>
      </w:r>
      <w:r w:rsidR="001F526E" w:rsidRPr="001F526E">
        <w:rPr>
          <w:rFonts w:hint="cs"/>
          <w:rtl/>
          <w:lang w:bidi="ar-EG"/>
        </w:rPr>
        <w:t>التعليمات الإدارية</w:t>
      </w:r>
      <w:r w:rsidR="001F526E">
        <w:rPr>
          <w:rFonts w:hint="cs"/>
          <w:rtl/>
          <w:lang w:bidi="ar-EG"/>
        </w:rPr>
        <w:t xml:space="preserve"> </w:t>
      </w:r>
      <w:r w:rsidR="00BA2DC5">
        <w:rPr>
          <w:rFonts w:hint="cs"/>
          <w:rtl/>
          <w:lang w:bidi="ar-EG"/>
        </w:rPr>
        <w:t xml:space="preserve">لمعاهدة التعاون بشأن البراءات، </w:t>
      </w:r>
      <w:r w:rsidR="00B73F12">
        <w:rPr>
          <w:rFonts w:hint="cs"/>
          <w:rtl/>
          <w:lang w:bidi="ar-EG"/>
        </w:rPr>
        <w:t xml:space="preserve">فإنه من المقترح أن يكون تاريخ التطبيق هو 1 يوليو 2015، </w:t>
      </w:r>
      <w:r w:rsidR="00EF6248">
        <w:rPr>
          <w:rFonts w:hint="cs"/>
          <w:rtl/>
          <w:lang w:bidi="ar-EG"/>
        </w:rPr>
        <w:t>بشرط أن تعتمد اللجنة المراجعة في دورتها الرابعة في مايو 2014.</w:t>
      </w:r>
    </w:p>
    <w:p w:rsidR="00E06ED8" w:rsidRDefault="004A7902" w:rsidP="008F7E34">
      <w:pPr>
        <w:pStyle w:val="NumberedParaAR"/>
      </w:pPr>
      <w:r>
        <w:rPr>
          <w:rFonts w:hint="cs"/>
          <w:rtl/>
          <w:lang w:bidi="ar-EG"/>
        </w:rPr>
        <w:t xml:space="preserve">وفيما يتعلق بالفترة الانتقالية </w:t>
      </w:r>
      <w:r w:rsidR="008B4189">
        <w:rPr>
          <w:rFonts w:hint="cs"/>
          <w:rtl/>
          <w:lang w:bidi="ar-EG"/>
        </w:rPr>
        <w:t xml:space="preserve">التي يمكن خلالها استخدام </w:t>
      </w:r>
      <w:r w:rsidR="00BF3036">
        <w:rPr>
          <w:rFonts w:hint="cs"/>
          <w:rtl/>
          <w:lang w:bidi="ar-EG"/>
        </w:rPr>
        <w:t xml:space="preserve">الرموز </w:t>
      </w:r>
      <w:r w:rsidR="008B4189">
        <w:rPr>
          <w:rFonts w:hint="cs"/>
          <w:rtl/>
          <w:lang w:bidi="ar-EG"/>
        </w:rPr>
        <w:t>الثلاث</w:t>
      </w:r>
      <w:r w:rsidR="00BF3036">
        <w:rPr>
          <w:rFonts w:hint="cs"/>
          <w:rtl/>
          <w:lang w:bidi="ar-EG"/>
        </w:rPr>
        <w:t>ة</w:t>
      </w:r>
      <w:r w:rsidR="008B4189">
        <w:rPr>
          <w:rFonts w:hint="cs"/>
          <w:rtl/>
          <w:lang w:bidi="ar-EG"/>
        </w:rPr>
        <w:t xml:space="preserve"> "</w:t>
      </w:r>
      <w:r w:rsidR="008B4189">
        <w:rPr>
          <w:lang w:bidi="ar-EG"/>
        </w:rPr>
        <w:t>X</w:t>
      </w:r>
      <w:r w:rsidR="008B4189">
        <w:rPr>
          <w:rFonts w:hint="cs"/>
          <w:rtl/>
          <w:lang w:bidi="ar-EG"/>
        </w:rPr>
        <w:t>" و"</w:t>
      </w:r>
      <w:r w:rsidR="008B4189">
        <w:rPr>
          <w:lang w:bidi="ar-EG"/>
        </w:rPr>
        <w:t>N</w:t>
      </w:r>
      <w:r w:rsidR="008B4189">
        <w:rPr>
          <w:rFonts w:hint="cs"/>
          <w:rtl/>
          <w:lang w:bidi="ar-EG"/>
        </w:rPr>
        <w:t>" و"</w:t>
      </w:r>
      <w:r w:rsidR="008B4189">
        <w:rPr>
          <w:lang w:bidi="ar-EG"/>
        </w:rPr>
        <w:t>I</w:t>
      </w:r>
      <w:r w:rsidR="008B4189">
        <w:rPr>
          <w:rFonts w:hint="cs"/>
          <w:rtl/>
          <w:lang w:bidi="ar-EG"/>
        </w:rPr>
        <w:t xml:space="preserve">" </w:t>
      </w:r>
      <w:r w:rsidR="008B4189" w:rsidRPr="00BC1D7B">
        <w:rPr>
          <w:rFonts w:hint="cs"/>
          <w:rtl/>
          <w:lang w:bidi="ar-EG"/>
        </w:rPr>
        <w:t>بالتوازي</w:t>
      </w:r>
      <w:r w:rsidR="008B4189">
        <w:rPr>
          <w:rFonts w:hint="cs"/>
          <w:rtl/>
          <w:lang w:bidi="ar-EG"/>
        </w:rPr>
        <w:t xml:space="preserve">، </w:t>
      </w:r>
      <w:r w:rsidR="004914FF">
        <w:rPr>
          <w:rFonts w:hint="cs"/>
          <w:rtl/>
          <w:lang w:bidi="ar-EG"/>
        </w:rPr>
        <w:t xml:space="preserve">خلص أعضاء فرقة العمل إلى أنه ليس من المستصوب أن تكون هناك مثل هذه الفترة. </w:t>
      </w:r>
      <w:r w:rsidR="00D311DA">
        <w:rPr>
          <w:rFonts w:hint="cs"/>
          <w:rtl/>
          <w:lang w:bidi="ar-EG"/>
        </w:rPr>
        <w:t xml:space="preserve">وذُكر أن استخدام </w:t>
      </w:r>
      <w:r w:rsidR="00F50839">
        <w:rPr>
          <w:rFonts w:hint="cs"/>
          <w:rtl/>
          <w:lang w:bidi="ar-EG"/>
        </w:rPr>
        <w:t>ا</w:t>
      </w:r>
      <w:r w:rsidR="00BF3036">
        <w:rPr>
          <w:rFonts w:hint="cs"/>
          <w:rtl/>
          <w:lang w:bidi="ar-EG"/>
        </w:rPr>
        <w:t>لرموز الثلاثة "</w:t>
      </w:r>
      <w:r w:rsidR="00BF3036">
        <w:rPr>
          <w:lang w:bidi="ar-EG"/>
        </w:rPr>
        <w:t>X</w:t>
      </w:r>
      <w:r w:rsidR="00BF3036">
        <w:rPr>
          <w:rFonts w:hint="cs"/>
          <w:rtl/>
          <w:lang w:bidi="ar-EG"/>
        </w:rPr>
        <w:t>" و"</w:t>
      </w:r>
      <w:r w:rsidR="00BF3036">
        <w:rPr>
          <w:lang w:bidi="ar-EG"/>
        </w:rPr>
        <w:t>N</w:t>
      </w:r>
      <w:r w:rsidR="00BF3036">
        <w:rPr>
          <w:rFonts w:hint="cs"/>
          <w:rtl/>
          <w:lang w:bidi="ar-EG"/>
        </w:rPr>
        <w:t>" و"</w:t>
      </w:r>
      <w:r w:rsidR="00BF3036">
        <w:rPr>
          <w:lang w:bidi="ar-EG"/>
        </w:rPr>
        <w:t>I</w:t>
      </w:r>
      <w:r w:rsidR="00BF3036">
        <w:rPr>
          <w:rFonts w:hint="cs"/>
          <w:rtl/>
          <w:lang w:bidi="ar-EG"/>
        </w:rPr>
        <w:t xml:space="preserve">" </w:t>
      </w:r>
      <w:r w:rsidR="00F50839">
        <w:rPr>
          <w:rFonts w:hint="cs"/>
          <w:rtl/>
          <w:lang w:bidi="ar-EG"/>
        </w:rPr>
        <w:t xml:space="preserve">في </w:t>
      </w:r>
      <w:r w:rsidR="003E004E">
        <w:rPr>
          <w:rFonts w:hint="cs"/>
          <w:rtl/>
          <w:lang w:bidi="ar-EG"/>
        </w:rPr>
        <w:t xml:space="preserve">آن </w:t>
      </w:r>
      <w:r w:rsidR="00F50839">
        <w:rPr>
          <w:rFonts w:hint="cs"/>
          <w:rtl/>
          <w:lang w:bidi="ar-EG"/>
        </w:rPr>
        <w:t xml:space="preserve">واحد </w:t>
      </w:r>
      <w:r w:rsidR="00EB0FA7">
        <w:rPr>
          <w:rFonts w:hint="cs"/>
          <w:rtl/>
          <w:lang w:bidi="ar-EG"/>
        </w:rPr>
        <w:t xml:space="preserve">قد يؤدي إلى التباس ولذلك تقترح فرقة العمل أن تنظر اللجنة في "الانتقال </w:t>
      </w:r>
      <w:r w:rsidR="00CB3D0C">
        <w:rPr>
          <w:rFonts w:hint="cs"/>
          <w:rtl/>
          <w:lang w:bidi="ar-EG"/>
        </w:rPr>
        <w:t>الخالص</w:t>
      </w:r>
      <w:r w:rsidR="00EB0FA7">
        <w:rPr>
          <w:rFonts w:hint="cs"/>
          <w:rtl/>
          <w:lang w:bidi="ar-EG"/>
        </w:rPr>
        <w:t>" من الفئة "</w:t>
      </w:r>
      <w:r w:rsidR="00EB0FA7">
        <w:rPr>
          <w:lang w:bidi="ar-EG"/>
        </w:rPr>
        <w:t>X</w:t>
      </w:r>
      <w:r w:rsidR="00EB0FA7">
        <w:rPr>
          <w:rFonts w:hint="cs"/>
          <w:rtl/>
          <w:lang w:bidi="ar-EG"/>
        </w:rPr>
        <w:t>" إلى الفئتين "</w:t>
      </w:r>
      <w:r w:rsidR="00EB0FA7">
        <w:rPr>
          <w:lang w:bidi="ar-EG"/>
        </w:rPr>
        <w:t>N</w:t>
      </w:r>
      <w:r w:rsidR="00EB0FA7">
        <w:rPr>
          <w:rFonts w:hint="cs"/>
          <w:rtl/>
          <w:lang w:bidi="ar-EG"/>
        </w:rPr>
        <w:t>" و"</w:t>
      </w:r>
      <w:r w:rsidR="00EB0FA7">
        <w:rPr>
          <w:lang w:bidi="ar-EG"/>
        </w:rPr>
        <w:t>I</w:t>
      </w:r>
      <w:r w:rsidR="00EB0FA7">
        <w:rPr>
          <w:rFonts w:hint="cs"/>
          <w:rtl/>
          <w:lang w:bidi="ar-EG"/>
        </w:rPr>
        <w:t>"، أي أن تقارير البحث ينبغي ألا تتضمن الرمز "</w:t>
      </w:r>
      <w:r w:rsidR="00EB0FA7">
        <w:rPr>
          <w:lang w:bidi="ar-EG"/>
        </w:rPr>
        <w:t>X</w:t>
      </w:r>
      <w:r w:rsidR="00EB0FA7">
        <w:rPr>
          <w:rFonts w:hint="cs"/>
          <w:rtl/>
          <w:lang w:bidi="ar-EG"/>
        </w:rPr>
        <w:t>" اعتبارا من 1 يوليو 2015.</w:t>
      </w:r>
    </w:p>
    <w:p w:rsidR="00B05875" w:rsidRDefault="005775FD" w:rsidP="00220FEB">
      <w:pPr>
        <w:pStyle w:val="NumberedParaAR"/>
      </w:pPr>
      <w:r w:rsidRPr="00220FEB">
        <w:rPr>
          <w:rFonts w:hint="cs"/>
          <w:rtl/>
        </w:rPr>
        <w:t>ورهنا</w:t>
      </w:r>
      <w:r>
        <w:rPr>
          <w:rFonts w:hint="cs"/>
          <w:rtl/>
        </w:rPr>
        <w:t xml:space="preserve"> بموافقة اللجنة على مراجعة الفقرة </w:t>
      </w:r>
      <w:r w:rsidR="00182829">
        <w:rPr>
          <w:rFonts w:hint="cs"/>
          <w:rtl/>
        </w:rPr>
        <w:t xml:space="preserve">14 من المعيار </w:t>
      </w:r>
      <w:r w:rsidR="00182829">
        <w:t>ST.14</w:t>
      </w:r>
      <w:r w:rsidR="00182829">
        <w:rPr>
          <w:rFonts w:hint="cs"/>
          <w:rtl/>
          <w:lang w:bidi="ar-EG"/>
        </w:rPr>
        <w:t xml:space="preserve">، </w:t>
      </w:r>
      <w:r w:rsidR="00220FEB">
        <w:rPr>
          <w:rFonts w:hint="cs"/>
          <w:rtl/>
        </w:rPr>
        <w:t>ي</w:t>
      </w:r>
      <w:r w:rsidR="00496294" w:rsidRPr="00220FEB">
        <w:rPr>
          <w:rFonts w:hint="cs"/>
          <w:rtl/>
        </w:rPr>
        <w:t>قد</w:t>
      </w:r>
      <w:r w:rsidR="00220FEB">
        <w:rPr>
          <w:rFonts w:hint="cs"/>
          <w:rtl/>
        </w:rPr>
        <w:t>َّ</w:t>
      </w:r>
      <w:r w:rsidR="00496294" w:rsidRPr="00220FEB">
        <w:rPr>
          <w:rFonts w:hint="cs"/>
          <w:rtl/>
        </w:rPr>
        <w:t xml:space="preserve">م </w:t>
      </w:r>
      <w:r w:rsidR="00496294">
        <w:rPr>
          <w:rFonts w:hint="cs"/>
          <w:rtl/>
        </w:rPr>
        <w:t>مشروع الملاحظة التحريرية التالي لتنظر فيه اللجنة وتوافق عليه:</w:t>
      </w:r>
    </w:p>
    <w:p w:rsidR="00001D9B" w:rsidRPr="00001D9B" w:rsidRDefault="00001D9B" w:rsidP="00001D9B">
      <w:pPr>
        <w:pStyle w:val="NumberedParaAR"/>
        <w:numPr>
          <w:ilvl w:val="0"/>
          <w:numId w:val="0"/>
        </w:numPr>
        <w:rPr>
          <w:i/>
          <w:iCs/>
          <w:rtl/>
        </w:rPr>
      </w:pPr>
      <w:r>
        <w:rPr>
          <w:rFonts w:hint="cs"/>
          <w:rtl/>
        </w:rPr>
        <w:t>"</w:t>
      </w:r>
      <w:r w:rsidRPr="00001D9B">
        <w:rPr>
          <w:rFonts w:hint="cs"/>
          <w:i/>
          <w:iCs/>
          <w:rtl/>
        </w:rPr>
        <w:t>ملاحظة تحريرية من المكتب الدولي</w:t>
      </w:r>
    </w:p>
    <w:p w:rsidR="00001D9B" w:rsidRDefault="00001D9B" w:rsidP="008E72F9">
      <w:pPr>
        <w:pStyle w:val="NumberedParaAR"/>
        <w:numPr>
          <w:ilvl w:val="0"/>
          <w:numId w:val="0"/>
        </w:numPr>
        <w:rPr>
          <w:rtl/>
        </w:rPr>
      </w:pPr>
      <w:r>
        <w:rPr>
          <w:rFonts w:hint="cs"/>
          <w:rtl/>
        </w:rPr>
        <w:t xml:space="preserve">"اعتمدت اللجنة المعنية بمعايير الويبو </w:t>
      </w:r>
      <w:r w:rsidR="008E72F9">
        <w:rPr>
          <w:rFonts w:hint="cs"/>
          <w:rtl/>
        </w:rPr>
        <w:t>مراجعة هذا المعيار في دورتها الرابعة التي عقدت في 16 مايو 2014.</w:t>
      </w:r>
    </w:p>
    <w:p w:rsidR="00496294" w:rsidRDefault="00001D9B" w:rsidP="00B95182">
      <w:pPr>
        <w:pStyle w:val="NumberedParaAR"/>
        <w:numPr>
          <w:ilvl w:val="0"/>
          <w:numId w:val="0"/>
        </w:numPr>
        <w:rPr>
          <w:lang w:bidi="ar-EG"/>
        </w:rPr>
      </w:pPr>
      <w:r>
        <w:rPr>
          <w:rFonts w:hint="cs"/>
          <w:rtl/>
        </w:rPr>
        <w:t>"</w:t>
      </w:r>
      <w:r w:rsidR="008E72F9">
        <w:rPr>
          <w:rFonts w:hint="cs"/>
          <w:rtl/>
        </w:rPr>
        <w:t>واتفقت اللجنة على أن أحكام الفقرة 14 من المعيار المراج</w:t>
      </w:r>
      <w:r w:rsidR="00845B27">
        <w:rPr>
          <w:rFonts w:hint="cs"/>
          <w:rtl/>
        </w:rPr>
        <w:t>َ</w:t>
      </w:r>
      <w:r w:rsidR="008E72F9">
        <w:rPr>
          <w:rFonts w:hint="cs"/>
          <w:rtl/>
        </w:rPr>
        <w:t xml:space="preserve">ع ينبغي أن تطبقها مكاتب الملكية الصناعية في كل تقارير البحث </w:t>
      </w:r>
      <w:r w:rsidR="00B95182">
        <w:rPr>
          <w:rFonts w:hint="cs"/>
          <w:rtl/>
        </w:rPr>
        <w:t xml:space="preserve">المعدة </w:t>
      </w:r>
      <w:r w:rsidR="008E72F9">
        <w:rPr>
          <w:rFonts w:hint="cs"/>
          <w:rtl/>
        </w:rPr>
        <w:t xml:space="preserve">بدءا من 1 يوليو 2015 </w:t>
      </w:r>
      <w:r w:rsidR="003A3171">
        <w:rPr>
          <w:rFonts w:hint="cs"/>
          <w:rtl/>
        </w:rPr>
        <w:t>فما بعد</w:t>
      </w:r>
      <w:r w:rsidR="00365F65">
        <w:rPr>
          <w:rFonts w:hint="cs"/>
          <w:rtl/>
        </w:rPr>
        <w:t xml:space="preserve">. </w:t>
      </w:r>
      <w:r>
        <w:rPr>
          <w:rFonts w:hint="cs"/>
          <w:rtl/>
        </w:rPr>
        <w:t xml:space="preserve">وينبغي أن تستخدم الصيغة السابقة من الفقرة 14 </w:t>
      </w:r>
      <w:r w:rsidR="00257909">
        <w:rPr>
          <w:rFonts w:hint="cs"/>
          <w:rtl/>
        </w:rPr>
        <w:t xml:space="preserve">من المعيار </w:t>
      </w:r>
      <w:r>
        <w:rPr>
          <w:rFonts w:hint="cs"/>
          <w:rtl/>
        </w:rPr>
        <w:t>(انظر المرفق) بالنسبة لتقارير البحث المعدة قبل ذلك التاريخ."</w:t>
      </w:r>
    </w:p>
    <w:p w:rsidR="00496294" w:rsidRDefault="00923334" w:rsidP="00923334">
      <w:pPr>
        <w:pStyle w:val="NumberedParaAR"/>
      </w:pPr>
      <w:r>
        <w:rPr>
          <w:rFonts w:hint="cs"/>
          <w:rtl/>
        </w:rPr>
        <w:t xml:space="preserve">وكما هو موضح في مشروع الملاحظة التحريرية، فإنه من المقترح أن يتم الإبقاء على الصيغة الحالية للفقرة 14 من المعيار </w:t>
      </w:r>
      <w:r>
        <w:t>ST.14</w:t>
      </w:r>
      <w:r>
        <w:rPr>
          <w:rFonts w:hint="cs"/>
          <w:rtl/>
          <w:lang w:bidi="ar-EG"/>
        </w:rPr>
        <w:t xml:space="preserve"> في مرفق المعيار على الأقل حتى 1 يوليو 2015. ويجب على المكتب الدولي بعد ذلك أن يحذف الملاحظة التحريرية والمرفق </w:t>
      </w:r>
      <w:r w:rsidR="0011136C" w:rsidRPr="002B6634">
        <w:rPr>
          <w:rFonts w:hint="cs"/>
          <w:rtl/>
          <w:lang w:bidi="ar-EG"/>
        </w:rPr>
        <w:t>كتغيير تحريري</w:t>
      </w:r>
      <w:r w:rsidR="0011136C">
        <w:rPr>
          <w:rFonts w:hint="cs"/>
          <w:rtl/>
          <w:lang w:bidi="ar-EG"/>
        </w:rPr>
        <w:t xml:space="preserve"> ويبلغ اللجنة بذلك.</w:t>
      </w:r>
    </w:p>
    <w:p w:rsidR="002D4530" w:rsidRPr="007F38D1" w:rsidRDefault="004B34F9" w:rsidP="004B34F9">
      <w:pPr>
        <w:pStyle w:val="EndofDocumentAR"/>
        <w:rPr>
          <w:rtl/>
        </w:rPr>
      </w:pPr>
      <w:r>
        <w:rPr>
          <w:rFonts w:hint="cs"/>
          <w:rtl/>
        </w:rPr>
        <w:t>[نهاية المرفق الثاني والوثيقة]</w:t>
      </w:r>
    </w:p>
    <w:sectPr w:rsidR="002D4530" w:rsidRPr="007F38D1" w:rsidSect="00EB7752">
      <w:headerReference w:type="default" r:id="rId8"/>
      <w:headerReference w:type="firs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06" w:rsidRDefault="00875A06">
      <w:r>
        <w:separator/>
      </w:r>
    </w:p>
  </w:endnote>
  <w:endnote w:type="continuationSeparator" w:id="0">
    <w:p w:rsidR="00875A06" w:rsidRDefault="0087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06" w:rsidRDefault="00875A06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75A06" w:rsidRDefault="00875A06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828FF" w:rsidP="002D4530">
    <w:r>
      <w:t>CWS</w:t>
    </w:r>
    <w:r w:rsidR="002F77FC">
      <w:t>/</w:t>
    </w:r>
    <w:r w:rsidR="008D5779">
      <w:t>4</w:t>
    </w:r>
    <w:r w:rsidR="002F77FC">
      <w:t>/</w:t>
    </w:r>
    <w:r w:rsidR="002D4530">
      <w:t>5</w:t>
    </w:r>
  </w:p>
  <w:p w:rsidR="002D4530" w:rsidRDefault="002D4530" w:rsidP="002D4530">
    <w:r>
      <w:t>Annex II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11136C">
      <w:rPr>
        <w:noProof/>
      </w:rPr>
      <w:t>2</w:t>
    </w:r>
    <w:r>
      <w:fldChar w:fldCharType="end"/>
    </w:r>
  </w:p>
  <w:p w:rsidR="002F77FC" w:rsidRDefault="002F77FC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A1" w:rsidRDefault="005569A1" w:rsidP="002D4530">
    <w:pPr>
      <w:pStyle w:val="Header"/>
    </w:pPr>
    <w:r>
      <w:t>CWS/4/</w:t>
    </w:r>
    <w:r w:rsidR="002D4530">
      <w:t>5</w:t>
    </w:r>
  </w:p>
  <w:p w:rsidR="005569A1" w:rsidRDefault="005569A1" w:rsidP="005569A1">
    <w:pPr>
      <w:pStyle w:val="Header"/>
    </w:pPr>
    <w:r>
      <w:t>ANNEX I</w:t>
    </w:r>
    <w:r w:rsidR="002D4530">
      <w:t>I</w:t>
    </w:r>
  </w:p>
  <w:p w:rsidR="005569A1" w:rsidRPr="005569A1" w:rsidRDefault="005569A1" w:rsidP="002D4530">
    <w:pPr>
      <w:pStyle w:val="Header"/>
      <w:bidi/>
      <w:jc w:val="right"/>
      <w:rPr>
        <w:rFonts w:ascii="Arabic Typesetting" w:hAnsi="Arabic Typesetting" w:cs="Arabic Typesetting"/>
        <w:sz w:val="38"/>
        <w:szCs w:val="36"/>
        <w:rtl/>
      </w:rPr>
    </w:pPr>
    <w:r w:rsidRPr="005569A1">
      <w:rPr>
        <w:rFonts w:ascii="Arabic Typesetting" w:hAnsi="Arabic Typesetting" w:cs="Arabic Typesetting"/>
        <w:sz w:val="38"/>
        <w:szCs w:val="36"/>
        <w:rtl/>
      </w:rPr>
      <w:t xml:space="preserve">المرفق </w:t>
    </w:r>
    <w:r w:rsidR="002D4530">
      <w:rPr>
        <w:rFonts w:ascii="Arabic Typesetting" w:hAnsi="Arabic Typesetting" w:cs="Arabic Typesetting" w:hint="cs"/>
        <w:sz w:val="38"/>
        <w:szCs w:val="36"/>
        <w:rtl/>
      </w:rPr>
      <w:t>الثاني</w:t>
    </w:r>
  </w:p>
  <w:p w:rsidR="005569A1" w:rsidRDefault="005569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A3E7A9D"/>
    <w:multiLevelType w:val="hybridMultilevel"/>
    <w:tmpl w:val="B00C34CA"/>
    <w:lvl w:ilvl="0" w:tplc="60424AD8">
      <w:start w:val="1"/>
      <w:numFmt w:val="arabicAbjad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16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CE"/>
    <w:rsid w:val="00001D9B"/>
    <w:rsid w:val="00002CBE"/>
    <w:rsid w:val="00003232"/>
    <w:rsid w:val="000033DA"/>
    <w:rsid w:val="00004FCF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0FA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562F"/>
    <w:rsid w:val="000A6510"/>
    <w:rsid w:val="000B0BB4"/>
    <w:rsid w:val="000B1045"/>
    <w:rsid w:val="000B1728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136C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2829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1CE"/>
    <w:rsid w:val="001E6318"/>
    <w:rsid w:val="001F0AD5"/>
    <w:rsid w:val="001F0C0A"/>
    <w:rsid w:val="001F1509"/>
    <w:rsid w:val="001F18E7"/>
    <w:rsid w:val="001F3A75"/>
    <w:rsid w:val="001F3A9D"/>
    <w:rsid w:val="001F3FDB"/>
    <w:rsid w:val="001F526E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0FEB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57909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49F6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B6634"/>
    <w:rsid w:val="002C014C"/>
    <w:rsid w:val="002C060C"/>
    <w:rsid w:val="002C0BA6"/>
    <w:rsid w:val="002C12A7"/>
    <w:rsid w:val="002C2B6F"/>
    <w:rsid w:val="002C314F"/>
    <w:rsid w:val="002C3BEA"/>
    <w:rsid w:val="002C4AD1"/>
    <w:rsid w:val="002C7D29"/>
    <w:rsid w:val="002D0298"/>
    <w:rsid w:val="002D1662"/>
    <w:rsid w:val="002D1DE5"/>
    <w:rsid w:val="002D3506"/>
    <w:rsid w:val="002D3670"/>
    <w:rsid w:val="002D453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02B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65F65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171"/>
    <w:rsid w:val="003A37F7"/>
    <w:rsid w:val="003A54E9"/>
    <w:rsid w:val="003A5E7C"/>
    <w:rsid w:val="003A78C7"/>
    <w:rsid w:val="003A7E9A"/>
    <w:rsid w:val="003B15FE"/>
    <w:rsid w:val="003B1C41"/>
    <w:rsid w:val="003B269D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004E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2687C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4FF"/>
    <w:rsid w:val="00491B91"/>
    <w:rsid w:val="00491C21"/>
    <w:rsid w:val="00491C66"/>
    <w:rsid w:val="004935D6"/>
    <w:rsid w:val="00494195"/>
    <w:rsid w:val="004945FB"/>
    <w:rsid w:val="00496294"/>
    <w:rsid w:val="00497356"/>
    <w:rsid w:val="004A076F"/>
    <w:rsid w:val="004A1DC1"/>
    <w:rsid w:val="004A31A2"/>
    <w:rsid w:val="004A48A7"/>
    <w:rsid w:val="004A655D"/>
    <w:rsid w:val="004A7902"/>
    <w:rsid w:val="004B01B1"/>
    <w:rsid w:val="004B08D1"/>
    <w:rsid w:val="004B10E6"/>
    <w:rsid w:val="004B198F"/>
    <w:rsid w:val="004B34F9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0A43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69A1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775FD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9B1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0C5F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0265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2CF0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5B27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A06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385B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189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2F9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8F7E34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334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59B0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BEB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0E03"/>
    <w:rsid w:val="00A51DF1"/>
    <w:rsid w:val="00A52AFB"/>
    <w:rsid w:val="00A53967"/>
    <w:rsid w:val="00A5455C"/>
    <w:rsid w:val="00A545EC"/>
    <w:rsid w:val="00A54C5F"/>
    <w:rsid w:val="00A54D3B"/>
    <w:rsid w:val="00A5578A"/>
    <w:rsid w:val="00A55C1D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662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5875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3F12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5182"/>
    <w:rsid w:val="00B96043"/>
    <w:rsid w:val="00B96F5D"/>
    <w:rsid w:val="00BA02F9"/>
    <w:rsid w:val="00BA1987"/>
    <w:rsid w:val="00BA2682"/>
    <w:rsid w:val="00BA2DC5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1D7B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1D62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3036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871B1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3D0C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31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11DA"/>
    <w:rsid w:val="00D329B9"/>
    <w:rsid w:val="00D32A4B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369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97771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6DF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06ED8"/>
    <w:rsid w:val="00E10C94"/>
    <w:rsid w:val="00E10EC4"/>
    <w:rsid w:val="00E10FE7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96E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0FA7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D05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248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0839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610F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D70B2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5569A1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5569A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CWS/4/-- (Arabic)</vt:lpstr>
    </vt:vector>
  </TitlesOfParts>
  <Company>WIPO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CWS/4/5 Annex II (in Arabic)</dc:title>
  <dc:subject>اقتراح يتعلق بتطبيق الفقرة 14 المراجعة من معيار الويبو ST.14</dc:subject>
  <dc:creator>WIPO</dc:creator>
  <cp:lastModifiedBy>BERNARD Isabelle</cp:lastModifiedBy>
  <cp:revision>3</cp:revision>
  <cp:lastPrinted>2011-07-08T12:30:00Z</cp:lastPrinted>
  <dcterms:created xsi:type="dcterms:W3CDTF">2014-04-01T09:24:00Z</dcterms:created>
  <dcterms:modified xsi:type="dcterms:W3CDTF">2014-04-01T09:27:00Z</dcterms:modified>
</cp:coreProperties>
</file>