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EA33E8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0D6247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B6101C" w:rsidRPr="00B6101C">
              <w:t>/</w:t>
            </w:r>
            <w:r w:rsidR="000D6247">
              <w:t>15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D624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0D624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D624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D6247">
              <w:rPr>
                <w:rFonts w:hint="cs"/>
                <w:rtl/>
              </w:rPr>
              <w:t>24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0D6247">
              <w:rPr>
                <w:rFonts w:hint="cs"/>
                <w:rtl/>
              </w:rPr>
              <w:t>يونيو</w:t>
            </w:r>
            <w:proofErr w:type="gramEnd"/>
            <w:r w:rsidR="000D6247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8D5779">
        <w:rPr>
          <w:rFonts w:ascii="Cambria Math" w:hAnsi="Cambria Math" w:hint="cs"/>
          <w:rtl/>
        </w:rPr>
        <w:t>الرابعة</w:t>
      </w:r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D6247" w:rsidP="000D6247">
      <w:pPr>
        <w:pStyle w:val="DocumentTitleAR"/>
        <w:bidi/>
        <w:rPr>
          <w:rtl/>
        </w:rPr>
      </w:pPr>
      <w:bookmarkStart w:id="2" w:name="_GoBack"/>
      <w:proofErr w:type="gramStart"/>
      <w:r>
        <w:rPr>
          <w:rFonts w:hint="cs"/>
          <w:rtl/>
        </w:rPr>
        <w:t>ملخص</w:t>
      </w:r>
      <w:proofErr w:type="gramEnd"/>
      <w:r>
        <w:rPr>
          <w:rFonts w:hint="cs"/>
          <w:rtl/>
        </w:rPr>
        <w:t xml:space="preserve"> الرئيس</w:t>
      </w:r>
      <w:bookmarkEnd w:id="2"/>
      <w:r w:rsidR="00BF3058">
        <w:rPr>
          <w:rStyle w:val="FootnoteReference"/>
          <w:rtl/>
        </w:rPr>
        <w:footnoteReference w:id="1"/>
      </w:r>
    </w:p>
    <w:p w:rsidR="00D61541" w:rsidRPr="00D61541" w:rsidRDefault="00D61541" w:rsidP="00931859">
      <w:pPr>
        <w:pStyle w:val="PreparedbyAR"/>
        <w:bidi/>
        <w:rPr>
          <w:rtl/>
        </w:rPr>
      </w:pPr>
    </w:p>
    <w:p w:rsidR="00D61541" w:rsidRDefault="00C750F7" w:rsidP="00C750F7">
      <w:pPr>
        <w:pStyle w:val="Heading2AR"/>
        <w:spacing w:after="60"/>
        <w:rPr>
          <w:rtl/>
          <w:lang w:val="fr-CH"/>
        </w:rPr>
      </w:pPr>
      <w:r>
        <w:rPr>
          <w:rFonts w:hint="cs"/>
          <w:rtl/>
          <w:lang w:val="fr-CH"/>
        </w:rPr>
        <w:t>مقدمة</w:t>
      </w:r>
    </w:p>
    <w:p w:rsidR="00C750F7" w:rsidRPr="00C750F7" w:rsidRDefault="00C750F7" w:rsidP="00C750F7">
      <w:pPr>
        <w:pStyle w:val="Heading3AR"/>
        <w:spacing w:before="240" w:after="60"/>
        <w:rPr>
          <w:rtl/>
          <w:lang w:val="fr-CH"/>
        </w:rPr>
      </w:pPr>
      <w:r>
        <w:rPr>
          <w:rFonts w:hint="cs"/>
          <w:rtl/>
          <w:lang w:val="fr-CH"/>
        </w:rPr>
        <w:t xml:space="preserve">البند 1 </w:t>
      </w:r>
      <w:proofErr w:type="gramStart"/>
      <w:r>
        <w:rPr>
          <w:rFonts w:hint="cs"/>
          <w:rtl/>
          <w:lang w:val="fr-CH"/>
        </w:rPr>
        <w:t>من</w:t>
      </w:r>
      <w:proofErr w:type="gramEnd"/>
      <w:r>
        <w:rPr>
          <w:rFonts w:hint="cs"/>
          <w:rtl/>
          <w:lang w:val="fr-CH"/>
        </w:rPr>
        <w:t xml:space="preserve"> جدول الأعمال:  </w:t>
      </w:r>
      <w:r w:rsidR="00C23D8D">
        <w:rPr>
          <w:rFonts w:hint="cs"/>
          <w:rtl/>
          <w:lang w:val="fr-CH"/>
        </w:rPr>
        <w:t>افتتاح الدورة</w:t>
      </w:r>
    </w:p>
    <w:p w:rsidR="002F77FC" w:rsidRDefault="00C23D8D" w:rsidP="00C23D8D">
      <w:pPr>
        <w:pStyle w:val="NumberedParaAR"/>
        <w:rPr>
          <w:rtl/>
        </w:rPr>
      </w:pPr>
      <w:r>
        <w:rPr>
          <w:rFonts w:hint="cs"/>
          <w:rtl/>
        </w:rPr>
        <w:t xml:space="preserve">افتتح الدورة السيد </w:t>
      </w:r>
      <w:proofErr w:type="spellStart"/>
      <w:r>
        <w:rPr>
          <w:rFonts w:hint="cs"/>
          <w:rtl/>
        </w:rPr>
        <w:t>يو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تاكاغي</w:t>
      </w:r>
      <w:proofErr w:type="spellEnd"/>
      <w:r>
        <w:rPr>
          <w:rFonts w:hint="cs"/>
          <w:rtl/>
        </w:rPr>
        <w:t xml:space="preserve">، مساعد المدير العام، قطاع البنية التحتية العالمية، فرحّب بالمشاركين نيابةً عن المدير العام السيد </w:t>
      </w:r>
      <w:proofErr w:type="spellStart"/>
      <w:r>
        <w:rPr>
          <w:rFonts w:hint="cs"/>
          <w:rtl/>
        </w:rPr>
        <w:t>فرانسس</w:t>
      </w:r>
      <w:proofErr w:type="spellEnd"/>
      <w:r>
        <w:rPr>
          <w:rFonts w:hint="cs"/>
          <w:rtl/>
        </w:rPr>
        <w:t xml:space="preserve"> غري.</w:t>
      </w:r>
    </w:p>
    <w:p w:rsidR="00C23D8D" w:rsidRPr="00BF3058" w:rsidRDefault="00C23D8D" w:rsidP="00BF3058">
      <w:pPr>
        <w:pStyle w:val="Heading3AR"/>
        <w:spacing w:before="240" w:after="60"/>
        <w:rPr>
          <w:rtl/>
          <w:lang w:val="fr-CH"/>
        </w:rPr>
      </w:pPr>
      <w:r w:rsidRPr="00BF3058">
        <w:rPr>
          <w:rFonts w:hint="cs"/>
          <w:rtl/>
          <w:lang w:val="fr-CH"/>
        </w:rPr>
        <w:t xml:space="preserve">البند 2 </w:t>
      </w:r>
      <w:proofErr w:type="gramStart"/>
      <w:r w:rsidRPr="00BF3058">
        <w:rPr>
          <w:rFonts w:hint="cs"/>
          <w:rtl/>
          <w:lang w:val="fr-CH"/>
        </w:rPr>
        <w:t>من</w:t>
      </w:r>
      <w:proofErr w:type="gramEnd"/>
      <w:r w:rsidRPr="00BF3058">
        <w:rPr>
          <w:rFonts w:hint="cs"/>
          <w:rtl/>
          <w:lang w:val="fr-CH"/>
        </w:rPr>
        <w:t xml:space="preserve"> جدول الأعمال:  انتخاب الرئيس ونائبي الرئيس</w:t>
      </w:r>
    </w:p>
    <w:p w:rsidR="009F513E" w:rsidRDefault="00C23D8D" w:rsidP="00BF3058">
      <w:pPr>
        <w:pStyle w:val="NumberedParaAR"/>
      </w:pPr>
      <w:r w:rsidRPr="00C23D8D">
        <w:rPr>
          <w:rtl/>
        </w:rPr>
        <w:t xml:space="preserve">انتخبت اللجنة بالإجماع السيدة أوكسانا </w:t>
      </w:r>
      <w:proofErr w:type="spellStart"/>
      <w:r w:rsidRPr="00C23D8D">
        <w:rPr>
          <w:rtl/>
        </w:rPr>
        <w:t>باركيتا</w:t>
      </w:r>
      <w:proofErr w:type="spellEnd"/>
      <w:r w:rsidRPr="00C23D8D">
        <w:rPr>
          <w:rtl/>
        </w:rPr>
        <w:t xml:space="preserve"> (أوكرانيا) رئيسةً والسفير ألفريدو </w:t>
      </w:r>
      <w:proofErr w:type="spellStart"/>
      <w:r w:rsidRPr="00C23D8D">
        <w:rPr>
          <w:rtl/>
        </w:rPr>
        <w:t>سوسكوم</w:t>
      </w:r>
      <w:proofErr w:type="spellEnd"/>
      <w:r w:rsidRPr="00C23D8D">
        <w:rPr>
          <w:rtl/>
        </w:rPr>
        <w:t xml:space="preserve"> (بنما) نائبا للرئيسة.</w:t>
      </w:r>
    </w:p>
    <w:p w:rsidR="00345E9F" w:rsidRDefault="00345E9F" w:rsidP="00345E9F">
      <w:pPr>
        <w:pStyle w:val="Heading2AR"/>
        <w:spacing w:after="60"/>
        <w:rPr>
          <w:rtl/>
          <w:lang w:val="fr-CH"/>
        </w:rPr>
      </w:pPr>
      <w:proofErr w:type="gramStart"/>
      <w:r>
        <w:rPr>
          <w:rFonts w:hint="cs"/>
          <w:rtl/>
          <w:lang w:val="fr-CH"/>
        </w:rPr>
        <w:t>مناقشة</w:t>
      </w:r>
      <w:proofErr w:type="gramEnd"/>
      <w:r>
        <w:rPr>
          <w:rFonts w:hint="cs"/>
          <w:rtl/>
          <w:lang w:val="fr-CH"/>
        </w:rPr>
        <w:t xml:space="preserve"> بنود جدول الأعمال</w:t>
      </w:r>
    </w:p>
    <w:p w:rsidR="00BF3058" w:rsidRPr="00BF3058" w:rsidRDefault="00BF3058" w:rsidP="00BF3058">
      <w:pPr>
        <w:pStyle w:val="Heading3AR"/>
        <w:spacing w:before="240" w:after="60"/>
        <w:rPr>
          <w:rtl/>
          <w:lang w:val="fr-CH"/>
        </w:rPr>
      </w:pPr>
      <w:r w:rsidRPr="00BF3058">
        <w:rPr>
          <w:rFonts w:hint="cs"/>
          <w:rtl/>
          <w:lang w:val="fr-CH"/>
        </w:rPr>
        <w:t xml:space="preserve">البند </w:t>
      </w:r>
      <w:r>
        <w:rPr>
          <w:rFonts w:hint="cs"/>
          <w:rtl/>
          <w:lang w:val="fr-CH"/>
        </w:rPr>
        <w:t>3</w:t>
      </w:r>
      <w:r w:rsidRPr="00BF3058">
        <w:rPr>
          <w:rFonts w:hint="cs"/>
          <w:rtl/>
          <w:lang w:val="fr-CH"/>
        </w:rPr>
        <w:t xml:space="preserve"> </w:t>
      </w:r>
      <w:proofErr w:type="gramStart"/>
      <w:r w:rsidRPr="00BF3058">
        <w:rPr>
          <w:rFonts w:hint="cs"/>
          <w:rtl/>
          <w:lang w:val="fr-CH"/>
        </w:rPr>
        <w:t>من</w:t>
      </w:r>
      <w:proofErr w:type="gramEnd"/>
      <w:r w:rsidRPr="00BF3058">
        <w:rPr>
          <w:rFonts w:hint="cs"/>
          <w:rtl/>
          <w:lang w:val="fr-CH"/>
        </w:rPr>
        <w:t xml:space="preserve"> جدول الأعمال:  </w:t>
      </w:r>
      <w:r>
        <w:rPr>
          <w:rFonts w:hint="cs"/>
          <w:rtl/>
          <w:lang w:val="fr-CH"/>
        </w:rPr>
        <w:t>اعتماد جدول الأعمال</w:t>
      </w:r>
    </w:p>
    <w:p w:rsidR="00BF3058" w:rsidRDefault="00BF3058" w:rsidP="00BF3058">
      <w:pPr>
        <w:pStyle w:val="NumberedParaAR"/>
      </w:pPr>
      <w:r w:rsidRPr="00BF3058">
        <w:rPr>
          <w:rtl/>
        </w:rPr>
        <w:t xml:space="preserve">استندت المناقشات إلى الوثيقة </w:t>
      </w:r>
      <w:r w:rsidRPr="00BF3058">
        <w:t>CWS/4/1</w:t>
      </w:r>
      <w:r>
        <w:t> PROV.</w:t>
      </w:r>
      <w:r w:rsidRPr="00BF3058">
        <w:rPr>
          <w:rtl/>
        </w:rPr>
        <w:t xml:space="preserve">. وتحدث وفد مصر باسم مجموعة جدول أعمال التنمية واقترح إدراج بند جديد يكون نصه "إسهام اللجنة في تنفيذ التوصيات المعنية من جدول أعمال الويبو بشأن التنمية". </w:t>
      </w:r>
      <w:proofErr w:type="gramStart"/>
      <w:r w:rsidRPr="00BF3058">
        <w:rPr>
          <w:rtl/>
        </w:rPr>
        <w:t>وعبرت</w:t>
      </w:r>
      <w:proofErr w:type="gramEnd"/>
      <w:r w:rsidRPr="00BF3058">
        <w:rPr>
          <w:rtl/>
        </w:rPr>
        <w:t xml:space="preserve"> الوفود خلال المناقشات عن وجهات نظر مختلفة بشأن البند الجديد المقترح وبشأن احتمال إعادة صياغة عنوان البند 4 من مشروع جدول الأعمال لتغطية البند الجديد المقترح بشكل صريح.</w:t>
      </w:r>
    </w:p>
    <w:p w:rsidR="00BF3058" w:rsidRDefault="00BF3058" w:rsidP="00345E9F">
      <w:pPr>
        <w:pStyle w:val="NumberedParaAR"/>
      </w:pPr>
      <w:proofErr w:type="gramStart"/>
      <w:r>
        <w:rPr>
          <w:rFonts w:hint="cs"/>
          <w:rtl/>
        </w:rPr>
        <w:lastRenderedPageBreak/>
        <w:t>ودارت</w:t>
      </w:r>
      <w:proofErr w:type="gramEnd"/>
      <w:r>
        <w:rPr>
          <w:rFonts w:hint="cs"/>
          <w:rtl/>
        </w:rPr>
        <w:t xml:space="preserve"> مناقشات غير رسمية بغية التوصل إلى حل حول جدول الأعمال من جهة، ومن جهة أخرى حول البنود 5 إلى 17 من جد</w:t>
      </w:r>
      <w:r w:rsidRPr="00BF3058">
        <w:rPr>
          <w:rtl/>
        </w:rPr>
        <w:t>و</w:t>
      </w:r>
      <w:r>
        <w:rPr>
          <w:rFonts w:hint="cs"/>
          <w:rtl/>
        </w:rPr>
        <w:t>ل الأعمال المقترح.</w:t>
      </w:r>
    </w:p>
    <w:p w:rsidR="00BF3058" w:rsidRDefault="00BF3058" w:rsidP="00D47FBF">
      <w:pPr>
        <w:pStyle w:val="NumberedParaAR"/>
      </w:pPr>
      <w:proofErr w:type="gramStart"/>
      <w:r>
        <w:rPr>
          <w:rFonts w:hint="cs"/>
          <w:rtl/>
        </w:rPr>
        <w:t>وعقب</w:t>
      </w:r>
      <w:proofErr w:type="gramEnd"/>
      <w:r>
        <w:rPr>
          <w:rFonts w:hint="cs"/>
          <w:rtl/>
        </w:rPr>
        <w:t xml:space="preserve"> انتهاء المناقشات غير الرسمية، و</w:t>
      </w:r>
      <w:r w:rsidRPr="00BF3058">
        <w:rPr>
          <w:rtl/>
        </w:rPr>
        <w:t xml:space="preserve">نظراً لعدم التوصل إلى اتفاق بشأن جدول الأعمال، </w:t>
      </w:r>
      <w:r w:rsidR="00D47FBF">
        <w:rPr>
          <w:rFonts w:hint="cs"/>
          <w:rtl/>
        </w:rPr>
        <w:t xml:space="preserve">اتفقت اللجنة على </w:t>
      </w:r>
      <w:r w:rsidRPr="00BF3058">
        <w:rPr>
          <w:rtl/>
        </w:rPr>
        <w:t>رفع الجلسة. وطلب الرئيس من المكتب الدولي تنظيم مشاورات غير رسمية بشأن هذا الأمر</w:t>
      </w:r>
      <w:r w:rsidR="00D47FBF">
        <w:rPr>
          <w:rFonts w:hint="cs"/>
          <w:rtl/>
        </w:rPr>
        <w:t xml:space="preserve"> </w:t>
      </w:r>
      <w:r w:rsidRPr="00BF3058">
        <w:rPr>
          <w:rtl/>
        </w:rPr>
        <w:t xml:space="preserve">وتهيئة الظروف التي تتيح استمرار المشاورات حتى يتحقق اتفاق بشأن مشروع جدول الأعمال، بحيث يتسنى إعادة عقد الاجتماع لاعتماد جدول الأعمال </w:t>
      </w:r>
      <w:r w:rsidR="00D47FBF">
        <w:rPr>
          <w:rFonts w:hint="cs"/>
          <w:rtl/>
        </w:rPr>
        <w:t xml:space="preserve">رسميا </w:t>
      </w:r>
      <w:r w:rsidRPr="00BF3058">
        <w:rPr>
          <w:rtl/>
        </w:rPr>
        <w:t xml:space="preserve">واستكمال الأعمال </w:t>
      </w:r>
      <w:r w:rsidR="00D47FBF">
        <w:rPr>
          <w:rFonts w:hint="cs"/>
          <w:rtl/>
        </w:rPr>
        <w:t>حسب</w:t>
      </w:r>
      <w:r w:rsidR="002C443C">
        <w:rPr>
          <w:rFonts w:hint="cs"/>
          <w:rtl/>
        </w:rPr>
        <w:t xml:space="preserve"> </w:t>
      </w:r>
      <w:r w:rsidR="00D47FBF">
        <w:rPr>
          <w:rFonts w:hint="cs"/>
          <w:rtl/>
        </w:rPr>
        <w:t xml:space="preserve">ما </w:t>
      </w:r>
      <w:proofErr w:type="spellStart"/>
      <w:r w:rsidR="00D47FBF">
        <w:rPr>
          <w:rFonts w:hint="cs"/>
          <w:rtl/>
        </w:rPr>
        <w:t>تقتضيه</w:t>
      </w:r>
      <w:proofErr w:type="spellEnd"/>
      <w:r w:rsidR="00D47FBF">
        <w:rPr>
          <w:rFonts w:hint="cs"/>
          <w:rtl/>
        </w:rPr>
        <w:t xml:space="preserve"> الإجراءات الرسمية</w:t>
      </w:r>
      <w:r w:rsidRPr="00BF3058">
        <w:t>.</w:t>
      </w:r>
    </w:p>
    <w:p w:rsidR="00D47FBF" w:rsidRDefault="00D47FBF" w:rsidP="00D47FBF">
      <w:pPr>
        <w:pStyle w:val="Heading2AR"/>
        <w:spacing w:after="60"/>
        <w:rPr>
          <w:rtl/>
          <w:lang w:val="fr-CH"/>
        </w:rPr>
      </w:pPr>
      <w:r>
        <w:rPr>
          <w:rFonts w:hint="cs"/>
          <w:rtl/>
          <w:lang w:val="fr-CH"/>
        </w:rPr>
        <w:t xml:space="preserve">اجتماعات فرق العمل </w:t>
      </w:r>
      <w:proofErr w:type="gramStart"/>
      <w:r>
        <w:rPr>
          <w:rFonts w:hint="cs"/>
          <w:rtl/>
          <w:lang w:val="fr-CH"/>
        </w:rPr>
        <w:t>التابعة</w:t>
      </w:r>
      <w:proofErr w:type="gramEnd"/>
      <w:r>
        <w:rPr>
          <w:rFonts w:hint="cs"/>
          <w:rtl/>
          <w:lang w:val="fr-CH"/>
        </w:rPr>
        <w:t xml:space="preserve"> للجنة</w:t>
      </w:r>
    </w:p>
    <w:p w:rsidR="00BF3058" w:rsidRDefault="00D47FBF" w:rsidP="002C443C">
      <w:pPr>
        <w:pStyle w:val="NumberedParaAR"/>
      </w:pPr>
      <w:r>
        <w:rPr>
          <w:rFonts w:hint="cs"/>
          <w:rtl/>
          <w:lang w:val="fr-CH"/>
        </w:rPr>
        <w:t xml:space="preserve">خلال هذه الدورة، عقدت </w:t>
      </w:r>
      <w:proofErr w:type="gramStart"/>
      <w:r>
        <w:rPr>
          <w:rFonts w:hint="cs"/>
          <w:rtl/>
          <w:lang w:val="fr-CH"/>
        </w:rPr>
        <w:t>فرق</w:t>
      </w:r>
      <w:proofErr w:type="gramEnd"/>
      <w:r>
        <w:rPr>
          <w:rFonts w:hint="cs"/>
          <w:rtl/>
          <w:lang w:val="fr-CH"/>
        </w:rPr>
        <w:t xml:space="preserve"> العمل التالية اجتماعات غير رسمية: </w:t>
      </w:r>
      <w:r w:rsidR="002C443C">
        <w:rPr>
          <w:rFonts w:hint="cs"/>
          <w:rtl/>
          <w:lang w:val="fr-CH"/>
        </w:rPr>
        <w:t xml:space="preserve">فرقة العمل المعنية بمعيار </w:t>
      </w:r>
      <w:r w:rsidR="002C443C">
        <w:t>ST.14</w:t>
      </w:r>
      <w:r w:rsidR="002C443C">
        <w:rPr>
          <w:rFonts w:hint="cs"/>
          <w:rtl/>
          <w:lang w:val="fr-CH"/>
        </w:rPr>
        <w:t xml:space="preserve">، وفرقة العمل المعنية بالكشوف التسلسلية، وفرقة العمل المعنية بتقييس العلامات التجارية، وفرقة العمل المعنية بالوضع القانوني، وفرقة العمل </w:t>
      </w:r>
      <w:r w:rsidR="002C443C">
        <w:t>XML4IP</w:t>
      </w:r>
      <w:r w:rsidR="002C443C">
        <w:rPr>
          <w:rFonts w:hint="cs"/>
          <w:rtl/>
          <w:lang w:val="fr-CH"/>
        </w:rPr>
        <w:t>.</w:t>
      </w:r>
    </w:p>
    <w:p w:rsidR="00BF3058" w:rsidRDefault="002C443C" w:rsidP="002C443C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p w:rsidR="009F513E" w:rsidRPr="007F38D1" w:rsidRDefault="009F513E" w:rsidP="007F38D1">
      <w:pPr>
        <w:pStyle w:val="NormalParaAR"/>
        <w:rPr>
          <w:rtl/>
        </w:rPr>
      </w:pPr>
    </w:p>
    <w:sectPr w:rsidR="009F513E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F7" w:rsidRDefault="00C750F7">
      <w:r>
        <w:separator/>
      </w:r>
    </w:p>
  </w:endnote>
  <w:endnote w:type="continuationSeparator" w:id="0">
    <w:p w:rsidR="00C750F7" w:rsidRDefault="00C7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F7" w:rsidRDefault="00C750F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750F7" w:rsidRDefault="00C750F7" w:rsidP="009622BF">
      <w:pPr>
        <w:bidi/>
      </w:pPr>
      <w:r>
        <w:separator/>
      </w:r>
    </w:p>
  </w:footnote>
  <w:footnote w:id="1">
    <w:p w:rsidR="00BF3058" w:rsidRDefault="00BF3058" w:rsidP="00BF305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أعدّ</w:t>
      </w:r>
      <w:proofErr w:type="gramEnd"/>
      <w:r>
        <w:rPr>
          <w:rFonts w:hint="cs"/>
          <w:rtl/>
        </w:rPr>
        <w:t xml:space="preserve"> الرئيس هذا الملخص لأغراض إعلامية ولم تنظر فيه اللجنة ولم تعلّق عليه.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D47FBF">
    <w:r>
      <w:t>CWS</w:t>
    </w:r>
    <w:r w:rsidR="002F77FC">
      <w:t>/</w:t>
    </w:r>
    <w:r w:rsidR="008D5779">
      <w:t>4</w:t>
    </w:r>
    <w:r w:rsidR="002F77FC">
      <w:t>/</w:t>
    </w:r>
    <w:r w:rsidR="00D47FBF">
      <w:t>15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04497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624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43C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8D6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5E9F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497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058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D8D"/>
    <w:rsid w:val="00C23FB0"/>
    <w:rsid w:val="00C24021"/>
    <w:rsid w:val="00C248AF"/>
    <w:rsid w:val="00C24B09"/>
    <w:rsid w:val="00C24BDE"/>
    <w:rsid w:val="00C24E9F"/>
    <w:rsid w:val="00C3199A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0F7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FB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3E8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609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90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90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A41E-F82E-49B8-A12E-A72DBFFF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CWS/4/-- (Arabic)</vt:lpstr>
    </vt:vector>
  </TitlesOfParts>
  <Company>World Intellectual Property Organization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CWS/4/15 (in Arabic)</dc:title>
  <dc:subject>ملخص الرئيس</dc:subject>
  <dc:creator>WIPO</dc:creator>
  <cp:lastModifiedBy>Geraldine Rodriguez</cp:lastModifiedBy>
  <cp:revision>3</cp:revision>
  <cp:lastPrinted>2014-06-30T10:15:00Z</cp:lastPrinted>
  <dcterms:created xsi:type="dcterms:W3CDTF">2014-06-30T12:54:00Z</dcterms:created>
  <dcterms:modified xsi:type="dcterms:W3CDTF">2014-06-30T12:59:00Z</dcterms:modified>
</cp:coreProperties>
</file>