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B2CC1" w:rsidRPr="00011B68" w:rsidRDefault="00CC3E2D" w:rsidP="00011B68">
      <w:pPr>
        <w:pBdr>
          <w:bottom w:val="single" w:sz="4" w:space="10" w:color="auto"/>
        </w:pBdr>
        <w:bidi w:val="0"/>
        <w:spacing w:after="120"/>
        <w:rPr>
          <w:rFonts w:ascii="Calibri" w:hAnsi="Calibri"/>
          <w:b/>
          <w:sz w:val="32"/>
          <w:szCs w:val="40"/>
        </w:rPr>
      </w:pPr>
      <w:r w:rsidRPr="00011B68">
        <w:rPr>
          <w:rFonts w:ascii="Calibri" w:hAnsi="Calibri"/>
          <w:b/>
          <w:noProof/>
          <w:sz w:val="32"/>
          <w:szCs w:val="40"/>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079ED61B"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D71CEE" w:rsidRDefault="00FE5D75" w:rsidP="00011B68">
      <w:pPr>
        <w:bidi w:val="0"/>
        <w:rPr>
          <w:rFonts w:ascii="Calibri" w:hAnsi="Calibri"/>
          <w:b/>
          <w:bCs/>
          <w:caps/>
          <w:sz w:val="15"/>
          <w:szCs w:val="15"/>
        </w:rPr>
      </w:pPr>
      <w:bookmarkStart w:id="1" w:name="Code"/>
      <w:bookmarkEnd w:id="1"/>
      <w:r w:rsidRPr="00D71CEE">
        <w:rPr>
          <w:rFonts w:ascii="Calibri" w:hAnsi="Calibri"/>
          <w:b/>
          <w:bCs/>
          <w:caps/>
          <w:sz w:val="15"/>
          <w:szCs w:val="15"/>
        </w:rPr>
        <w:t>CWS/</w:t>
      </w:r>
      <w:r w:rsidR="00F90DFF" w:rsidRPr="00D71CEE">
        <w:rPr>
          <w:rFonts w:ascii="Calibri" w:hAnsi="Calibri"/>
          <w:b/>
          <w:bCs/>
          <w:caps/>
          <w:sz w:val="15"/>
          <w:szCs w:val="15"/>
        </w:rPr>
        <w:t>10</w:t>
      </w:r>
      <w:r w:rsidRPr="00D71CEE">
        <w:rPr>
          <w:rFonts w:ascii="Calibri" w:hAnsi="Calibri"/>
          <w:b/>
          <w:bCs/>
          <w:caps/>
          <w:sz w:val="15"/>
          <w:szCs w:val="15"/>
        </w:rPr>
        <w:t>/</w:t>
      </w:r>
      <w:r w:rsidR="00F90DFF" w:rsidRPr="00D71CEE">
        <w:rPr>
          <w:rFonts w:ascii="Calibri" w:hAnsi="Calibri"/>
          <w:b/>
          <w:bCs/>
          <w:caps/>
          <w:sz w:val="15"/>
          <w:szCs w:val="15"/>
        </w:rPr>
        <w:t>2</w:t>
      </w:r>
    </w:p>
    <w:p w:rsidR="008B2CC1" w:rsidRPr="00D71CEE" w:rsidRDefault="00CC3E2D" w:rsidP="00011B68">
      <w:pPr>
        <w:jc w:val="right"/>
        <w:rPr>
          <w:rFonts w:ascii="Calibri" w:hAnsi="Calibri"/>
          <w:b/>
          <w:bCs/>
          <w:caps/>
          <w:sz w:val="15"/>
          <w:szCs w:val="15"/>
        </w:rPr>
      </w:pPr>
      <w:bookmarkStart w:id="2" w:name="Original"/>
      <w:r w:rsidRPr="00D71CEE">
        <w:rPr>
          <w:rFonts w:ascii="Calibri" w:hAnsi="Calibri"/>
          <w:b/>
          <w:bCs/>
          <w:caps/>
          <w:sz w:val="15"/>
          <w:szCs w:val="15"/>
          <w:rtl/>
        </w:rPr>
        <w:t>الأصل:</w:t>
      </w:r>
      <w:r w:rsidR="00F90DFF" w:rsidRPr="00D71CEE">
        <w:rPr>
          <w:rFonts w:ascii="Calibri" w:hAnsi="Calibri"/>
          <w:b/>
          <w:bCs/>
          <w:caps/>
          <w:sz w:val="15"/>
          <w:szCs w:val="15"/>
          <w:rtl/>
          <w:lang w:bidi="ar-MA"/>
        </w:rPr>
        <w:t xml:space="preserve"> بالإنكليزية</w:t>
      </w:r>
      <w:r w:rsidRPr="00D71CEE">
        <w:rPr>
          <w:rFonts w:ascii="Calibri" w:hAnsi="Calibri"/>
          <w:b/>
          <w:bCs/>
          <w:caps/>
          <w:sz w:val="15"/>
          <w:szCs w:val="15"/>
          <w:rtl/>
        </w:rPr>
        <w:t xml:space="preserve"> </w:t>
      </w:r>
    </w:p>
    <w:p w:rsidR="008B2CC1" w:rsidRPr="00011B68" w:rsidRDefault="00CC3E2D" w:rsidP="00011B68">
      <w:pPr>
        <w:spacing w:after="1200"/>
        <w:jc w:val="right"/>
        <w:rPr>
          <w:rFonts w:ascii="Calibri" w:hAnsi="Calibri"/>
          <w:b/>
          <w:bCs/>
          <w:caps/>
          <w:sz w:val="15"/>
          <w:szCs w:val="15"/>
        </w:rPr>
      </w:pPr>
      <w:bookmarkStart w:id="3" w:name="Date"/>
      <w:bookmarkEnd w:id="2"/>
      <w:r w:rsidRPr="00011B68">
        <w:rPr>
          <w:rFonts w:ascii="Calibri" w:hAnsi="Calibri"/>
          <w:b/>
          <w:bCs/>
          <w:caps/>
          <w:sz w:val="15"/>
          <w:szCs w:val="15"/>
          <w:rtl/>
        </w:rPr>
        <w:t xml:space="preserve">التاريخ: </w:t>
      </w:r>
      <w:r w:rsidR="00F90DFF" w:rsidRPr="00011B68">
        <w:rPr>
          <w:rFonts w:ascii="Calibri" w:hAnsi="Calibri"/>
          <w:b/>
          <w:bCs/>
          <w:caps/>
          <w:sz w:val="15"/>
          <w:szCs w:val="15"/>
          <w:rtl/>
        </w:rPr>
        <w:t>26 سبتمبر 2022</w:t>
      </w:r>
    </w:p>
    <w:bookmarkEnd w:id="3"/>
    <w:p w:rsidR="008B2CC1" w:rsidRPr="00011B68" w:rsidRDefault="00250149" w:rsidP="00011B68">
      <w:pPr>
        <w:pStyle w:val="Heading1"/>
        <w:rPr>
          <w:rFonts w:ascii="Calibri" w:hAnsi="Calibri"/>
        </w:rPr>
      </w:pPr>
      <w:r w:rsidRPr="00011B68">
        <w:rPr>
          <w:rFonts w:ascii="Calibri" w:hAnsi="Calibri"/>
          <w:rtl/>
        </w:rPr>
        <w:t xml:space="preserve">اللجنة </w:t>
      </w:r>
      <w:r w:rsidR="00FE5D75" w:rsidRPr="00011B68">
        <w:rPr>
          <w:rFonts w:ascii="Calibri" w:hAnsi="Calibri"/>
          <w:rtl/>
        </w:rPr>
        <w:t>المعنية بمعايير الويبو</w:t>
      </w:r>
    </w:p>
    <w:p w:rsidR="00A90F0A" w:rsidRPr="00011B68" w:rsidRDefault="00D67EAE" w:rsidP="00011B68">
      <w:pPr>
        <w:outlineLvl w:val="1"/>
        <w:rPr>
          <w:rFonts w:ascii="Calibri" w:hAnsi="Calibri"/>
          <w:bCs/>
          <w:sz w:val="24"/>
          <w:szCs w:val="24"/>
        </w:rPr>
      </w:pPr>
      <w:r w:rsidRPr="00011B68">
        <w:rPr>
          <w:rFonts w:ascii="Calibri" w:hAnsi="Calibri"/>
          <w:bCs/>
          <w:sz w:val="24"/>
          <w:szCs w:val="24"/>
          <w:rtl/>
        </w:rPr>
        <w:t xml:space="preserve">الدورة </w:t>
      </w:r>
      <w:r w:rsidR="00F90DFF" w:rsidRPr="00011B68">
        <w:rPr>
          <w:rFonts w:ascii="Calibri" w:hAnsi="Calibri"/>
          <w:bCs/>
          <w:sz w:val="24"/>
          <w:szCs w:val="24"/>
          <w:rtl/>
        </w:rPr>
        <w:t>العاشرة</w:t>
      </w:r>
    </w:p>
    <w:p w:rsidR="008B2CC1" w:rsidRPr="00011B68" w:rsidRDefault="00D67EAE" w:rsidP="00011B68">
      <w:pPr>
        <w:spacing w:after="720"/>
        <w:outlineLvl w:val="1"/>
        <w:rPr>
          <w:rFonts w:ascii="Calibri" w:hAnsi="Calibri"/>
          <w:bCs/>
          <w:sz w:val="24"/>
          <w:szCs w:val="24"/>
        </w:rPr>
      </w:pPr>
      <w:r w:rsidRPr="00011B68">
        <w:rPr>
          <w:rFonts w:ascii="Calibri" w:hAnsi="Calibri"/>
          <w:bCs/>
          <w:sz w:val="24"/>
          <w:szCs w:val="24"/>
          <w:rtl/>
        </w:rPr>
        <w:t xml:space="preserve">جنيف، من </w:t>
      </w:r>
      <w:r w:rsidR="00F90DFF" w:rsidRPr="00011B68">
        <w:rPr>
          <w:rFonts w:ascii="Calibri" w:hAnsi="Calibri"/>
          <w:bCs/>
          <w:sz w:val="24"/>
          <w:szCs w:val="24"/>
          <w:rtl/>
        </w:rPr>
        <w:t>21</w:t>
      </w:r>
      <w:r w:rsidRPr="00011B68">
        <w:rPr>
          <w:rFonts w:ascii="Calibri" w:hAnsi="Calibri"/>
          <w:bCs/>
          <w:sz w:val="24"/>
          <w:szCs w:val="24"/>
          <w:rtl/>
        </w:rPr>
        <w:t xml:space="preserve"> إلى </w:t>
      </w:r>
      <w:r w:rsidR="00F90DFF" w:rsidRPr="00011B68">
        <w:rPr>
          <w:rFonts w:ascii="Calibri" w:hAnsi="Calibri"/>
          <w:bCs/>
          <w:sz w:val="24"/>
          <w:szCs w:val="24"/>
          <w:rtl/>
        </w:rPr>
        <w:t>25</w:t>
      </w:r>
      <w:r w:rsidRPr="00011B68">
        <w:rPr>
          <w:rFonts w:ascii="Calibri" w:hAnsi="Calibri"/>
          <w:bCs/>
          <w:sz w:val="24"/>
          <w:szCs w:val="24"/>
          <w:rtl/>
        </w:rPr>
        <w:t xml:space="preserve"> </w:t>
      </w:r>
      <w:r w:rsidR="00FE5D75" w:rsidRPr="00011B68">
        <w:rPr>
          <w:rFonts w:ascii="Calibri" w:hAnsi="Calibri"/>
          <w:bCs/>
          <w:sz w:val="24"/>
          <w:szCs w:val="24"/>
          <w:rtl/>
        </w:rPr>
        <w:t>نوفمبر</w:t>
      </w:r>
      <w:r w:rsidR="00250149" w:rsidRPr="00011B68">
        <w:rPr>
          <w:rFonts w:ascii="Calibri" w:hAnsi="Calibri"/>
          <w:bCs/>
          <w:sz w:val="24"/>
          <w:szCs w:val="24"/>
          <w:rtl/>
        </w:rPr>
        <w:t xml:space="preserve"> </w:t>
      </w:r>
      <w:r w:rsidRPr="00011B68">
        <w:rPr>
          <w:rFonts w:ascii="Calibri" w:hAnsi="Calibri"/>
          <w:bCs/>
          <w:sz w:val="24"/>
          <w:szCs w:val="24"/>
          <w:rtl/>
        </w:rPr>
        <w:t>202</w:t>
      </w:r>
      <w:r w:rsidR="00F90DFF" w:rsidRPr="00011B68">
        <w:rPr>
          <w:rFonts w:ascii="Calibri" w:hAnsi="Calibri"/>
          <w:bCs/>
          <w:sz w:val="24"/>
          <w:szCs w:val="24"/>
          <w:rtl/>
        </w:rPr>
        <w:t>2</w:t>
      </w:r>
    </w:p>
    <w:p w:rsidR="008B2CC1" w:rsidRPr="00011B68" w:rsidRDefault="006B593B" w:rsidP="00011B68">
      <w:pPr>
        <w:spacing w:after="360"/>
        <w:outlineLvl w:val="0"/>
        <w:rPr>
          <w:rFonts w:ascii="Calibri" w:hAnsi="Calibri"/>
          <w:caps/>
          <w:sz w:val="24"/>
        </w:rPr>
      </w:pPr>
      <w:bookmarkStart w:id="4" w:name="TitleOfDoc"/>
      <w:r w:rsidRPr="00011B68">
        <w:rPr>
          <w:rFonts w:ascii="Calibri" w:hAnsi="Calibri"/>
          <w:caps/>
          <w:sz w:val="28"/>
          <w:szCs w:val="24"/>
          <w:rtl/>
        </w:rPr>
        <w:t>الشؤون</w:t>
      </w:r>
      <w:r w:rsidR="000E055B" w:rsidRPr="00011B68">
        <w:rPr>
          <w:rFonts w:ascii="Calibri" w:hAnsi="Calibri"/>
          <w:caps/>
          <w:sz w:val="28"/>
          <w:szCs w:val="24"/>
          <w:rtl/>
        </w:rPr>
        <w:t xml:space="preserve"> التنظيمية والنظام الداخلي الخاص</w:t>
      </w:r>
    </w:p>
    <w:p w:rsidR="002928D3" w:rsidRPr="00011B68" w:rsidRDefault="00D67EAE" w:rsidP="00011B68">
      <w:pPr>
        <w:spacing w:after="1040"/>
        <w:rPr>
          <w:rFonts w:ascii="Calibri" w:hAnsi="Calibri"/>
          <w:rtl/>
          <w:lang w:bidi="ar-MA"/>
        </w:rPr>
      </w:pPr>
      <w:bookmarkStart w:id="5" w:name="Prepared"/>
      <w:bookmarkEnd w:id="4"/>
      <w:bookmarkEnd w:id="5"/>
      <w:r w:rsidRPr="00011B68">
        <w:rPr>
          <w:rFonts w:ascii="Calibri" w:hAnsi="Calibri"/>
          <w:rtl/>
        </w:rPr>
        <w:t>وثيقة من إعداد</w:t>
      </w:r>
      <w:r w:rsidR="000E055B" w:rsidRPr="00011B68">
        <w:rPr>
          <w:rFonts w:ascii="Calibri" w:hAnsi="Calibri"/>
        </w:rPr>
        <w:t xml:space="preserve"> </w:t>
      </w:r>
      <w:r w:rsidR="000E055B" w:rsidRPr="00011B68">
        <w:rPr>
          <w:rFonts w:ascii="Calibri" w:hAnsi="Calibri"/>
          <w:rtl/>
          <w:lang w:bidi="ar-MA"/>
        </w:rPr>
        <w:t>الأمانة</w:t>
      </w:r>
    </w:p>
    <w:p w:rsidR="000E055B" w:rsidRPr="00784757" w:rsidRDefault="000E055B" w:rsidP="00011B68">
      <w:pPr>
        <w:pStyle w:val="Heading2"/>
        <w:rPr>
          <w:rFonts w:ascii="Calibri" w:hAnsi="Calibri"/>
          <w:iCs w:val="0"/>
          <w:sz w:val="24"/>
          <w:szCs w:val="24"/>
          <w:rtl/>
          <w:lang w:bidi="ar-MA"/>
        </w:rPr>
      </w:pPr>
      <w:r w:rsidRPr="00784757">
        <w:rPr>
          <w:rFonts w:ascii="Calibri" w:hAnsi="Calibri"/>
          <w:iCs w:val="0"/>
          <w:sz w:val="24"/>
          <w:szCs w:val="24"/>
          <w:rtl/>
          <w:lang w:bidi="ar-MA"/>
        </w:rPr>
        <w:t>معلومات أساسية</w:t>
      </w:r>
    </w:p>
    <w:p w:rsidR="000E055B" w:rsidRDefault="00F23A41" w:rsidP="00E97A2C">
      <w:pPr>
        <w:pStyle w:val="ListParagraph"/>
        <w:numPr>
          <w:ilvl w:val="0"/>
          <w:numId w:val="9"/>
        </w:numPr>
        <w:spacing w:after="1040"/>
        <w:ind w:left="360"/>
        <w:rPr>
          <w:rFonts w:ascii="Calibri" w:hAnsi="Calibri"/>
          <w:lang w:bidi="ar-MA"/>
        </w:rPr>
      </w:pPr>
      <w:r w:rsidRPr="00011B68">
        <w:rPr>
          <w:rFonts w:ascii="Calibri" w:hAnsi="Calibri"/>
          <w:rtl/>
          <w:lang w:bidi="ar-MA"/>
        </w:rPr>
        <w:t xml:space="preserve">وافقت الجمعية العامة للويبو، في دورتها الثامنة والثلاثين في سبتمبر 2009، على إنشاء اللجنة المعنية بمعايير الويبو (لجنة المعايير). وحلت لجنة المعايير محل الفريق </w:t>
      </w:r>
      <w:r w:rsidR="00F652C6" w:rsidRPr="00011B68">
        <w:rPr>
          <w:rFonts w:ascii="Calibri" w:hAnsi="Calibri"/>
          <w:rtl/>
          <w:lang w:bidi="ar-MA"/>
        </w:rPr>
        <w:t xml:space="preserve">العامل المعني بالمعايير والوثائق </w:t>
      </w:r>
      <w:r w:rsidR="00F652C6" w:rsidRPr="00011B68">
        <w:rPr>
          <w:rFonts w:ascii="Calibri" w:hAnsi="Calibri"/>
          <w:lang w:val="fr-CA" w:bidi="ar-MA"/>
        </w:rPr>
        <w:t>(</w:t>
      </w:r>
      <w:r w:rsidRPr="00011B68">
        <w:rPr>
          <w:rFonts w:ascii="Calibri" w:hAnsi="Calibri"/>
          <w:lang w:bidi="ar-MA"/>
        </w:rPr>
        <w:t>SDWG)</w:t>
      </w:r>
      <w:r w:rsidR="00BA69B8" w:rsidRPr="00011B68">
        <w:rPr>
          <w:rFonts w:ascii="Calibri" w:hAnsi="Calibri"/>
          <w:rtl/>
          <w:lang w:bidi="ar-MA"/>
        </w:rPr>
        <w:t xml:space="preserve"> التابع</w:t>
      </w:r>
      <w:r w:rsidRPr="00011B68">
        <w:rPr>
          <w:rFonts w:ascii="Calibri" w:hAnsi="Calibri"/>
          <w:rtl/>
          <w:lang w:bidi="ar-MA"/>
        </w:rPr>
        <w:t xml:space="preserve"> للجنة الدائمة المعنية بتكن</w:t>
      </w:r>
      <w:r w:rsidR="00F652C6" w:rsidRPr="00011B68">
        <w:rPr>
          <w:rFonts w:ascii="Calibri" w:hAnsi="Calibri"/>
          <w:rtl/>
          <w:lang w:bidi="ar-MA"/>
        </w:rPr>
        <w:t>ولوجيا المعلومات</w:t>
      </w:r>
      <w:r w:rsidR="00F652C6" w:rsidRPr="00011B68">
        <w:rPr>
          <w:rFonts w:ascii="Calibri" w:hAnsi="Calibri"/>
          <w:lang w:bidi="ar-MA"/>
        </w:rPr>
        <w:t>(</w:t>
      </w:r>
      <w:r w:rsidR="00F652C6" w:rsidRPr="00011B68">
        <w:rPr>
          <w:rFonts w:ascii="Calibri" w:hAnsi="Calibri"/>
          <w:lang w:val="fr-CA" w:bidi="ar-MA"/>
        </w:rPr>
        <w:t>SCIT</w:t>
      </w:r>
      <w:r w:rsidR="00F652C6" w:rsidRPr="00011B68">
        <w:rPr>
          <w:rFonts w:ascii="Calibri" w:hAnsi="Calibri"/>
          <w:lang w:bidi="ar-MA"/>
        </w:rPr>
        <w:t xml:space="preserve">) </w:t>
      </w:r>
      <w:r w:rsidR="00F652C6" w:rsidRPr="00011B68">
        <w:rPr>
          <w:rFonts w:ascii="Calibri" w:hAnsi="Calibri"/>
          <w:rtl/>
          <w:lang w:bidi="ar-MA"/>
        </w:rPr>
        <w:t xml:space="preserve">. </w:t>
      </w:r>
      <w:r w:rsidRPr="00011B68">
        <w:rPr>
          <w:rFonts w:ascii="Calibri" w:hAnsi="Calibri"/>
          <w:rtl/>
          <w:lang w:bidi="ar-MA"/>
        </w:rPr>
        <w:t>وينبغي تطبيق أساليب عمل اللجنة الدائمة وإجراءاتها السابقة على لجنة المعايير مع إدخال التغييرات اللازمة والإبقاء على النقاط الرئيسية. ومن حيث المبدأ، من المقرر أن تجتمع لجنة المعايير مرة واحدة في السنة.  (</w:t>
      </w:r>
      <w:r w:rsidR="00936116">
        <w:rPr>
          <w:rFonts w:ascii="Calibri" w:hAnsi="Calibri"/>
          <w:rtl/>
          <w:lang w:bidi="ar-MA"/>
        </w:rPr>
        <w:t>انظر(ي)</w:t>
      </w:r>
      <w:r w:rsidRPr="00011B68">
        <w:rPr>
          <w:rFonts w:ascii="Calibri" w:hAnsi="Calibri"/>
          <w:rtl/>
          <w:lang w:bidi="ar-MA"/>
        </w:rPr>
        <w:t xml:space="preserve"> الوثيقة </w:t>
      </w:r>
      <w:r w:rsidRPr="00011B68">
        <w:rPr>
          <w:rFonts w:ascii="Calibri" w:hAnsi="Calibri"/>
          <w:lang w:bidi="ar-MA"/>
        </w:rPr>
        <w:t>WO/GA/38/10</w:t>
      </w:r>
      <w:r w:rsidRPr="00011B68">
        <w:rPr>
          <w:rFonts w:ascii="Calibri" w:hAnsi="Calibri"/>
          <w:rtl/>
          <w:lang w:bidi="ar-MA"/>
        </w:rPr>
        <w:t xml:space="preserve"> والفقرات من 236 إلى 249 من الوثيقة </w:t>
      </w:r>
      <w:r w:rsidRPr="00011B68">
        <w:rPr>
          <w:rFonts w:ascii="Calibri" w:hAnsi="Calibri"/>
          <w:lang w:bidi="ar-MA"/>
        </w:rPr>
        <w:t>(WO/GA/38/20</w:t>
      </w:r>
      <w:r w:rsidRPr="00011B68">
        <w:rPr>
          <w:rFonts w:ascii="Calibri" w:hAnsi="Calibri"/>
          <w:rtl/>
          <w:lang w:bidi="ar-MA"/>
        </w:rPr>
        <w:t>.</w:t>
      </w:r>
    </w:p>
    <w:p w:rsidR="00D71CEE" w:rsidRPr="00011B68" w:rsidRDefault="00D71CEE" w:rsidP="00D71CEE">
      <w:pPr>
        <w:pStyle w:val="ListParagraph"/>
        <w:spacing w:after="1040"/>
        <w:rPr>
          <w:rFonts w:ascii="Calibri" w:hAnsi="Calibri"/>
          <w:lang w:bidi="ar-MA"/>
        </w:rPr>
      </w:pPr>
    </w:p>
    <w:p w:rsidR="00CE5BE7" w:rsidRDefault="00CE5BE7" w:rsidP="00E97A2C">
      <w:pPr>
        <w:pStyle w:val="ListParagraph"/>
        <w:numPr>
          <w:ilvl w:val="0"/>
          <w:numId w:val="9"/>
        </w:numPr>
        <w:spacing w:after="1040"/>
        <w:ind w:left="360"/>
        <w:rPr>
          <w:rFonts w:ascii="Calibri" w:hAnsi="Calibri"/>
          <w:lang w:bidi="ar-MA"/>
        </w:rPr>
      </w:pPr>
      <w:r w:rsidRPr="00011B68">
        <w:rPr>
          <w:rFonts w:ascii="Calibri" w:hAnsi="Calibri"/>
          <w:rtl/>
          <w:lang w:bidi="ar-MA"/>
        </w:rPr>
        <w:t>وأوضحت الجمعية العامة للويبو، في دورتها الأربعين في سبتمبر 2011، ولاية لجنة المعايير (</w:t>
      </w:r>
      <w:r w:rsidR="00936116">
        <w:rPr>
          <w:rFonts w:ascii="Calibri" w:hAnsi="Calibri"/>
          <w:rtl/>
          <w:lang w:bidi="ar-MA"/>
        </w:rPr>
        <w:t>انظر(ي)</w:t>
      </w:r>
      <w:r w:rsidRPr="00011B68">
        <w:rPr>
          <w:rFonts w:ascii="Calibri" w:hAnsi="Calibri"/>
          <w:rtl/>
          <w:lang w:bidi="ar-MA"/>
        </w:rPr>
        <w:t xml:space="preserve"> الوثيقة </w:t>
      </w:r>
      <w:r w:rsidRPr="00011B68">
        <w:rPr>
          <w:rFonts w:ascii="Calibri" w:hAnsi="Calibri"/>
          <w:lang w:bidi="ar-MA"/>
        </w:rPr>
        <w:t>WO/GA/40/17</w:t>
      </w:r>
      <w:r w:rsidR="00B940DB" w:rsidRPr="00011B68">
        <w:rPr>
          <w:rFonts w:ascii="Calibri" w:hAnsi="Calibri"/>
          <w:rtl/>
          <w:lang w:bidi="ar-MA"/>
        </w:rPr>
        <w:t>)</w:t>
      </w:r>
      <w:r w:rsidRPr="00011B68">
        <w:rPr>
          <w:rFonts w:ascii="Calibri" w:hAnsi="Calibri"/>
          <w:lang w:bidi="ar-MA"/>
        </w:rPr>
        <w:t xml:space="preserve"> </w:t>
      </w:r>
      <w:r w:rsidRPr="00011B68">
        <w:rPr>
          <w:rFonts w:ascii="Calibri" w:hAnsi="Calibri"/>
          <w:rtl/>
          <w:lang w:bidi="ar-MA"/>
        </w:rPr>
        <w:t>على النحو التالي:</w:t>
      </w:r>
    </w:p>
    <w:p w:rsidR="00E97A2C" w:rsidRPr="00011B68" w:rsidRDefault="00E97A2C" w:rsidP="00E97A2C">
      <w:pPr>
        <w:pStyle w:val="ListParagraph"/>
        <w:spacing w:after="1040"/>
        <w:ind w:left="360"/>
        <w:rPr>
          <w:rFonts w:ascii="Calibri" w:hAnsi="Calibri"/>
          <w:lang w:bidi="ar-MA"/>
        </w:rPr>
      </w:pPr>
    </w:p>
    <w:p w:rsidR="00CE5BE7" w:rsidRDefault="00FA723B" w:rsidP="00936116">
      <w:pPr>
        <w:pStyle w:val="ListParagraph"/>
        <w:rPr>
          <w:rFonts w:ascii="Calibri" w:hAnsi="Calibri"/>
        </w:rPr>
      </w:pPr>
      <w:r w:rsidRPr="00011B68">
        <w:rPr>
          <w:rFonts w:ascii="Calibri" w:hAnsi="Calibri"/>
          <w:rtl/>
        </w:rPr>
        <w:t>"</w:t>
      </w:r>
      <w:r w:rsidR="00CE5BE7" w:rsidRPr="00011B68">
        <w:rPr>
          <w:rFonts w:ascii="Calibri" w:hAnsi="Calibri"/>
          <w:rtl/>
        </w:rPr>
        <w:t>أكّدت الجمعية العامة للويبو قرارها وأوضحته فيما يتعلق بإنشاء ا</w:t>
      </w:r>
      <w:r w:rsidRPr="00011B68">
        <w:rPr>
          <w:rFonts w:ascii="Calibri" w:hAnsi="Calibri"/>
          <w:rtl/>
        </w:rPr>
        <w:t xml:space="preserve">للجنة المعنية بمعايير الويبو </w:t>
      </w:r>
      <w:r w:rsidR="00B940DB" w:rsidRPr="00011B68">
        <w:rPr>
          <w:rFonts w:ascii="Calibri" w:hAnsi="Calibri"/>
          <w:rtl/>
        </w:rPr>
        <w:t xml:space="preserve">("اللجنة") </w:t>
      </w:r>
      <w:r w:rsidR="00CE5BE7" w:rsidRPr="00011B68">
        <w:rPr>
          <w:rFonts w:ascii="Calibri" w:hAnsi="Calibri"/>
          <w:rtl/>
        </w:rPr>
        <w:t xml:space="preserve">وولايتها </w:t>
      </w:r>
      <w:r w:rsidRPr="00011B68">
        <w:rPr>
          <w:rFonts w:ascii="Calibri" w:hAnsi="Calibri"/>
          <w:rtl/>
        </w:rPr>
        <w:t>في دورتها الثامنة والثلاثين في عام</w:t>
      </w:r>
      <w:r w:rsidR="00CE5BE7" w:rsidRPr="00011B68">
        <w:rPr>
          <w:rFonts w:ascii="Calibri" w:hAnsi="Calibri"/>
          <w:rtl/>
        </w:rPr>
        <w:t xml:space="preserve"> 2009، كما ورد نصّه في الفقرة 249 من الوثيقة </w:t>
      </w:r>
      <w:r w:rsidR="00CE5BE7" w:rsidRPr="00011B68">
        <w:rPr>
          <w:rFonts w:ascii="Calibri" w:hAnsi="Calibri"/>
        </w:rPr>
        <w:t>WO/GA/38/20</w:t>
      </w:r>
      <w:r w:rsidR="00CE5BE7" w:rsidRPr="00011B68">
        <w:rPr>
          <w:rFonts w:ascii="Calibri" w:hAnsi="Calibri"/>
          <w:rtl/>
        </w:rPr>
        <w:t>. وأكّدت الجمعية العامة للويبو وأوضحت أن الولاية الأساسية هي تلك الواردة في الفقرات من</w:t>
      </w:r>
      <w:r w:rsidR="00CE5BE7" w:rsidRPr="00011B68">
        <w:rPr>
          <w:rFonts w:ascii="Calibri" w:hAnsi="Calibri"/>
        </w:rPr>
        <w:t> </w:t>
      </w:r>
      <w:r w:rsidR="00CE5BE7" w:rsidRPr="00011B68">
        <w:rPr>
          <w:rFonts w:ascii="Calibri" w:hAnsi="Calibri"/>
          <w:rtl/>
        </w:rPr>
        <w:t>11 إلى</w:t>
      </w:r>
      <w:r w:rsidR="00CE5BE7" w:rsidRPr="00011B68">
        <w:rPr>
          <w:rFonts w:ascii="Calibri" w:hAnsi="Calibri"/>
        </w:rPr>
        <w:t> </w:t>
      </w:r>
      <w:r w:rsidR="00CE5BE7" w:rsidRPr="00011B68">
        <w:rPr>
          <w:rFonts w:ascii="Calibri" w:hAnsi="Calibri"/>
          <w:rtl/>
        </w:rPr>
        <w:t xml:space="preserve">16 من الوثيقة </w:t>
      </w:r>
      <w:r w:rsidR="00CE5BE7" w:rsidRPr="00011B68">
        <w:rPr>
          <w:rFonts w:ascii="Calibri" w:hAnsi="Calibri"/>
        </w:rPr>
        <w:t>WO/GA/38/10</w:t>
      </w:r>
      <w:r w:rsidRPr="00011B68">
        <w:rPr>
          <w:rFonts w:ascii="Calibri" w:hAnsi="Calibri"/>
          <w:rtl/>
        </w:rPr>
        <w:t>، واتفقت أيضاً</w:t>
      </w:r>
      <w:r w:rsidR="00CE5BE7" w:rsidRPr="00011B68">
        <w:rPr>
          <w:rFonts w:ascii="Calibri" w:hAnsi="Calibri"/>
          <w:rtl/>
        </w:rPr>
        <w:t xml:space="preserve"> على أن تسعى الأمانة، بناء على طلب من الدول الأعضاء، إلى إسداء المشورة وتقديم المساعدة التقنية لتكوين الكفاءات لفائدة مكات</w:t>
      </w:r>
      <w:r w:rsidRPr="00011B68">
        <w:rPr>
          <w:rFonts w:ascii="Calibri" w:hAnsi="Calibri"/>
          <w:rtl/>
        </w:rPr>
        <w:t xml:space="preserve">ب الملكية الفكرية </w:t>
      </w:r>
      <w:r w:rsidR="00B940DB" w:rsidRPr="00011B68">
        <w:rPr>
          <w:rFonts w:ascii="Calibri" w:hAnsi="Calibri"/>
          <w:rtl/>
        </w:rPr>
        <w:t xml:space="preserve">بإنجاز مشروعات </w:t>
      </w:r>
      <w:r w:rsidR="00CE5BE7" w:rsidRPr="00011B68">
        <w:rPr>
          <w:rFonts w:ascii="Calibri" w:hAnsi="Calibri"/>
          <w:rtl/>
        </w:rPr>
        <w:t>لتعميم المعلومات المتعلقة بمعايير الملكية الفكرية. وستقدّم الأمانة بصورة دورية تقارير كتابية إلى اللجنة عن تفاصيل تلك الأنشطة، وعن أية أنشطة أخرى في مجال المساعدة التقنية وتكوين الكفاءات التي تنجزها فيما يتصل بولايتها، وستقدمها أيضا إلى الجمعية العامة للويبو. وسعيا</w:t>
      </w:r>
      <w:r w:rsidRPr="00011B68">
        <w:rPr>
          <w:rFonts w:ascii="Calibri" w:hAnsi="Calibri"/>
          <w:rtl/>
        </w:rPr>
        <w:t>ً</w:t>
      </w:r>
      <w:r w:rsidR="00CE5BE7" w:rsidRPr="00011B68">
        <w:rPr>
          <w:rFonts w:ascii="Calibri" w:hAnsi="Calibri"/>
          <w:rtl/>
        </w:rPr>
        <w:t xml:space="preserve"> إلى التشجيع على مشاركة الخبراء التقنيين من البلدان النامية والبلدان الأقل نموا وتسهيل مشاركتهم في اجتماعات اللجنة، قرّرت الجمعية العامة للويبو أيضا أن توسّع الأمانة نطاق المساعدة المالية لكي تشمل مشاركة البلدان الأقل نموا والبلدان النامية،</w:t>
      </w:r>
      <w:r w:rsidR="00936116">
        <w:rPr>
          <w:rFonts w:ascii="Calibri" w:hAnsi="Calibri"/>
          <w:rtl/>
        </w:rPr>
        <w:t xml:space="preserve"> في حدود موارد الميزانية القائم</w:t>
      </w:r>
      <w:r w:rsidR="00936116">
        <w:rPr>
          <w:rFonts w:ascii="Calibri" w:hAnsi="Calibri" w:hint="cs"/>
          <w:rtl/>
        </w:rPr>
        <w:t>ة. (</w:t>
      </w:r>
      <w:r w:rsidR="00936116">
        <w:rPr>
          <w:rFonts w:ascii="Calibri" w:hAnsi="Calibri"/>
          <w:rtl/>
          <w:lang w:bidi="ar-MA"/>
        </w:rPr>
        <w:t>انظر(ي)</w:t>
      </w:r>
      <w:r w:rsidR="00BE448F" w:rsidRPr="00011B68">
        <w:rPr>
          <w:rFonts w:ascii="Calibri" w:hAnsi="Calibri"/>
          <w:rtl/>
          <w:lang w:bidi="ar-MA"/>
        </w:rPr>
        <w:t xml:space="preserve"> الفقرات من 182 إلى 190 من الوثيقة </w:t>
      </w:r>
      <w:r w:rsidR="00BE448F" w:rsidRPr="00011B68">
        <w:rPr>
          <w:rFonts w:ascii="Calibri" w:hAnsi="Calibri"/>
          <w:lang w:val="fr-CA" w:bidi="ar-MA"/>
        </w:rPr>
        <w:t>(</w:t>
      </w:r>
      <w:r w:rsidR="006A3BC9" w:rsidRPr="00011B68">
        <w:rPr>
          <w:rFonts w:ascii="Calibri" w:hAnsi="Calibri"/>
          <w:color w:val="000000"/>
        </w:rPr>
        <w:t>WO/GA/40/19</w:t>
      </w:r>
      <w:r w:rsidR="00BE448F" w:rsidRPr="00011B68">
        <w:rPr>
          <w:rFonts w:ascii="Calibri" w:hAnsi="Calibri"/>
          <w:rtl/>
        </w:rPr>
        <w:t>.</w:t>
      </w:r>
    </w:p>
    <w:p w:rsidR="00D71CEE" w:rsidRPr="00011B68" w:rsidRDefault="00D71CEE" w:rsidP="00011B68">
      <w:pPr>
        <w:pStyle w:val="ListParagraph"/>
        <w:rPr>
          <w:rFonts w:ascii="Calibri" w:hAnsi="Calibri"/>
          <w:lang w:val="fr-CA" w:bidi="ar-MA"/>
        </w:rPr>
      </w:pPr>
    </w:p>
    <w:p w:rsidR="00CE5BE7" w:rsidRDefault="00384788" w:rsidP="00E97A2C">
      <w:pPr>
        <w:pStyle w:val="ListParagraph"/>
        <w:numPr>
          <w:ilvl w:val="0"/>
          <w:numId w:val="9"/>
        </w:numPr>
        <w:spacing w:after="1040"/>
        <w:ind w:left="360"/>
        <w:rPr>
          <w:rFonts w:ascii="Calibri" w:hAnsi="Calibri"/>
          <w:lang w:bidi="ar-MA"/>
        </w:rPr>
      </w:pPr>
      <w:r w:rsidRPr="00011B68">
        <w:rPr>
          <w:rFonts w:ascii="Calibri" w:hAnsi="Calibri"/>
          <w:rtl/>
          <w:lang w:bidi="ar-MA"/>
        </w:rPr>
        <w:t>ونظرت لجنة المعايير عندما اجتمعت في دورتيها الأولى والثانية في عامي 2010</w:t>
      </w:r>
      <w:r w:rsidR="006A3BC9" w:rsidRPr="00011B68">
        <w:rPr>
          <w:rFonts w:ascii="Calibri" w:hAnsi="Calibri"/>
          <w:rtl/>
          <w:lang w:bidi="ar-MA"/>
        </w:rPr>
        <w:t xml:space="preserve"> و2011، في اقتراحات تتعلق</w:t>
      </w:r>
      <w:r w:rsidR="00BE448F" w:rsidRPr="00011B68">
        <w:rPr>
          <w:rFonts w:ascii="Calibri" w:hAnsi="Calibri"/>
          <w:rtl/>
          <w:lang w:bidi="ar-MA"/>
        </w:rPr>
        <w:t xml:space="preserve"> </w:t>
      </w:r>
      <w:r w:rsidR="006A3BC9" w:rsidRPr="00011B68">
        <w:rPr>
          <w:rFonts w:ascii="Calibri" w:hAnsi="Calibri"/>
          <w:rtl/>
          <w:lang w:bidi="ar-MA"/>
        </w:rPr>
        <w:t>ب</w:t>
      </w:r>
      <w:r w:rsidR="00BE448F" w:rsidRPr="00011B68">
        <w:rPr>
          <w:rFonts w:ascii="Calibri" w:hAnsi="Calibri"/>
          <w:rtl/>
          <w:lang w:bidi="ar-MA"/>
        </w:rPr>
        <w:t>الشؤون</w:t>
      </w:r>
      <w:r w:rsidRPr="00011B68">
        <w:rPr>
          <w:rFonts w:ascii="Calibri" w:hAnsi="Calibri"/>
          <w:rtl/>
          <w:lang w:bidi="ar-MA"/>
        </w:rPr>
        <w:t xml:space="preserve"> التنظيمية والنظام الداخلي الخاص، بما في ذلك ولايتها</w:t>
      </w:r>
      <w:r w:rsidR="00BE448F" w:rsidRPr="00011B68">
        <w:rPr>
          <w:rFonts w:ascii="Calibri" w:hAnsi="Calibri"/>
          <w:rtl/>
          <w:lang w:bidi="ar-MA"/>
        </w:rPr>
        <w:t>، كما هي واردة في مرفق الوثيقة</w:t>
      </w:r>
      <w:r w:rsidRPr="00011B68">
        <w:rPr>
          <w:rFonts w:ascii="Calibri" w:hAnsi="Calibri"/>
          <w:rtl/>
          <w:lang w:bidi="ar-MA"/>
        </w:rPr>
        <w:t xml:space="preserve"> </w:t>
      </w:r>
      <w:r w:rsidRPr="00011B68">
        <w:rPr>
          <w:rFonts w:ascii="Calibri" w:hAnsi="Calibri"/>
          <w:lang w:bidi="ar-MA"/>
        </w:rPr>
        <w:t>CWS/1/2</w:t>
      </w:r>
      <w:r w:rsidRPr="00011B68">
        <w:rPr>
          <w:rFonts w:ascii="Calibri" w:hAnsi="Calibri"/>
          <w:rtl/>
          <w:lang w:bidi="ar-MA"/>
        </w:rPr>
        <w:t xml:space="preserve"> و</w:t>
      </w:r>
      <w:r w:rsidR="00BE448F" w:rsidRPr="00011B68">
        <w:rPr>
          <w:rFonts w:ascii="Calibri" w:hAnsi="Calibri"/>
          <w:rtl/>
          <w:lang w:bidi="ar-MA"/>
        </w:rPr>
        <w:t xml:space="preserve">الوثيقة </w:t>
      </w:r>
      <w:r w:rsidRPr="00011B68">
        <w:rPr>
          <w:rFonts w:ascii="Calibri" w:hAnsi="Calibri"/>
          <w:lang w:bidi="ar-MA"/>
        </w:rPr>
        <w:t>CWS/2/2</w:t>
      </w:r>
      <w:r w:rsidR="00BE448F" w:rsidRPr="00011B68">
        <w:rPr>
          <w:rFonts w:ascii="Calibri" w:hAnsi="Calibri"/>
          <w:rtl/>
          <w:lang w:bidi="ar-MA"/>
        </w:rPr>
        <w:t>.</w:t>
      </w:r>
      <w:r w:rsidRPr="00011B68">
        <w:rPr>
          <w:rFonts w:ascii="Calibri" w:hAnsi="Calibri"/>
          <w:lang w:bidi="ar-MA"/>
        </w:rPr>
        <w:t xml:space="preserve"> </w:t>
      </w:r>
      <w:r w:rsidR="00BE448F" w:rsidRPr="00011B68">
        <w:rPr>
          <w:rFonts w:ascii="Calibri" w:hAnsi="Calibri"/>
          <w:rtl/>
          <w:lang w:bidi="ar-MA"/>
        </w:rPr>
        <w:t>وبالنظر إلى عدم اعتماد</w:t>
      </w:r>
      <w:r w:rsidRPr="00011B68">
        <w:rPr>
          <w:rFonts w:ascii="Calibri" w:hAnsi="Calibri"/>
          <w:rtl/>
          <w:lang w:bidi="ar-MA"/>
        </w:rPr>
        <w:t xml:space="preserve"> الشؤون التنظيمية والنظام الداخلي الخاص</w:t>
      </w:r>
      <w:r w:rsidR="00244B46" w:rsidRPr="00011B68">
        <w:rPr>
          <w:rFonts w:ascii="Calibri" w:hAnsi="Calibri"/>
          <w:rtl/>
          <w:lang w:bidi="ar-MA"/>
        </w:rPr>
        <w:t>، أدّت</w:t>
      </w:r>
      <w:r w:rsidRPr="00011B68">
        <w:rPr>
          <w:rFonts w:ascii="Calibri" w:hAnsi="Calibri"/>
          <w:rtl/>
          <w:lang w:bidi="ar-MA"/>
        </w:rPr>
        <w:t xml:space="preserve"> لجنة المعايير </w:t>
      </w:r>
      <w:r w:rsidR="00244B46" w:rsidRPr="00011B68">
        <w:rPr>
          <w:rFonts w:ascii="Calibri" w:hAnsi="Calibri"/>
          <w:rtl/>
          <w:lang w:bidi="ar-MA"/>
        </w:rPr>
        <w:t xml:space="preserve">عملها </w:t>
      </w:r>
      <w:r w:rsidRPr="00011B68">
        <w:rPr>
          <w:rFonts w:ascii="Calibri" w:hAnsi="Calibri"/>
          <w:rtl/>
          <w:lang w:bidi="ar-MA"/>
        </w:rPr>
        <w:t xml:space="preserve">على أساس النظام الداخلي </w:t>
      </w:r>
      <w:r w:rsidR="00936116">
        <w:rPr>
          <w:rFonts w:ascii="Calibri" w:hAnsi="Calibri"/>
          <w:rtl/>
          <w:lang w:bidi="ar-MA"/>
        </w:rPr>
        <w:t>العام للوي</w:t>
      </w:r>
      <w:r w:rsidR="00CF7EBA" w:rsidRPr="00011B68">
        <w:rPr>
          <w:rFonts w:ascii="Calibri" w:hAnsi="Calibri"/>
          <w:rtl/>
          <w:lang w:bidi="ar-MA"/>
        </w:rPr>
        <w:t>و</w:t>
      </w:r>
      <w:r w:rsidR="00936116">
        <w:rPr>
          <w:rFonts w:ascii="Calibri" w:hAnsi="Calibri" w:hint="cs"/>
          <w:rtl/>
          <w:lang w:bidi="ar-EG"/>
        </w:rPr>
        <w:t xml:space="preserve"> (</w:t>
      </w:r>
      <w:r w:rsidR="00936116">
        <w:rPr>
          <w:rFonts w:ascii="Calibri" w:hAnsi="Calibri"/>
          <w:lang w:bidi="ar-EG"/>
        </w:rPr>
        <w:t>GRP</w:t>
      </w:r>
      <w:r w:rsidR="00936116">
        <w:rPr>
          <w:rFonts w:ascii="Calibri" w:hAnsi="Calibri" w:hint="cs"/>
          <w:rtl/>
          <w:lang w:bidi="ar-EG"/>
        </w:rPr>
        <w:t xml:space="preserve">) </w:t>
      </w:r>
      <w:r w:rsidR="00936116">
        <w:rPr>
          <w:rFonts w:ascii="Calibri" w:hAnsi="Calibri" w:hint="cs"/>
          <w:rtl/>
          <w:lang w:bidi="ar-EG"/>
        </w:rPr>
        <w:lastRenderedPageBreak/>
        <w:t>و</w:t>
      </w:r>
      <w:r w:rsidR="00CF7EBA" w:rsidRPr="00011B68">
        <w:rPr>
          <w:rFonts w:ascii="Calibri" w:hAnsi="Calibri"/>
          <w:rtl/>
          <w:lang w:bidi="ar-MA"/>
        </w:rPr>
        <w:t>ممارسات</w:t>
      </w:r>
      <w:r w:rsidRPr="00011B68">
        <w:rPr>
          <w:rFonts w:ascii="Calibri" w:hAnsi="Calibri"/>
          <w:rtl/>
          <w:lang w:bidi="ar-MA"/>
        </w:rPr>
        <w:t xml:space="preserve"> اللجنة الدائمة المعنية بتكنولوجيا المعلوم</w:t>
      </w:r>
      <w:r w:rsidR="00FC18EE" w:rsidRPr="00011B68">
        <w:rPr>
          <w:rFonts w:ascii="Calibri" w:hAnsi="Calibri"/>
          <w:rtl/>
          <w:lang w:bidi="ar-MA"/>
        </w:rPr>
        <w:t>ات السابقة والفريق العامل</w:t>
      </w:r>
      <w:r w:rsidRPr="00011B68">
        <w:rPr>
          <w:rFonts w:ascii="Calibri" w:hAnsi="Calibri"/>
          <w:rtl/>
          <w:lang w:bidi="ar-MA"/>
        </w:rPr>
        <w:t xml:space="preserve"> المعني بالمعايير والوثائق</w:t>
      </w:r>
      <w:r w:rsidR="00FC18EE" w:rsidRPr="00011B68">
        <w:rPr>
          <w:rFonts w:ascii="Calibri" w:hAnsi="Calibri"/>
          <w:rtl/>
          <w:lang w:bidi="ar-MA"/>
        </w:rPr>
        <w:t xml:space="preserve"> السابق</w:t>
      </w:r>
      <w:r w:rsidRPr="00011B68">
        <w:rPr>
          <w:rFonts w:ascii="Calibri" w:hAnsi="Calibri"/>
          <w:rtl/>
          <w:lang w:bidi="ar-MA"/>
        </w:rPr>
        <w:t xml:space="preserve"> (</w:t>
      </w:r>
      <w:r w:rsidR="00936116">
        <w:rPr>
          <w:rFonts w:ascii="Calibri" w:hAnsi="Calibri"/>
          <w:rtl/>
          <w:lang w:bidi="ar-MA"/>
        </w:rPr>
        <w:t>انظر(ي)</w:t>
      </w:r>
      <w:r w:rsidRPr="00011B68">
        <w:rPr>
          <w:rFonts w:ascii="Calibri" w:hAnsi="Calibri"/>
          <w:rtl/>
          <w:lang w:bidi="ar-MA"/>
        </w:rPr>
        <w:t xml:space="preserve"> الفقرة 15 من الوثيقة </w:t>
      </w:r>
      <w:r w:rsidR="00244B46" w:rsidRPr="00011B68">
        <w:rPr>
          <w:rFonts w:ascii="Calibri" w:hAnsi="Calibri"/>
          <w:lang w:val="fr-CA" w:bidi="ar-MA"/>
        </w:rPr>
        <w:t>(</w:t>
      </w:r>
      <w:r w:rsidRPr="00011B68">
        <w:rPr>
          <w:rFonts w:ascii="Calibri" w:hAnsi="Calibri"/>
          <w:lang w:bidi="ar-MA"/>
        </w:rPr>
        <w:t>CWS/2/14</w:t>
      </w:r>
      <w:r w:rsidR="00244B46" w:rsidRPr="00011B68">
        <w:rPr>
          <w:rFonts w:ascii="Calibri" w:hAnsi="Calibri"/>
          <w:rtl/>
          <w:lang w:bidi="ar-MA"/>
        </w:rPr>
        <w:t>.</w:t>
      </w:r>
    </w:p>
    <w:p w:rsidR="00D71CEE" w:rsidRPr="00011B68" w:rsidRDefault="00D71CEE" w:rsidP="00D71CEE">
      <w:pPr>
        <w:pStyle w:val="ListParagraph"/>
        <w:spacing w:after="1040"/>
        <w:rPr>
          <w:rFonts w:ascii="Calibri" w:hAnsi="Calibri"/>
          <w:lang w:bidi="ar-MA"/>
        </w:rPr>
      </w:pPr>
    </w:p>
    <w:p w:rsidR="00CE5BE7" w:rsidRDefault="00CF7EBA" w:rsidP="00E97A2C">
      <w:pPr>
        <w:pStyle w:val="ListParagraph"/>
        <w:numPr>
          <w:ilvl w:val="0"/>
          <w:numId w:val="9"/>
        </w:numPr>
        <w:ind w:left="360"/>
        <w:rPr>
          <w:rFonts w:ascii="Calibri" w:hAnsi="Calibri"/>
          <w:lang w:bidi="ar-MA"/>
        </w:rPr>
      </w:pPr>
      <w:r w:rsidRPr="00011B68">
        <w:rPr>
          <w:rFonts w:ascii="Calibri" w:hAnsi="Calibri"/>
          <w:rtl/>
          <w:lang w:bidi="ar-MA"/>
        </w:rPr>
        <w:t xml:space="preserve">ويقدم </w:t>
      </w:r>
      <w:hyperlink r:id="rId12" w:history="1">
        <w:r w:rsidRPr="00BC28B0">
          <w:rPr>
            <w:rStyle w:val="Hyperlink"/>
            <w:rFonts w:ascii="Calibri" w:hAnsi="Calibri"/>
            <w:rtl/>
            <w:lang w:bidi="ar-MA"/>
          </w:rPr>
          <w:t>التقرير المتعلق بتقييم لجان الويبو الدائمة الذي أعد</w:t>
        </w:r>
        <w:r w:rsidR="00244B46" w:rsidRPr="00BC28B0">
          <w:rPr>
            <w:rStyle w:val="Hyperlink"/>
            <w:rFonts w:ascii="Calibri" w:hAnsi="Calibri"/>
            <w:rtl/>
            <w:lang w:bidi="ar-MA"/>
          </w:rPr>
          <w:t>ّ</w:t>
        </w:r>
        <w:r w:rsidRPr="00BC28B0">
          <w:rPr>
            <w:rStyle w:val="Hyperlink"/>
            <w:rFonts w:ascii="Calibri" w:hAnsi="Calibri"/>
            <w:rtl/>
            <w:lang w:bidi="ar-MA"/>
          </w:rPr>
          <w:t>ته شعبة ا</w:t>
        </w:r>
        <w:r w:rsidR="009D2227" w:rsidRPr="00BC28B0">
          <w:rPr>
            <w:rStyle w:val="Hyperlink"/>
            <w:rFonts w:ascii="Calibri" w:hAnsi="Calibri"/>
            <w:rtl/>
            <w:lang w:bidi="ar-MA"/>
          </w:rPr>
          <w:t>لرقابة الداخلية</w:t>
        </w:r>
      </w:hyperlink>
      <w:r w:rsidR="009D2227" w:rsidRPr="00011B68">
        <w:rPr>
          <w:rFonts w:ascii="Calibri" w:hAnsi="Calibri"/>
          <w:rtl/>
          <w:lang w:bidi="ar-MA"/>
        </w:rPr>
        <w:t xml:space="preserve"> ست توصيات، ويرد في</w:t>
      </w:r>
      <w:r w:rsidRPr="00011B68">
        <w:rPr>
          <w:rFonts w:ascii="Calibri" w:hAnsi="Calibri"/>
          <w:rtl/>
          <w:lang w:bidi="ar-MA"/>
        </w:rPr>
        <w:t xml:space="preserve"> التوصية الثانية "تجميع إجراءات اللجان الدائمة بصفتها وس</w:t>
      </w:r>
      <w:r w:rsidR="009D2227" w:rsidRPr="00011B68">
        <w:rPr>
          <w:rFonts w:ascii="Calibri" w:hAnsi="Calibri"/>
          <w:rtl/>
          <w:lang w:bidi="ar-MA"/>
        </w:rPr>
        <w:t xml:space="preserve">يلة لتوضيح الأدوار والعمليات". </w:t>
      </w:r>
      <w:r w:rsidR="00FC18EE" w:rsidRPr="00011B68">
        <w:rPr>
          <w:rFonts w:ascii="Calibri" w:hAnsi="Calibri"/>
          <w:rtl/>
          <w:lang w:bidi="ar-MA"/>
        </w:rPr>
        <w:t>بيد أنه ليست هناك</w:t>
      </w:r>
      <w:r w:rsidRPr="00011B68">
        <w:rPr>
          <w:rFonts w:ascii="Calibri" w:hAnsi="Calibri"/>
          <w:rtl/>
          <w:lang w:bidi="ar-MA"/>
        </w:rPr>
        <w:t xml:space="preserve"> وثائق واضحة</w:t>
      </w:r>
      <w:r w:rsidR="00FC18EE" w:rsidRPr="00011B68">
        <w:rPr>
          <w:rFonts w:ascii="Calibri" w:hAnsi="Calibri"/>
          <w:rtl/>
          <w:lang w:bidi="ar-MA"/>
        </w:rPr>
        <w:t xml:space="preserve"> متاحة للدول الأعضاء والمراقبين</w:t>
      </w:r>
      <w:r w:rsidRPr="00011B68">
        <w:rPr>
          <w:rFonts w:ascii="Calibri" w:hAnsi="Calibri"/>
          <w:rtl/>
          <w:lang w:bidi="ar-MA"/>
        </w:rPr>
        <w:t xml:space="preserve"> بشأن الشؤون التنظيمية للجنة وإجراءاتها.</w:t>
      </w:r>
    </w:p>
    <w:p w:rsidR="00D71CEE" w:rsidRPr="00011B68" w:rsidRDefault="00D71CEE" w:rsidP="00D71CEE">
      <w:pPr>
        <w:pStyle w:val="ListParagraph"/>
        <w:rPr>
          <w:rFonts w:ascii="Calibri" w:hAnsi="Calibri"/>
          <w:lang w:bidi="ar-MA"/>
        </w:rPr>
      </w:pPr>
    </w:p>
    <w:p w:rsidR="00CF7EBA" w:rsidRPr="00784757" w:rsidRDefault="00CF7EBA" w:rsidP="00D71CEE">
      <w:pPr>
        <w:pStyle w:val="Heading2"/>
        <w:spacing w:before="0"/>
        <w:rPr>
          <w:rFonts w:ascii="Calibri" w:hAnsi="Calibri"/>
          <w:iCs w:val="0"/>
          <w:sz w:val="24"/>
          <w:szCs w:val="24"/>
          <w:lang w:bidi="ar-MA"/>
        </w:rPr>
      </w:pPr>
      <w:r w:rsidRPr="00784757">
        <w:rPr>
          <w:rFonts w:ascii="Calibri" w:hAnsi="Calibri"/>
          <w:iCs w:val="0"/>
          <w:sz w:val="24"/>
          <w:szCs w:val="24"/>
          <w:rtl/>
          <w:lang w:bidi="ar-MA"/>
        </w:rPr>
        <w:t>اقتراح بشأن الشؤون التنظيمية والنظام الداخلي الخاص</w:t>
      </w:r>
    </w:p>
    <w:p w:rsidR="00CE5BE7" w:rsidRDefault="007060E5" w:rsidP="00E97A2C">
      <w:pPr>
        <w:pStyle w:val="ListParagraph"/>
        <w:numPr>
          <w:ilvl w:val="0"/>
          <w:numId w:val="9"/>
        </w:numPr>
        <w:spacing w:after="1040"/>
        <w:ind w:left="360"/>
        <w:rPr>
          <w:rFonts w:ascii="Calibri" w:hAnsi="Calibri"/>
          <w:lang w:bidi="ar-MA"/>
        </w:rPr>
      </w:pPr>
      <w:r w:rsidRPr="00011B68">
        <w:rPr>
          <w:rFonts w:ascii="Calibri" w:hAnsi="Calibri"/>
          <w:rtl/>
          <w:lang w:bidi="ar-MA"/>
        </w:rPr>
        <w:t xml:space="preserve">على الرغم من </w:t>
      </w:r>
      <w:r w:rsidR="005F7A4E" w:rsidRPr="00011B68">
        <w:rPr>
          <w:rFonts w:ascii="Calibri" w:hAnsi="Calibri"/>
          <w:rtl/>
          <w:lang w:bidi="ar-MA"/>
        </w:rPr>
        <w:t xml:space="preserve">أن النظام الداخلي العام للويبو </w:t>
      </w:r>
      <w:r w:rsidR="005F7A4E" w:rsidRPr="00011B68">
        <w:rPr>
          <w:rFonts w:ascii="Calibri" w:hAnsi="Calibri"/>
          <w:lang w:bidi="ar-MA"/>
        </w:rPr>
        <w:t>(</w:t>
      </w:r>
      <w:r w:rsidR="005F7A4E" w:rsidRPr="00011B68">
        <w:rPr>
          <w:rFonts w:ascii="Calibri" w:hAnsi="Calibri"/>
          <w:lang w:val="en-CA" w:bidi="ar-MA"/>
        </w:rPr>
        <w:t>GRP</w:t>
      </w:r>
      <w:r w:rsidR="005F7A4E" w:rsidRPr="00011B68">
        <w:rPr>
          <w:rFonts w:ascii="Calibri" w:hAnsi="Calibri"/>
          <w:lang w:bidi="ar-MA"/>
        </w:rPr>
        <w:t>)</w:t>
      </w:r>
      <w:r w:rsidR="005F7A4E" w:rsidRPr="00011B68">
        <w:rPr>
          <w:rFonts w:ascii="Calibri" w:hAnsi="Calibri"/>
          <w:rtl/>
          <w:lang w:bidi="ar-MA"/>
        </w:rPr>
        <w:t xml:space="preserve"> </w:t>
      </w:r>
      <w:r w:rsidRPr="00011B68">
        <w:rPr>
          <w:rFonts w:ascii="Calibri" w:hAnsi="Calibri"/>
          <w:rtl/>
          <w:lang w:bidi="ar-MA"/>
        </w:rPr>
        <w:t xml:space="preserve">يوفر مبادئ توجيهية </w:t>
      </w:r>
      <w:r w:rsidR="005F7A4E" w:rsidRPr="00011B68">
        <w:rPr>
          <w:rFonts w:ascii="Calibri" w:hAnsi="Calibri"/>
          <w:rtl/>
          <w:lang w:bidi="ar-MA"/>
        </w:rPr>
        <w:t>عامة لأعمال لجنة المعايير، فإنه لا ي</w:t>
      </w:r>
      <w:r w:rsidRPr="00011B68">
        <w:rPr>
          <w:rFonts w:ascii="Calibri" w:hAnsi="Calibri"/>
          <w:rtl/>
          <w:lang w:bidi="ar-MA"/>
        </w:rPr>
        <w:t>غطي الإجراءات المحددة للجنة فقط، مثل العضوية</w:t>
      </w:r>
      <w:r w:rsidR="005F7A4E" w:rsidRPr="00011B68">
        <w:rPr>
          <w:rFonts w:ascii="Calibri" w:hAnsi="Calibri"/>
          <w:rtl/>
          <w:lang w:bidi="ar-MA"/>
        </w:rPr>
        <w:t xml:space="preserve"> في اللجنة وأساليب عملها. وبالنظر</w:t>
      </w:r>
      <w:r w:rsidRPr="00011B68">
        <w:rPr>
          <w:rFonts w:ascii="Calibri" w:hAnsi="Calibri"/>
          <w:rtl/>
          <w:lang w:bidi="ar-MA"/>
        </w:rPr>
        <w:t xml:space="preserve"> إلى أن إجراءات محددة غير منصوص عليها في النظام الداخلي العام للويبو، فإن لكل لجنة دائمة من لجان الويبو</w:t>
      </w:r>
      <w:r w:rsidR="005F7A4E" w:rsidRPr="00011B68">
        <w:rPr>
          <w:rFonts w:ascii="Calibri" w:hAnsi="Calibri"/>
          <w:rtl/>
          <w:lang w:bidi="ar-MA"/>
        </w:rPr>
        <w:t xml:space="preserve"> نظامها الداخلي الخاص، </w:t>
      </w:r>
      <w:r w:rsidRPr="00011B68">
        <w:rPr>
          <w:rFonts w:ascii="Calibri" w:hAnsi="Calibri"/>
          <w:rtl/>
          <w:lang w:bidi="ar-MA"/>
        </w:rPr>
        <w:t xml:space="preserve">أي اللجنة الدائمة المعنية بحق المؤلف والحقوق </w:t>
      </w:r>
      <w:r w:rsidR="005F7A4E" w:rsidRPr="00011B68">
        <w:rPr>
          <w:rFonts w:ascii="Calibri" w:hAnsi="Calibri"/>
          <w:rtl/>
          <w:lang w:bidi="ar-MA"/>
        </w:rPr>
        <w:t>المجاورة</w:t>
      </w:r>
      <w:r w:rsidR="00BA02AC">
        <w:rPr>
          <w:rFonts w:ascii="Calibri" w:hAnsi="Calibri" w:hint="cs"/>
          <w:rtl/>
          <w:lang w:bidi="ar-EG"/>
        </w:rPr>
        <w:t xml:space="preserve"> (</w:t>
      </w:r>
      <w:r w:rsidR="00BA02AC">
        <w:rPr>
          <w:rFonts w:ascii="Calibri" w:hAnsi="Calibri"/>
          <w:lang w:bidi="ar-EG"/>
        </w:rPr>
        <w:t>SCCR</w:t>
      </w:r>
      <w:r w:rsidR="00BA02AC">
        <w:rPr>
          <w:rFonts w:ascii="Calibri" w:hAnsi="Calibri" w:hint="cs"/>
          <w:rtl/>
          <w:lang w:bidi="ar-EG"/>
        </w:rPr>
        <w:t>) و</w:t>
      </w:r>
      <w:r w:rsidRPr="00011B68">
        <w:rPr>
          <w:rFonts w:ascii="Calibri" w:hAnsi="Calibri"/>
          <w:rtl/>
          <w:lang w:bidi="ar-MA"/>
        </w:rPr>
        <w:t>اللجنة ا</w:t>
      </w:r>
      <w:r w:rsidR="005F7A4E" w:rsidRPr="00011B68">
        <w:rPr>
          <w:rFonts w:ascii="Calibri" w:hAnsi="Calibri"/>
          <w:rtl/>
          <w:lang w:bidi="ar-MA"/>
        </w:rPr>
        <w:t xml:space="preserve">لدائمة المعنية بقانون البراءات </w:t>
      </w:r>
      <w:r w:rsidR="005F7A4E" w:rsidRPr="00011B68">
        <w:rPr>
          <w:rFonts w:ascii="Calibri" w:hAnsi="Calibri"/>
          <w:lang w:val="fr-CA" w:bidi="ar-MA"/>
        </w:rPr>
        <w:t>(SCP)</w:t>
      </w:r>
      <w:r w:rsidR="005F7A4E" w:rsidRPr="00011B68">
        <w:rPr>
          <w:rFonts w:ascii="Calibri" w:hAnsi="Calibri"/>
          <w:rtl/>
          <w:lang w:val="fr-CA" w:bidi="ar-MA"/>
        </w:rPr>
        <w:t xml:space="preserve"> </w:t>
      </w:r>
      <w:r w:rsidRPr="00011B68">
        <w:rPr>
          <w:rFonts w:ascii="Calibri" w:hAnsi="Calibri"/>
          <w:rtl/>
          <w:lang w:bidi="ar-MA"/>
        </w:rPr>
        <w:t>واللجنة الدائمة المعنية بقانون العلامات التجارية والتصاميم الصناعية والمؤشرات الجغرافية</w:t>
      </w:r>
      <w:r w:rsidR="005F7A4E" w:rsidRPr="00011B68">
        <w:rPr>
          <w:rFonts w:ascii="Calibri" w:hAnsi="Calibri"/>
          <w:rtl/>
          <w:lang w:bidi="ar-MA"/>
        </w:rPr>
        <w:t xml:space="preserve"> </w:t>
      </w:r>
      <w:r w:rsidR="005F7A4E" w:rsidRPr="00011B68">
        <w:rPr>
          <w:rFonts w:ascii="Calibri" w:hAnsi="Calibri"/>
          <w:lang w:val="fr-CA" w:bidi="ar-MA"/>
        </w:rPr>
        <w:t>(SCT)</w:t>
      </w:r>
      <w:r w:rsidRPr="00011B68">
        <w:rPr>
          <w:rFonts w:ascii="Calibri" w:hAnsi="Calibri"/>
          <w:rtl/>
          <w:lang w:bidi="ar-MA"/>
        </w:rPr>
        <w:t>.</w:t>
      </w:r>
    </w:p>
    <w:p w:rsidR="00D71CEE" w:rsidRPr="00011B68" w:rsidRDefault="00D71CEE" w:rsidP="00D71CEE">
      <w:pPr>
        <w:pStyle w:val="ListParagraph"/>
        <w:spacing w:after="1040"/>
        <w:rPr>
          <w:rFonts w:ascii="Calibri" w:hAnsi="Calibri"/>
          <w:lang w:bidi="ar-MA"/>
        </w:rPr>
      </w:pPr>
    </w:p>
    <w:p w:rsidR="00CE5BE7" w:rsidRDefault="00023503" w:rsidP="00E97A2C">
      <w:pPr>
        <w:pStyle w:val="ListParagraph"/>
        <w:numPr>
          <w:ilvl w:val="0"/>
          <w:numId w:val="9"/>
        </w:numPr>
        <w:spacing w:after="1040"/>
        <w:ind w:left="360"/>
        <w:rPr>
          <w:rFonts w:ascii="Calibri" w:hAnsi="Calibri"/>
          <w:lang w:bidi="ar-MA"/>
        </w:rPr>
      </w:pPr>
      <w:r w:rsidRPr="00011B68">
        <w:rPr>
          <w:rFonts w:ascii="Calibri" w:hAnsi="Calibri"/>
          <w:rtl/>
          <w:lang w:bidi="ar-MA"/>
        </w:rPr>
        <w:t>ويرد في مرفق هذه الوثيقة اقتراح بشأن الشؤون التنظيمية والن</w:t>
      </w:r>
      <w:r w:rsidR="003450E6" w:rsidRPr="00011B68">
        <w:rPr>
          <w:rFonts w:ascii="Calibri" w:hAnsi="Calibri"/>
          <w:rtl/>
          <w:lang w:bidi="ar-MA"/>
        </w:rPr>
        <w:t>ظام الداخلي الخاص، بما في ذلك الولاية المتعلقة بلجنة المعايير وأساليب عملها، لكي تنظر فيهما</w:t>
      </w:r>
      <w:r w:rsidRPr="00011B68">
        <w:rPr>
          <w:rFonts w:ascii="Calibri" w:hAnsi="Calibri"/>
          <w:rtl/>
          <w:lang w:bidi="ar-MA"/>
        </w:rPr>
        <w:t>. ويستند الاقتراح إلى اقتراحات سابقة قدمت إلى الدورتين الأولى والثانية للجنة المعايير، بما في ذلك قرارات الجمعي</w:t>
      </w:r>
      <w:r w:rsidR="003450E6" w:rsidRPr="00011B68">
        <w:rPr>
          <w:rFonts w:ascii="Calibri" w:hAnsi="Calibri"/>
          <w:rtl/>
          <w:lang w:bidi="ar-MA"/>
        </w:rPr>
        <w:t xml:space="preserve">ة العامة للويبو المبينة أعلاه. </w:t>
      </w:r>
      <w:r w:rsidRPr="00011B68">
        <w:rPr>
          <w:rFonts w:ascii="Calibri" w:hAnsi="Calibri"/>
          <w:rtl/>
          <w:lang w:bidi="ar-MA"/>
        </w:rPr>
        <w:t xml:space="preserve">ويعكس هذا الاقتراح أيضاً الممارسات الحالية للجنة </w:t>
      </w:r>
      <w:r w:rsidR="003450E6" w:rsidRPr="00011B68">
        <w:rPr>
          <w:rFonts w:ascii="Calibri" w:hAnsi="Calibri"/>
          <w:rtl/>
          <w:lang w:bidi="ar-MA"/>
        </w:rPr>
        <w:t>المعايير منذ دورتها الأولى</w:t>
      </w:r>
      <w:r w:rsidRPr="00011B68">
        <w:rPr>
          <w:rFonts w:ascii="Calibri" w:hAnsi="Calibri"/>
          <w:rtl/>
          <w:lang w:bidi="ar-MA"/>
        </w:rPr>
        <w:t xml:space="preserve">.  </w:t>
      </w:r>
    </w:p>
    <w:p w:rsidR="00D71CEE" w:rsidRPr="00011B68" w:rsidRDefault="00D71CEE" w:rsidP="00D71CEE">
      <w:pPr>
        <w:pStyle w:val="ListParagraph"/>
        <w:spacing w:after="1040"/>
        <w:rPr>
          <w:rFonts w:ascii="Calibri" w:hAnsi="Calibri"/>
          <w:lang w:bidi="ar-MA"/>
        </w:rPr>
      </w:pPr>
    </w:p>
    <w:p w:rsidR="00CE5BE7" w:rsidRDefault="00CC3FD6" w:rsidP="00E97A2C">
      <w:pPr>
        <w:pStyle w:val="ListParagraph"/>
        <w:numPr>
          <w:ilvl w:val="0"/>
          <w:numId w:val="9"/>
        </w:numPr>
        <w:spacing w:after="1040"/>
        <w:ind w:left="360"/>
        <w:rPr>
          <w:rFonts w:ascii="Calibri" w:hAnsi="Calibri"/>
          <w:lang w:bidi="ar-MA"/>
        </w:rPr>
      </w:pPr>
      <w:r w:rsidRPr="00011B68">
        <w:rPr>
          <w:rFonts w:ascii="Calibri" w:hAnsi="Calibri"/>
          <w:rtl/>
          <w:lang w:bidi="ar-MA"/>
        </w:rPr>
        <w:t>وعلى وجه الخصوص، أدرجت ولاية لجنة المعايير مباشرة في الاقتراح، بخلاف الاستشهاد بقرارات الجمعية العامة للويبو. والنص المقترح للولاية هو النص الذي اعتمدته الجمعية العامة مع التعديلات اللازمة مثل حذف الإشا</w:t>
      </w:r>
      <w:r w:rsidR="000D000C" w:rsidRPr="00011B68">
        <w:rPr>
          <w:rFonts w:ascii="Calibri" w:hAnsi="Calibri"/>
          <w:rtl/>
          <w:lang w:bidi="ar-MA"/>
        </w:rPr>
        <w:t>رات البالية إلى اللجنة الدائمة</w:t>
      </w:r>
      <w:r w:rsidRPr="00011B68">
        <w:rPr>
          <w:rFonts w:ascii="Calibri" w:hAnsi="Calibri"/>
          <w:rtl/>
          <w:lang w:bidi="ar-MA"/>
        </w:rPr>
        <w:t xml:space="preserve"> المعنية بتكنولوجيا المعلومات</w:t>
      </w:r>
      <w:r w:rsidR="000D000C" w:rsidRPr="00011B68">
        <w:rPr>
          <w:rFonts w:ascii="Calibri" w:hAnsi="Calibri"/>
          <w:rtl/>
          <w:lang w:bidi="ar-MA"/>
        </w:rPr>
        <w:t xml:space="preserve"> السابقة. ويرد مزيد من المعلومات بشأن الاقتراح في صيغة</w:t>
      </w:r>
      <w:r w:rsidRPr="00011B68">
        <w:rPr>
          <w:rFonts w:ascii="Calibri" w:hAnsi="Calibri"/>
          <w:rtl/>
          <w:lang w:bidi="ar-MA"/>
        </w:rPr>
        <w:t xml:space="preserve"> ملاحظات وحواشي في المرفق. وبما أن هذه الملاحظات والحواشي</w:t>
      </w:r>
      <w:r w:rsidR="000D000C" w:rsidRPr="00011B68">
        <w:rPr>
          <w:rFonts w:ascii="Calibri" w:hAnsi="Calibri"/>
          <w:rtl/>
          <w:lang w:bidi="ar-MA"/>
        </w:rPr>
        <w:t xml:space="preserve"> وردت على سبيل العلم</w:t>
      </w:r>
      <w:r w:rsidRPr="00011B68">
        <w:rPr>
          <w:rFonts w:ascii="Calibri" w:hAnsi="Calibri"/>
          <w:rtl/>
          <w:lang w:bidi="ar-MA"/>
        </w:rPr>
        <w:t xml:space="preserve">، </w:t>
      </w:r>
      <w:r w:rsidR="000D000C" w:rsidRPr="00011B68">
        <w:rPr>
          <w:rFonts w:ascii="Calibri" w:hAnsi="Calibri"/>
          <w:rtl/>
          <w:lang w:bidi="ar-MA"/>
        </w:rPr>
        <w:t>فإنها ستحذف من ا</w:t>
      </w:r>
      <w:r w:rsidR="00317BFC" w:rsidRPr="00011B68">
        <w:rPr>
          <w:rFonts w:ascii="Calibri" w:hAnsi="Calibri"/>
          <w:rtl/>
          <w:lang w:bidi="ar-MA"/>
        </w:rPr>
        <w:t xml:space="preserve">لنشر </w:t>
      </w:r>
      <w:r w:rsidR="00F678BE" w:rsidRPr="00011B68">
        <w:rPr>
          <w:rFonts w:ascii="Calibri" w:hAnsi="Calibri"/>
          <w:rtl/>
          <w:lang w:bidi="ar-MA"/>
        </w:rPr>
        <w:t>ما أن</w:t>
      </w:r>
      <w:r w:rsidR="00175B10" w:rsidRPr="00011B68">
        <w:rPr>
          <w:rFonts w:ascii="Calibri" w:hAnsi="Calibri"/>
          <w:rtl/>
          <w:lang w:bidi="ar-MA"/>
        </w:rPr>
        <w:t xml:space="preserve"> تعتمد </w:t>
      </w:r>
      <w:r w:rsidR="00317BFC" w:rsidRPr="00011B68">
        <w:rPr>
          <w:rFonts w:ascii="Calibri" w:hAnsi="Calibri"/>
          <w:rtl/>
          <w:lang w:bidi="ar-MA"/>
        </w:rPr>
        <w:t xml:space="preserve">لجنة المعايير </w:t>
      </w:r>
      <w:r w:rsidR="00F678BE" w:rsidRPr="00011B68">
        <w:rPr>
          <w:rFonts w:ascii="Calibri" w:hAnsi="Calibri"/>
          <w:rtl/>
          <w:lang w:bidi="ar-MA"/>
        </w:rPr>
        <w:t>ا</w:t>
      </w:r>
      <w:r w:rsidRPr="00011B68">
        <w:rPr>
          <w:rFonts w:ascii="Calibri" w:hAnsi="Calibri"/>
          <w:rtl/>
          <w:lang w:bidi="ar-MA"/>
        </w:rPr>
        <w:t>لاقتراح.</w:t>
      </w:r>
    </w:p>
    <w:p w:rsidR="00D71CEE" w:rsidRPr="00011B68" w:rsidRDefault="00D71CEE" w:rsidP="00D71CEE">
      <w:pPr>
        <w:pStyle w:val="ListParagraph"/>
        <w:spacing w:after="1040"/>
        <w:rPr>
          <w:rFonts w:ascii="Calibri" w:hAnsi="Calibri"/>
          <w:lang w:bidi="ar-MA"/>
        </w:rPr>
      </w:pPr>
    </w:p>
    <w:p w:rsidR="00CE5BE7" w:rsidRDefault="00DA2400" w:rsidP="00D71CEE">
      <w:pPr>
        <w:pStyle w:val="ListParagraph"/>
        <w:numPr>
          <w:ilvl w:val="0"/>
          <w:numId w:val="9"/>
        </w:numPr>
        <w:spacing w:after="1040"/>
        <w:ind w:left="5888"/>
        <w:rPr>
          <w:rFonts w:ascii="Calibri" w:hAnsi="Calibri"/>
          <w:i/>
          <w:iCs/>
          <w:lang w:bidi="ar-MA"/>
        </w:rPr>
      </w:pPr>
      <w:r w:rsidRPr="00D71CEE">
        <w:rPr>
          <w:rFonts w:ascii="Calibri" w:hAnsi="Calibri"/>
          <w:i/>
          <w:iCs/>
          <w:rtl/>
          <w:lang w:bidi="ar-MA"/>
        </w:rPr>
        <w:t>إن لجنة المعايير مدعو</w:t>
      </w:r>
      <w:r w:rsidR="00175B10" w:rsidRPr="00D71CEE">
        <w:rPr>
          <w:rFonts w:ascii="Calibri" w:hAnsi="Calibri"/>
          <w:i/>
          <w:iCs/>
          <w:rtl/>
          <w:lang w:bidi="ar-MA"/>
        </w:rPr>
        <w:t>ّ</w:t>
      </w:r>
      <w:r w:rsidRPr="00D71CEE">
        <w:rPr>
          <w:rFonts w:ascii="Calibri" w:hAnsi="Calibri"/>
          <w:i/>
          <w:iCs/>
          <w:rtl/>
          <w:lang w:bidi="ar-MA"/>
        </w:rPr>
        <w:t xml:space="preserve">ة إلى ما يلي: </w:t>
      </w:r>
    </w:p>
    <w:p w:rsidR="00D71CEE" w:rsidRPr="00D71CEE" w:rsidRDefault="00D71CEE" w:rsidP="00D71CEE">
      <w:pPr>
        <w:pStyle w:val="ListParagraph"/>
        <w:spacing w:after="1040"/>
        <w:ind w:left="5888"/>
        <w:rPr>
          <w:rFonts w:ascii="Calibri" w:hAnsi="Calibri"/>
          <w:i/>
          <w:iCs/>
          <w:lang w:bidi="ar-MA"/>
        </w:rPr>
      </w:pPr>
    </w:p>
    <w:p w:rsidR="00CE5BE7" w:rsidRDefault="00DA2400" w:rsidP="00D71CEE">
      <w:pPr>
        <w:pStyle w:val="ListParagraph"/>
        <w:numPr>
          <w:ilvl w:val="1"/>
          <w:numId w:val="10"/>
        </w:numPr>
        <w:spacing w:after="1040"/>
        <w:ind w:left="5888"/>
        <w:rPr>
          <w:rFonts w:ascii="Calibri" w:hAnsi="Calibri"/>
          <w:i/>
          <w:iCs/>
          <w:lang w:bidi="ar-MA"/>
        </w:rPr>
      </w:pPr>
      <w:r w:rsidRPr="00D71CEE">
        <w:rPr>
          <w:rFonts w:ascii="Calibri" w:hAnsi="Calibri"/>
          <w:i/>
          <w:iCs/>
          <w:rtl/>
          <w:lang w:bidi="ar-MA"/>
        </w:rPr>
        <w:t>الإحاطة علما بمحتوى هذه الوثيقة وبمرفقها؛</w:t>
      </w:r>
    </w:p>
    <w:p w:rsidR="00D71CEE" w:rsidRPr="00D71CEE" w:rsidRDefault="00D71CEE" w:rsidP="00D71CEE">
      <w:pPr>
        <w:pStyle w:val="ListParagraph"/>
        <w:spacing w:after="1040"/>
        <w:ind w:left="5888"/>
        <w:rPr>
          <w:rFonts w:ascii="Calibri" w:hAnsi="Calibri"/>
          <w:i/>
          <w:iCs/>
          <w:lang w:bidi="ar-MA"/>
        </w:rPr>
      </w:pPr>
    </w:p>
    <w:p w:rsidR="00CE5BE7" w:rsidRPr="00D71CEE" w:rsidRDefault="00DA2400" w:rsidP="00D71CEE">
      <w:pPr>
        <w:pStyle w:val="ListParagraph"/>
        <w:numPr>
          <w:ilvl w:val="1"/>
          <w:numId w:val="10"/>
        </w:numPr>
        <w:spacing w:after="1040"/>
        <w:ind w:left="5888"/>
        <w:rPr>
          <w:rFonts w:ascii="Calibri" w:hAnsi="Calibri"/>
          <w:i/>
          <w:iCs/>
          <w:lang w:bidi="ar-MA"/>
        </w:rPr>
      </w:pPr>
      <w:r w:rsidRPr="00D71CEE">
        <w:rPr>
          <w:rFonts w:ascii="Calibri" w:hAnsi="Calibri"/>
          <w:i/>
          <w:iCs/>
          <w:rtl/>
          <w:lang w:bidi="ar-MA"/>
        </w:rPr>
        <w:t>النظر في الشؤون التنظيمية والنظام الداخلي الخاص واعتمادهما على النحو المشار إليه في الفقرتين 5 و6 أعلاه و</w:t>
      </w:r>
      <w:r w:rsidR="00175B10" w:rsidRPr="00D71CEE">
        <w:rPr>
          <w:rFonts w:ascii="Calibri" w:hAnsi="Calibri"/>
          <w:i/>
          <w:iCs/>
          <w:rtl/>
          <w:lang w:bidi="ar-MA"/>
        </w:rPr>
        <w:t xml:space="preserve">على النحو الوارد </w:t>
      </w:r>
      <w:r w:rsidRPr="00D71CEE">
        <w:rPr>
          <w:rFonts w:ascii="Calibri" w:hAnsi="Calibri"/>
          <w:i/>
          <w:iCs/>
          <w:rtl/>
          <w:lang w:bidi="ar-MA"/>
        </w:rPr>
        <w:t>في مرفق هذه الوثيقة.</w:t>
      </w:r>
    </w:p>
    <w:p w:rsidR="00593563" w:rsidRPr="00011B68" w:rsidRDefault="00593563" w:rsidP="00011B68">
      <w:pPr>
        <w:pStyle w:val="ListParagraph"/>
        <w:spacing w:after="1040"/>
        <w:ind w:left="1440"/>
        <w:rPr>
          <w:rFonts w:ascii="Calibri" w:hAnsi="Calibri"/>
          <w:rtl/>
          <w:lang w:bidi="ar-MA"/>
        </w:rPr>
      </w:pPr>
    </w:p>
    <w:p w:rsidR="00593563" w:rsidRPr="00011B68" w:rsidRDefault="00593563" w:rsidP="00D71CEE">
      <w:pPr>
        <w:pStyle w:val="ListParagraph"/>
        <w:spacing w:after="1040"/>
        <w:ind w:left="5528"/>
        <w:rPr>
          <w:rFonts w:ascii="Calibri" w:hAnsi="Calibri"/>
          <w:rtl/>
          <w:lang w:bidi="ar-MA"/>
        </w:rPr>
      </w:pPr>
      <w:r w:rsidRPr="00011B68">
        <w:rPr>
          <w:rFonts w:ascii="Calibri" w:hAnsi="Calibri"/>
          <w:rtl/>
          <w:lang w:bidi="ar-MA"/>
        </w:rPr>
        <w:t>‏[يلي ذلك المرفق]</w:t>
      </w:r>
    </w:p>
    <w:p w:rsidR="000E055B" w:rsidRPr="00011B68" w:rsidRDefault="000E055B" w:rsidP="00011B68">
      <w:pPr>
        <w:spacing w:after="1040"/>
        <w:rPr>
          <w:rFonts w:ascii="Calibri" w:hAnsi="Calibri"/>
          <w:rtl/>
          <w:lang w:bidi="ar-MA"/>
        </w:rPr>
      </w:pPr>
    </w:p>
    <w:p w:rsidR="009B0855" w:rsidRPr="00011B68" w:rsidRDefault="009B0855" w:rsidP="00011B68">
      <w:pPr>
        <w:pStyle w:val="BodyText"/>
        <w:rPr>
          <w:rFonts w:ascii="Calibri" w:hAnsi="Calibri"/>
          <w:lang w:bidi="ar-EG"/>
        </w:rPr>
      </w:pPr>
    </w:p>
    <w:p w:rsidR="00FE5D75" w:rsidRPr="00011B68" w:rsidRDefault="00FE5D75" w:rsidP="00011B68">
      <w:pPr>
        <w:pStyle w:val="BodyText"/>
        <w:rPr>
          <w:rFonts w:ascii="Calibri" w:hAnsi="Calibri"/>
        </w:rPr>
      </w:pPr>
    </w:p>
    <w:p w:rsidR="00FE5D75" w:rsidRPr="00011B68" w:rsidRDefault="00FE5D75" w:rsidP="00011B68">
      <w:pPr>
        <w:pStyle w:val="BodyText"/>
        <w:rPr>
          <w:rFonts w:ascii="Calibri" w:hAnsi="Calibri"/>
        </w:rPr>
      </w:pPr>
    </w:p>
    <w:sectPr w:rsidR="00FE5D75" w:rsidRPr="00011B68" w:rsidSect="00CC3E2D">
      <w:headerReference w:type="default" r:id="rId13"/>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0C81" w:rsidRDefault="00740C81">
      <w:r>
        <w:separator/>
      </w:r>
    </w:p>
  </w:endnote>
  <w:endnote w:type="continuationSeparator" w:id="0">
    <w:p w:rsidR="00740C81" w:rsidRDefault="00740C81" w:rsidP="003B38C1">
      <w:r>
        <w:separator/>
      </w:r>
    </w:p>
    <w:p w:rsidR="00740C81" w:rsidRPr="003B38C1" w:rsidRDefault="00740C81" w:rsidP="003B38C1">
      <w:pPr>
        <w:spacing w:after="60"/>
        <w:rPr>
          <w:sz w:val="17"/>
        </w:rPr>
      </w:pPr>
      <w:r>
        <w:rPr>
          <w:sz w:val="17"/>
        </w:rPr>
        <w:t>[Endnote continued from previous page]</w:t>
      </w:r>
    </w:p>
  </w:endnote>
  <w:endnote w:type="continuationNotice" w:id="1">
    <w:p w:rsidR="00740C81" w:rsidRPr="003B38C1" w:rsidRDefault="00740C8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0C81" w:rsidRDefault="00740C81">
      <w:r>
        <w:separator/>
      </w:r>
    </w:p>
  </w:footnote>
  <w:footnote w:type="continuationSeparator" w:id="0">
    <w:p w:rsidR="00740C81" w:rsidRDefault="00740C81" w:rsidP="008B60B2">
      <w:r>
        <w:separator/>
      </w:r>
    </w:p>
    <w:p w:rsidR="00740C81" w:rsidRPr="00ED77FB" w:rsidRDefault="00740C81" w:rsidP="008B60B2">
      <w:pPr>
        <w:spacing w:after="60"/>
        <w:rPr>
          <w:sz w:val="17"/>
          <w:szCs w:val="17"/>
        </w:rPr>
      </w:pPr>
      <w:r w:rsidRPr="00ED77FB">
        <w:rPr>
          <w:sz w:val="17"/>
          <w:szCs w:val="17"/>
        </w:rPr>
        <w:t>[Footnote continued from previous page]</w:t>
      </w:r>
    </w:p>
  </w:footnote>
  <w:footnote w:type="continuationNotice" w:id="1">
    <w:p w:rsidR="00740C81" w:rsidRPr="00ED77FB" w:rsidRDefault="00740C81"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2326AB" w:rsidRDefault="00FE5D75" w:rsidP="00FE5D75">
    <w:pPr>
      <w:bidi w:val="0"/>
      <w:rPr>
        <w:caps/>
      </w:rPr>
    </w:pPr>
    <w:r>
      <w:rPr>
        <w:caps/>
      </w:rPr>
      <w:t>CWS</w:t>
    </w:r>
    <w:r w:rsidR="00250149">
      <w:rPr>
        <w:caps/>
      </w:rPr>
      <w:t>/</w:t>
    </w:r>
    <w:r w:rsidR="00F678BE">
      <w:rPr>
        <w:caps/>
      </w:rPr>
      <w:t>10</w:t>
    </w:r>
    <w:r w:rsidR="00250149">
      <w:rPr>
        <w:caps/>
      </w:rPr>
      <w:t>/</w:t>
    </w:r>
    <w:r w:rsidR="00F678BE">
      <w:rPr>
        <w:caps/>
      </w:rPr>
      <w:t>2</w:t>
    </w:r>
  </w:p>
  <w:p w:rsidR="00D07C78" w:rsidRDefault="00D07C78" w:rsidP="00210D5F">
    <w:pPr>
      <w:bidi w:val="0"/>
    </w:pPr>
    <w:r>
      <w:fldChar w:fldCharType="begin"/>
    </w:r>
    <w:r>
      <w:instrText xml:space="preserve"> PAGE  \* MERGEFORMAT </w:instrText>
    </w:r>
    <w:r>
      <w:fldChar w:fldCharType="separate"/>
    </w:r>
    <w:r w:rsidR="007F346F">
      <w:rPr>
        <w:noProof/>
      </w:rPr>
      <w:t>2</w:t>
    </w:r>
    <w:r>
      <w:fldChar w:fldCharType="end"/>
    </w:r>
  </w:p>
  <w:p w:rsidR="00D07C78" w:rsidRDefault="00D07C78" w:rsidP="00210D5F">
    <w:pPr>
      <w:bidi w:val="0"/>
    </w:pPr>
  </w:p>
  <w:p w:rsidR="00D07C78" w:rsidRDefault="00D07C78" w:rsidP="00210D5F">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9BF3BF4"/>
    <w:multiLevelType w:val="hybridMultilevel"/>
    <w:tmpl w:val="79E0E72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6" w15:restartNumberingAfterBreak="0">
    <w:nsid w:val="3A837091"/>
    <w:multiLevelType w:val="hybridMultilevel"/>
    <w:tmpl w:val="6D303C42"/>
    <w:lvl w:ilvl="0" w:tplc="35926F7C">
      <w:start w:val="1"/>
      <w:numFmt w:val="arabicAbjad"/>
      <w:lvlText w:val="%1."/>
      <w:lvlJc w:val="left"/>
      <w:pPr>
        <w:ind w:left="720" w:hanging="360"/>
      </w:pPr>
      <w:rPr>
        <w:rFonts w:hint="default"/>
      </w:rPr>
    </w:lvl>
    <w:lvl w:ilvl="1" w:tplc="35926F7C">
      <w:start w:val="1"/>
      <w:numFmt w:val="arabicAbjad"/>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abstractNumId w:val="2"/>
  </w:num>
  <w:num w:numId="2">
    <w:abstractNumId w:val="7"/>
  </w:num>
  <w:num w:numId="3">
    <w:abstractNumId w:val="0"/>
  </w:num>
  <w:num w:numId="4">
    <w:abstractNumId w:val="8"/>
  </w:num>
  <w:num w:numId="5">
    <w:abstractNumId w:val="1"/>
  </w:num>
  <w:num w:numId="6">
    <w:abstractNumId w:val="3"/>
  </w:num>
  <w:num w:numId="7">
    <w:abstractNumId w:val="9"/>
  </w:num>
  <w:num w:numId="8">
    <w:abstractNumId w:val="5"/>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5B4"/>
    <w:rsid w:val="00011B68"/>
    <w:rsid w:val="00023503"/>
    <w:rsid w:val="00043CAA"/>
    <w:rsid w:val="00056816"/>
    <w:rsid w:val="00075432"/>
    <w:rsid w:val="000968ED"/>
    <w:rsid w:val="000A3D97"/>
    <w:rsid w:val="000D000C"/>
    <w:rsid w:val="000E055B"/>
    <w:rsid w:val="000F5E56"/>
    <w:rsid w:val="001362EE"/>
    <w:rsid w:val="001406E1"/>
    <w:rsid w:val="00155D8A"/>
    <w:rsid w:val="001647D5"/>
    <w:rsid w:val="00167832"/>
    <w:rsid w:val="00175B10"/>
    <w:rsid w:val="001832A6"/>
    <w:rsid w:val="0019592A"/>
    <w:rsid w:val="001D4107"/>
    <w:rsid w:val="00203D24"/>
    <w:rsid w:val="00210D5F"/>
    <w:rsid w:val="0021217E"/>
    <w:rsid w:val="002326AB"/>
    <w:rsid w:val="00243430"/>
    <w:rsid w:val="00244B46"/>
    <w:rsid w:val="00250149"/>
    <w:rsid w:val="002634C4"/>
    <w:rsid w:val="002928D3"/>
    <w:rsid w:val="002A231A"/>
    <w:rsid w:val="002F1FE6"/>
    <w:rsid w:val="002F4E68"/>
    <w:rsid w:val="00312F7F"/>
    <w:rsid w:val="00317BFC"/>
    <w:rsid w:val="00321316"/>
    <w:rsid w:val="003432A9"/>
    <w:rsid w:val="003450E6"/>
    <w:rsid w:val="00361450"/>
    <w:rsid w:val="003673CF"/>
    <w:rsid w:val="003845C1"/>
    <w:rsid w:val="00384788"/>
    <w:rsid w:val="003A6F89"/>
    <w:rsid w:val="003B355C"/>
    <w:rsid w:val="003B38C1"/>
    <w:rsid w:val="003C34E9"/>
    <w:rsid w:val="003D6E4F"/>
    <w:rsid w:val="004026D7"/>
    <w:rsid w:val="00423E3E"/>
    <w:rsid w:val="00427AF4"/>
    <w:rsid w:val="0045246E"/>
    <w:rsid w:val="004647DA"/>
    <w:rsid w:val="00474062"/>
    <w:rsid w:val="00477D6B"/>
    <w:rsid w:val="005019FF"/>
    <w:rsid w:val="0053057A"/>
    <w:rsid w:val="00556076"/>
    <w:rsid w:val="00560A29"/>
    <w:rsid w:val="00593563"/>
    <w:rsid w:val="005C6649"/>
    <w:rsid w:val="005E7B89"/>
    <w:rsid w:val="005F7A4E"/>
    <w:rsid w:val="00605827"/>
    <w:rsid w:val="00646050"/>
    <w:rsid w:val="006713CA"/>
    <w:rsid w:val="00676C5C"/>
    <w:rsid w:val="006A3BC9"/>
    <w:rsid w:val="006B593B"/>
    <w:rsid w:val="006B5C12"/>
    <w:rsid w:val="006E45B4"/>
    <w:rsid w:val="006F641A"/>
    <w:rsid w:val="007060E5"/>
    <w:rsid w:val="00720EFD"/>
    <w:rsid w:val="00724AA1"/>
    <w:rsid w:val="00740C81"/>
    <w:rsid w:val="0077250E"/>
    <w:rsid w:val="00784757"/>
    <w:rsid w:val="007854AF"/>
    <w:rsid w:val="00793A7C"/>
    <w:rsid w:val="007A34BB"/>
    <w:rsid w:val="007A398A"/>
    <w:rsid w:val="007C4902"/>
    <w:rsid w:val="007D1613"/>
    <w:rsid w:val="007E4C0E"/>
    <w:rsid w:val="007F346F"/>
    <w:rsid w:val="008A134B"/>
    <w:rsid w:val="008B2CC1"/>
    <w:rsid w:val="008B60B2"/>
    <w:rsid w:val="0090731E"/>
    <w:rsid w:val="00916EE2"/>
    <w:rsid w:val="00936116"/>
    <w:rsid w:val="0095622A"/>
    <w:rsid w:val="00966A22"/>
    <w:rsid w:val="0096722F"/>
    <w:rsid w:val="00980843"/>
    <w:rsid w:val="009B0855"/>
    <w:rsid w:val="009D2227"/>
    <w:rsid w:val="009E1721"/>
    <w:rsid w:val="009E2791"/>
    <w:rsid w:val="009E3F6F"/>
    <w:rsid w:val="009F499F"/>
    <w:rsid w:val="00A37342"/>
    <w:rsid w:val="00A42DAF"/>
    <w:rsid w:val="00A45BD8"/>
    <w:rsid w:val="00A869B7"/>
    <w:rsid w:val="00A90F0A"/>
    <w:rsid w:val="00AC205C"/>
    <w:rsid w:val="00AF04F1"/>
    <w:rsid w:val="00AF0A6B"/>
    <w:rsid w:val="00B05A69"/>
    <w:rsid w:val="00B32606"/>
    <w:rsid w:val="00B42CA9"/>
    <w:rsid w:val="00B51FF7"/>
    <w:rsid w:val="00B75281"/>
    <w:rsid w:val="00B92F1F"/>
    <w:rsid w:val="00B940DB"/>
    <w:rsid w:val="00B9734B"/>
    <w:rsid w:val="00BA02AC"/>
    <w:rsid w:val="00BA30E2"/>
    <w:rsid w:val="00BA69B8"/>
    <w:rsid w:val="00BC28B0"/>
    <w:rsid w:val="00BE448F"/>
    <w:rsid w:val="00C11BFE"/>
    <w:rsid w:val="00C5068F"/>
    <w:rsid w:val="00C86D74"/>
    <w:rsid w:val="00C93711"/>
    <w:rsid w:val="00CB2C9A"/>
    <w:rsid w:val="00CB3DBA"/>
    <w:rsid w:val="00CC3E2D"/>
    <w:rsid w:val="00CC3FD6"/>
    <w:rsid w:val="00CC7D30"/>
    <w:rsid w:val="00CD04F1"/>
    <w:rsid w:val="00CE19F8"/>
    <w:rsid w:val="00CE5BE7"/>
    <w:rsid w:val="00CF681A"/>
    <w:rsid w:val="00CF7EBA"/>
    <w:rsid w:val="00D07C78"/>
    <w:rsid w:val="00D45252"/>
    <w:rsid w:val="00D60B2C"/>
    <w:rsid w:val="00D67EAE"/>
    <w:rsid w:val="00D71B4D"/>
    <w:rsid w:val="00D71CEE"/>
    <w:rsid w:val="00D90B96"/>
    <w:rsid w:val="00D93D55"/>
    <w:rsid w:val="00DA2400"/>
    <w:rsid w:val="00DD7B7F"/>
    <w:rsid w:val="00E15015"/>
    <w:rsid w:val="00E319DF"/>
    <w:rsid w:val="00E335FE"/>
    <w:rsid w:val="00E66CC5"/>
    <w:rsid w:val="00E97A2C"/>
    <w:rsid w:val="00EA7D6E"/>
    <w:rsid w:val="00EB2F76"/>
    <w:rsid w:val="00EC4E49"/>
    <w:rsid w:val="00ED77FB"/>
    <w:rsid w:val="00EE45FA"/>
    <w:rsid w:val="00F043DE"/>
    <w:rsid w:val="00F23A41"/>
    <w:rsid w:val="00F47940"/>
    <w:rsid w:val="00F652C6"/>
    <w:rsid w:val="00F66152"/>
    <w:rsid w:val="00F678BE"/>
    <w:rsid w:val="00F76CB4"/>
    <w:rsid w:val="00F90DFF"/>
    <w:rsid w:val="00F9165B"/>
    <w:rsid w:val="00FA723B"/>
    <w:rsid w:val="00FC18EE"/>
    <w:rsid w:val="00FC482F"/>
    <w:rsid w:val="00FE5D75"/>
    <w:rsid w:val="00FF54C1"/>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641A"/>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paragraph" w:styleId="ListParagraph">
    <w:name w:val="List Paragraph"/>
    <w:basedOn w:val="Normal"/>
    <w:uiPriority w:val="34"/>
    <w:qFormat/>
    <w:rsid w:val="000E055B"/>
    <w:pPr>
      <w:ind w:left="720"/>
      <w:contextualSpacing/>
    </w:pPr>
  </w:style>
  <w:style w:type="character" w:styleId="Hyperlink">
    <w:name w:val="Hyperlink"/>
    <w:basedOn w:val="DefaultParagraphFont"/>
    <w:unhideWhenUsed/>
    <w:rsid w:val="00BC28B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export/sites/www/about-wipo/en/oversight/iaod/evaluation/pdf/220216-evaluation-WIPO-standing-committee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8279F9-EF49-413E-AF8E-AC32DC73E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676</Words>
  <Characters>3856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CWS/10/2</dc:title>
  <dc:subject/>
  <dc:creator/>
  <cp:keywords/>
  <cp:lastModifiedBy/>
  <cp:revision>1</cp:revision>
  <dcterms:created xsi:type="dcterms:W3CDTF">2022-10-13T08:26:00Z</dcterms:created>
  <dcterms:modified xsi:type="dcterms:W3CDTF">2022-10-13T08:26:00Z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b7287b02-aa48-4b61-9efd-2878fe059fc3</vt:lpwstr>
  </property>
</Properties>
</file>